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4062" w14:paraId="67E12F09" w14:textId="77777777" w:rsidTr="0010095E">
        <w:trPr>
          <w:trHeight w:hRule="exact" w:val="1418"/>
        </w:trPr>
        <w:tc>
          <w:tcPr>
            <w:tcW w:w="6804" w:type="dxa"/>
            <w:shd w:val="clear" w:color="auto" w:fill="auto"/>
            <w:vAlign w:val="center"/>
          </w:tcPr>
          <w:p w14:paraId="7AF83D64" w14:textId="77777777" w:rsidR="00751A4A" w:rsidRPr="00624062" w:rsidRDefault="00DB690F" w:rsidP="0010095E">
            <w:pPr>
              <w:pStyle w:val="EPName"/>
            </w:pPr>
            <w:r w:rsidRPr="00624062">
              <w:t>Evropski parlament</w:t>
            </w:r>
          </w:p>
          <w:p w14:paraId="205814D3" w14:textId="77777777" w:rsidR="00751A4A" w:rsidRPr="00624062" w:rsidRDefault="005F1B17" w:rsidP="005F1B17">
            <w:pPr>
              <w:pStyle w:val="EPTerm"/>
              <w:rPr>
                <w:rStyle w:val="HideTWBExt"/>
                <w:noProof w:val="0"/>
                <w:vanish w:val="0"/>
                <w:color w:val="auto"/>
              </w:rPr>
            </w:pPr>
            <w:r w:rsidRPr="00624062">
              <w:t>2024</w:t>
            </w:r>
            <w:r w:rsidR="00817416" w:rsidRPr="00624062">
              <w:t>-202</w:t>
            </w:r>
            <w:r w:rsidRPr="00624062">
              <w:t>9</w:t>
            </w:r>
          </w:p>
        </w:tc>
        <w:tc>
          <w:tcPr>
            <w:tcW w:w="2268" w:type="dxa"/>
            <w:shd w:val="clear" w:color="auto" w:fill="auto"/>
          </w:tcPr>
          <w:p w14:paraId="6E23A0EA" w14:textId="77777777" w:rsidR="00751A4A" w:rsidRPr="00624062" w:rsidRDefault="00187494" w:rsidP="0010095E">
            <w:pPr>
              <w:pStyle w:val="EPLogo"/>
            </w:pPr>
            <w:r w:rsidRPr="00624062">
              <w:rPr>
                <w:noProof/>
                <w:lang w:eastAsia="ja-JP"/>
              </w:rPr>
              <w:drawing>
                <wp:inline distT="0" distB="0" distL="0" distR="0" wp14:anchorId="7C37449F" wp14:editId="6F5079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D65A30" w14:textId="77777777" w:rsidR="00D058B8" w:rsidRPr="00624062" w:rsidRDefault="00D058B8" w:rsidP="004C5D52">
      <w:pPr>
        <w:pStyle w:val="LineTop"/>
      </w:pPr>
    </w:p>
    <w:p w14:paraId="6E4ECF2F" w14:textId="77777777" w:rsidR="00680577" w:rsidRPr="00624062" w:rsidRDefault="00DB690F" w:rsidP="00680577">
      <w:pPr>
        <w:pStyle w:val="EPBodyTA1"/>
      </w:pPr>
      <w:r w:rsidRPr="00624062">
        <w:t>SPREJETA BESEDILA</w:t>
      </w:r>
    </w:p>
    <w:p w14:paraId="606F1F8E" w14:textId="77777777" w:rsidR="00D058B8" w:rsidRPr="00624062" w:rsidRDefault="00D058B8" w:rsidP="00D058B8">
      <w:pPr>
        <w:pStyle w:val="LineBottom"/>
      </w:pPr>
    </w:p>
    <w:p w14:paraId="221A7091" w14:textId="2199C000" w:rsidR="00DB690F" w:rsidRPr="00624062" w:rsidRDefault="00DB690F" w:rsidP="00DB690F">
      <w:pPr>
        <w:pStyle w:val="ATHeading1"/>
      </w:pPr>
      <w:bookmarkStart w:id="0" w:name="TANumber"/>
      <w:r w:rsidRPr="00624062">
        <w:t>P10_TA(2026)</w:t>
      </w:r>
      <w:bookmarkEnd w:id="0"/>
      <w:r w:rsidR="00422BB2">
        <w:t>0103</w:t>
      </w:r>
    </w:p>
    <w:p w14:paraId="6B5D2651" w14:textId="75FB04D9" w:rsidR="00DB690F" w:rsidRPr="00624062" w:rsidRDefault="003A30A6" w:rsidP="00DB690F">
      <w:pPr>
        <w:pStyle w:val="ATHeading2"/>
      </w:pPr>
      <w:r w:rsidRPr="003A30A6">
        <w:t>Uporaba Evropskega sklada za prilagoditev globalizaciji za presežne delavce: vloga EGF/2025/005 AT/KTM</w:t>
      </w:r>
      <w:r w:rsidR="00C95835">
        <w:t xml:space="preserve"> </w:t>
      </w:r>
      <w:r w:rsidR="00C95835" w:rsidRPr="00C95835">
        <w:t>– Avstrija</w:t>
      </w:r>
    </w:p>
    <w:p w14:paraId="6F93E1BE" w14:textId="77777777" w:rsidR="00DB690F" w:rsidRPr="00624062" w:rsidRDefault="00DB690F" w:rsidP="00DB690F">
      <w:pPr>
        <w:rPr>
          <w:i/>
          <w:vanish/>
        </w:rPr>
      </w:pPr>
      <w:r w:rsidRPr="00624062">
        <w:rPr>
          <w:i/>
        </w:rPr>
        <w:fldChar w:fldCharType="begin"/>
      </w:r>
      <w:r w:rsidRPr="00624062">
        <w:rPr>
          <w:i/>
        </w:rPr>
        <w:instrText xml:space="preserve"> TC"(</w:instrText>
      </w:r>
      <w:bookmarkStart w:id="1" w:name="DocNumber"/>
      <w:r w:rsidRPr="00624062">
        <w:rPr>
          <w:i/>
        </w:rPr>
        <w:instrText>A10-0060/2026</w:instrText>
      </w:r>
      <w:bookmarkEnd w:id="1"/>
      <w:r w:rsidRPr="00624062">
        <w:rPr>
          <w:i/>
        </w:rPr>
        <w:instrText xml:space="preserve"> - Poročevalec: </w:instrText>
      </w:r>
      <w:proofErr w:type="spellStart"/>
      <w:r w:rsidRPr="00624062">
        <w:rPr>
          <w:i/>
        </w:rPr>
        <w:instrText>Janusz</w:instrText>
      </w:r>
      <w:proofErr w:type="spellEnd"/>
      <w:r w:rsidRPr="00624062">
        <w:rPr>
          <w:i/>
        </w:rPr>
        <w:instrText xml:space="preserve"> </w:instrText>
      </w:r>
      <w:proofErr w:type="spellStart"/>
      <w:r w:rsidRPr="00624062">
        <w:rPr>
          <w:i/>
        </w:rPr>
        <w:instrText>Lewandowski</w:instrText>
      </w:r>
      <w:proofErr w:type="spellEnd"/>
      <w:r w:rsidRPr="00624062">
        <w:rPr>
          <w:i/>
        </w:rPr>
        <w:instrText xml:space="preserve">)"\l3 \n&gt; \* MERGEFORMAT </w:instrText>
      </w:r>
      <w:r w:rsidRPr="00624062">
        <w:rPr>
          <w:i/>
        </w:rPr>
        <w:fldChar w:fldCharType="end"/>
      </w:r>
    </w:p>
    <w:p w14:paraId="17481AA8" w14:textId="77777777" w:rsidR="00DB690F" w:rsidRPr="00624062" w:rsidRDefault="00DB690F" w:rsidP="00DB690F">
      <w:pPr>
        <w:rPr>
          <w:vanish/>
        </w:rPr>
      </w:pPr>
      <w:bookmarkStart w:id="2" w:name="Commission"/>
      <w:r w:rsidRPr="00624062">
        <w:rPr>
          <w:vanish/>
        </w:rPr>
        <w:t>Odbor za proračun</w:t>
      </w:r>
      <w:bookmarkEnd w:id="2"/>
    </w:p>
    <w:p w14:paraId="44335069" w14:textId="77777777" w:rsidR="00DB690F" w:rsidRPr="00624062" w:rsidRDefault="00DB690F" w:rsidP="00DB690F">
      <w:pPr>
        <w:rPr>
          <w:vanish/>
        </w:rPr>
      </w:pPr>
      <w:bookmarkStart w:id="3" w:name="PE"/>
      <w:r w:rsidRPr="00624062">
        <w:rPr>
          <w:vanish/>
        </w:rPr>
        <w:t>PE784.472</w:t>
      </w:r>
      <w:bookmarkEnd w:id="3"/>
    </w:p>
    <w:p w14:paraId="7FA09A84" w14:textId="50188126" w:rsidR="00DB690F" w:rsidRPr="00624062" w:rsidRDefault="00DB690F" w:rsidP="00DB690F">
      <w:pPr>
        <w:pStyle w:val="ATHeading3"/>
      </w:pPr>
      <w:bookmarkStart w:id="4" w:name="Sujet"/>
      <w:r w:rsidRPr="00624062">
        <w:t xml:space="preserve">Resolucija Evropskega parlamenta z dne </w:t>
      </w:r>
      <w:r w:rsidR="003A30A6">
        <w:t>26.</w:t>
      </w:r>
      <w:r w:rsidRPr="00624062">
        <w:t xml:space="preserve"> </w:t>
      </w:r>
      <w:r w:rsidR="003A30A6">
        <w:t xml:space="preserve">marca </w:t>
      </w:r>
      <w:r w:rsidRPr="00624062">
        <w:t>2026 o predlogu sklepa Evropskega parlamenta in Sveta o uporabi Evropskega sklada za prilagoditev globalizaciji za presežne delavce na podlagi vloge Avstrije – EGF/2025/005 AT/KTM</w:t>
      </w:r>
      <w:bookmarkEnd w:id="4"/>
      <w:r w:rsidRPr="00624062">
        <w:t xml:space="preserve"> </w:t>
      </w:r>
      <w:bookmarkStart w:id="5" w:name="References"/>
      <w:r w:rsidRPr="00624062">
        <w:t>(COM(2026)0010 – C10-0026/2026 – 2026/0037(BUD))</w:t>
      </w:r>
      <w:bookmarkEnd w:id="5"/>
    </w:p>
    <w:p w14:paraId="20DE14AA" w14:textId="77777777" w:rsidR="00EB5784" w:rsidRPr="00624062" w:rsidRDefault="00EB5784" w:rsidP="00EB5784">
      <w:pPr>
        <w:pStyle w:val="EPComma"/>
        <w:rPr>
          <w:noProof/>
        </w:rPr>
      </w:pPr>
      <w:r w:rsidRPr="00624062">
        <w:rPr>
          <w:i/>
        </w:rPr>
        <w:t>Evropski parlament</w:t>
      </w:r>
      <w:r w:rsidRPr="00624062">
        <w:t>,</w:t>
      </w:r>
    </w:p>
    <w:p w14:paraId="02CB75A9" w14:textId="77777777" w:rsidR="00EB5784" w:rsidRPr="00624062" w:rsidRDefault="00EB5784" w:rsidP="00EB5784">
      <w:pPr>
        <w:pStyle w:val="NormalHanging12a"/>
        <w:rPr>
          <w:noProof/>
        </w:rPr>
      </w:pPr>
      <w:r w:rsidRPr="00624062">
        <w:t>–</w:t>
      </w:r>
      <w:r w:rsidRPr="00624062">
        <w:tab/>
        <w:t>ob upoštevanju predloga Komisije Evropskemu parlamentu in Svetu (COM(2026)0010 – C10</w:t>
      </w:r>
      <w:r w:rsidRPr="00624062">
        <w:noBreakHyphen/>
        <w:t>0026/2026),</w:t>
      </w:r>
    </w:p>
    <w:p w14:paraId="526D74D6" w14:textId="31F838F9" w:rsidR="00EB5784" w:rsidRPr="00624062" w:rsidRDefault="00EB5784" w:rsidP="00EB5784">
      <w:pPr>
        <w:pStyle w:val="NormalHanging12a"/>
        <w:rPr>
          <w:noProof/>
        </w:rPr>
      </w:pPr>
      <w:r w:rsidRPr="00624062">
        <w:t>–</w:t>
      </w:r>
      <w:r w:rsidRPr="00624062">
        <w:tab/>
        <w:t>ob upoštevanju Uredbe (EU) 2021/691 Evropskega parlamenta in Sveta z dne 28. aprila 2021 o Evropskem skladu za prilagoditev globalizaciji za presežne delavce (ESPG) in razveljavitvi Uredbe (EU) št. 1309/2013</w:t>
      </w:r>
      <w:r w:rsidRPr="00624062">
        <w:rPr>
          <w:noProof/>
          <w:vertAlign w:val="superscript"/>
        </w:rPr>
        <w:footnoteReference w:id="1"/>
      </w:r>
      <w:r w:rsidRPr="00624062">
        <w:t xml:space="preserve"> (</w:t>
      </w:r>
      <w:r w:rsidR="008C564B" w:rsidRPr="00024F36">
        <w:t xml:space="preserve">v nadaljnjem besedilu: </w:t>
      </w:r>
      <w:r w:rsidRPr="00624062">
        <w:t>uredba o ESPG),</w:t>
      </w:r>
    </w:p>
    <w:p w14:paraId="4C282889" w14:textId="1FD2B92F" w:rsidR="00EB5784" w:rsidRPr="00624062" w:rsidRDefault="00EB5784" w:rsidP="00EB5784">
      <w:pPr>
        <w:pStyle w:val="NormalHanging12a"/>
        <w:rPr>
          <w:noProof/>
        </w:rPr>
      </w:pPr>
      <w:r w:rsidRPr="00624062">
        <w:t>–</w:t>
      </w:r>
      <w:r w:rsidRPr="00624062">
        <w:tab/>
        <w:t>ob upoštevanju Uredbe Sveta (EU, Euratom) 2020/2093 z dne 17. decembra 2020 o določitvi večletnega finančnega okvira za obdobje 2021–2027</w:t>
      </w:r>
      <w:r w:rsidRPr="00624062">
        <w:rPr>
          <w:noProof/>
          <w:vertAlign w:val="superscript"/>
        </w:rPr>
        <w:footnoteReference w:id="2"/>
      </w:r>
      <w:r w:rsidRPr="00624062">
        <w:t>, kot je bila spremenjena z Uredbo (EU, Euratom) 2024/765</w:t>
      </w:r>
      <w:r w:rsidRPr="00624062">
        <w:rPr>
          <w:noProof/>
          <w:vertAlign w:val="superscript"/>
        </w:rPr>
        <w:footnoteReference w:id="3"/>
      </w:r>
      <w:r w:rsidRPr="00624062">
        <w:t xml:space="preserve"> (v nadaljnjem besedilu: uredba o večletnem finančnem okviru)</w:t>
      </w:r>
      <w:r w:rsidR="008C564B">
        <w:t>,</w:t>
      </w:r>
      <w:r w:rsidRPr="00624062">
        <w:t xml:space="preserve"> </w:t>
      </w:r>
      <w:r w:rsidRPr="00CA09A7">
        <w:t>in zlasti člena 8,</w:t>
      </w:r>
    </w:p>
    <w:p w14:paraId="3BA7E4BD" w14:textId="57CEFE4A" w:rsidR="00EB5784" w:rsidRPr="00624062" w:rsidRDefault="00EB5784" w:rsidP="00EB5784">
      <w:pPr>
        <w:pStyle w:val="NormalHanging12a"/>
        <w:rPr>
          <w:noProof/>
        </w:rPr>
      </w:pPr>
      <w:r w:rsidRPr="00624062">
        <w:t>–</w:t>
      </w:r>
      <w:r w:rsidRPr="00624062">
        <w:tab/>
        <w:t xml:space="preserve">ob upoštevanju Medinstitucionalnega sporazuma z dne 16. decembra 2020 med Evropskim parlamentom, Svetom Evropske unije in Evropsko komisijo o proračunski disciplini, sodelovanju v proračunskih zadevah in dobrem finančnem </w:t>
      </w:r>
      <w:proofErr w:type="spellStart"/>
      <w:r w:rsidRPr="00624062">
        <w:t>poslovodenju</w:t>
      </w:r>
      <w:proofErr w:type="spellEnd"/>
      <w:r w:rsidRPr="00624062">
        <w:t xml:space="preserve"> ter novih virih lastnih sredstev, vključno s časovnim načrtom za uvedbo novih virov lastnih sredstev</w:t>
      </w:r>
      <w:r w:rsidRPr="00624062">
        <w:rPr>
          <w:noProof/>
          <w:vertAlign w:val="superscript"/>
        </w:rPr>
        <w:footnoteReference w:id="4"/>
      </w:r>
      <w:r w:rsidRPr="00624062">
        <w:t xml:space="preserve">, </w:t>
      </w:r>
      <w:r w:rsidR="008C564B">
        <w:t>ter</w:t>
      </w:r>
      <w:r w:rsidR="008C564B" w:rsidRPr="00624062">
        <w:t xml:space="preserve"> </w:t>
      </w:r>
      <w:r w:rsidRPr="00624062">
        <w:t>zlasti točke 9 Sporazuma,</w:t>
      </w:r>
    </w:p>
    <w:p w14:paraId="32FEFFC0" w14:textId="77777777" w:rsidR="00EB5784" w:rsidRPr="00624062" w:rsidRDefault="00EB5784" w:rsidP="00EB5784">
      <w:pPr>
        <w:pStyle w:val="NormalHanging12a"/>
        <w:rPr>
          <w:noProof/>
        </w:rPr>
      </w:pPr>
      <w:r w:rsidRPr="00624062">
        <w:lastRenderedPageBreak/>
        <w:t>–</w:t>
      </w:r>
      <w:r w:rsidRPr="00624062">
        <w:tab/>
        <w:t>ob upoštevanju evropskega stebra socialnih pravic,</w:t>
      </w:r>
    </w:p>
    <w:p w14:paraId="7BA64176" w14:textId="77777777" w:rsidR="00EB5784" w:rsidRPr="00624062" w:rsidRDefault="00EB5784" w:rsidP="00EB5784">
      <w:pPr>
        <w:pStyle w:val="NormalHanging12a"/>
        <w:rPr>
          <w:noProof/>
        </w:rPr>
      </w:pPr>
      <w:r w:rsidRPr="00624062">
        <w:t>–</w:t>
      </w:r>
      <w:r w:rsidRPr="00624062">
        <w:tab/>
        <w:t>ob upoštevanju mnenja Odbora za zaposlovanje in socialne zadeve,</w:t>
      </w:r>
    </w:p>
    <w:p w14:paraId="342A4E78" w14:textId="77777777" w:rsidR="00EB5784" w:rsidRPr="00624062" w:rsidRDefault="00EB5784" w:rsidP="00EB5784">
      <w:pPr>
        <w:pStyle w:val="NormalHanging12a"/>
        <w:rPr>
          <w:noProof/>
        </w:rPr>
      </w:pPr>
      <w:r w:rsidRPr="00624062">
        <w:t>–</w:t>
      </w:r>
      <w:r w:rsidRPr="00624062">
        <w:tab/>
        <w:t>ob upoštevanju poročila Odbora za proračun (A10</w:t>
      </w:r>
      <w:r w:rsidRPr="00624062">
        <w:noBreakHyphen/>
        <w:t>0060/2026),</w:t>
      </w:r>
    </w:p>
    <w:p w14:paraId="56111C25" w14:textId="77777777" w:rsidR="00EB5784" w:rsidRPr="00624062" w:rsidRDefault="00EB5784" w:rsidP="00EB5784">
      <w:pPr>
        <w:pStyle w:val="NormalHanging12a"/>
        <w:rPr>
          <w:noProof/>
        </w:rPr>
      </w:pPr>
      <w:r w:rsidRPr="00624062">
        <w:t>A.</w:t>
      </w:r>
      <w:r w:rsidRPr="00624062">
        <w:tab/>
        <w:t>ker je Unija vzpostavila zakonodajne in proračunske instrumente za zagotavljanje dodatne podpore delavcem, ki so jih prizadele posledice velikih strukturnih dogodkov in sprememb v svetovnih trgovinskih tokovih, ter za pomoč pri njihovi ponovni vključitvi na trg dela; ker se ta pomoč zagotovi prek finančne podpore delavcem;</w:t>
      </w:r>
    </w:p>
    <w:p w14:paraId="6971AD60" w14:textId="4AC0175D" w:rsidR="00EB5784" w:rsidRPr="00624062" w:rsidRDefault="00EB5784" w:rsidP="00EB5784">
      <w:pPr>
        <w:pStyle w:val="NormalHanging12a"/>
        <w:rPr>
          <w:noProof/>
        </w:rPr>
      </w:pPr>
      <w:r w:rsidRPr="00624062">
        <w:t>B.</w:t>
      </w:r>
      <w:r w:rsidRPr="00624062">
        <w:tab/>
        <w:t xml:space="preserve">ker je Avstrija vložila vlogo EGF/2025/005 AT/KTM za finančni prispevek </w:t>
      </w:r>
      <w:bookmarkStart w:id="6" w:name="_Hlk224895951"/>
      <w:r w:rsidRPr="00624062">
        <w:t xml:space="preserve">iz Evropskega sklada za prilagoditev globalizaciji </w:t>
      </w:r>
      <w:r w:rsidR="008C564B">
        <w:t xml:space="preserve">za presežne delavce </w:t>
      </w:r>
      <w:bookmarkEnd w:id="6"/>
      <w:r w:rsidRPr="00624062">
        <w:t>(ESPG) zaradi odpustitve 1 488 presežnih delavcev</w:t>
      </w:r>
      <w:r w:rsidRPr="00624062">
        <w:rPr>
          <w:noProof/>
          <w:vertAlign w:val="superscript"/>
        </w:rPr>
        <w:footnoteReference w:id="5"/>
      </w:r>
      <w:r w:rsidRPr="00624062">
        <w:t xml:space="preserve"> v podjetju KTM </w:t>
      </w:r>
      <w:proofErr w:type="spellStart"/>
      <w:r w:rsidRPr="00624062">
        <w:t>Gruppe</w:t>
      </w:r>
      <w:proofErr w:type="spellEnd"/>
      <w:r w:rsidRPr="00624062">
        <w:t xml:space="preserve"> (KTM) </w:t>
      </w:r>
      <w:r w:rsidR="008C564B">
        <w:t xml:space="preserve">v Avstriji </w:t>
      </w:r>
      <w:r w:rsidRPr="00624062">
        <w:t xml:space="preserve">v gospodarskem sektorju, razvrščenem v oddelek 30 NACE Revizija 2 (Proizvodnja drugih vozil in plovil) v regiji Zgornja Avstrija (AT31), pri čemer je bilo 233 presežnih delavcev odpuščenih v referenčnem obdobju od 25. februarja 2025 do 25. junija 2025, 1 255 pa pred ali po tem obdobju; </w:t>
      </w:r>
    </w:p>
    <w:p w14:paraId="49153855" w14:textId="77777777" w:rsidR="00EB5784" w:rsidRPr="00624062" w:rsidRDefault="00EB5784" w:rsidP="00EB5784">
      <w:pPr>
        <w:pStyle w:val="NormalHanging12a"/>
        <w:rPr>
          <w:noProof/>
        </w:rPr>
      </w:pPr>
      <w:r w:rsidRPr="00624062">
        <w:t>C.</w:t>
      </w:r>
      <w:r w:rsidRPr="00624062">
        <w:tab/>
        <w:t>ker vloga temelji na merilih za pomoč iz člena 4(2), točka (a), uredbe o ESPG, ki zahteva prenehanje opravljanja dejavnosti za vsaj 200 presežnih delavcev ali samozaposlenih oseb v štirimesečnem referenčnem obdobju v podjetju v državi članici; ker je za 1 255 presežnih delavcev, ki so prenehali opravljati dejavnost pred štirimesečnim referenčnim obdobjem ali po njem, mogoče ugotoviti jasno vzročno povezavo z dogodkom, ki je povzročil odpustitev presežnih delavcev v referenčnem obdobju, kot zahteva člen 6(2) uredbe o ESPG;</w:t>
      </w:r>
    </w:p>
    <w:p w14:paraId="4E1EE367" w14:textId="0E690F7B" w:rsidR="00EB5784" w:rsidRPr="00624062" w:rsidRDefault="00EB5784" w:rsidP="00EB5784">
      <w:pPr>
        <w:pStyle w:val="NormalHanging12a"/>
        <w:rPr>
          <w:noProof/>
        </w:rPr>
      </w:pPr>
      <w:r w:rsidRPr="00624062">
        <w:t>D.</w:t>
      </w:r>
      <w:r w:rsidRPr="00624062">
        <w:tab/>
        <w:t>ker je podjetje KTM 29. novembra 2024 vložilo predlog za začetek postopka zaradi insolventnosti, 25. februarja 2025 pa je bil odobren načrt prestrukturiranja; ker nekatere odločitve podjetja v zvezi z razdelitvijo dividend v letih 2021 in 2024, medtem ko je prejemalo državn</w:t>
      </w:r>
      <w:r w:rsidR="005E52BE">
        <w:t>o</w:t>
      </w:r>
      <w:r w:rsidRPr="00624062">
        <w:t xml:space="preserve"> pomoč med pandemijo covida-19, vzbujajo zaskrbljenost;</w:t>
      </w:r>
    </w:p>
    <w:p w14:paraId="1206CE0C" w14:textId="77777777" w:rsidR="00EB5784" w:rsidRPr="00624062" w:rsidRDefault="00EB5784" w:rsidP="00EB5784">
      <w:pPr>
        <w:pStyle w:val="NormalHanging12a"/>
        <w:rPr>
          <w:noProof/>
        </w:rPr>
      </w:pPr>
      <w:r w:rsidRPr="00624062">
        <w:t>E.</w:t>
      </w:r>
      <w:r w:rsidRPr="00624062">
        <w:tab/>
        <w:t>ker je Avstrija navedla, da javni zavod za zaposlovanje Zgornje Avstrije in dežela Zgornja Avstrija zagotavljata nacionalno predhodno financiranje in sofinanciranje ukrepov;</w:t>
      </w:r>
    </w:p>
    <w:p w14:paraId="2A1B5DDB" w14:textId="77777777" w:rsidR="00EB5784" w:rsidRPr="00624062" w:rsidRDefault="00EB5784" w:rsidP="00EB5784">
      <w:pPr>
        <w:pStyle w:val="NormalHanging12a"/>
        <w:rPr>
          <w:noProof/>
        </w:rPr>
      </w:pPr>
      <w:r w:rsidRPr="00624062">
        <w:t>F.</w:t>
      </w:r>
      <w:r w:rsidRPr="00624062">
        <w:tab/>
        <w:t>ker so bile izpolnjene zahteve glede kolektivnega odpuščanja, določene v zakonodaji Unije in v nacionalni zakonodaji;</w:t>
      </w:r>
    </w:p>
    <w:p w14:paraId="76EC5693" w14:textId="77777777" w:rsidR="00EB5784" w:rsidRPr="00624062" w:rsidRDefault="00EB5784" w:rsidP="00EB5784">
      <w:pPr>
        <w:pStyle w:val="NormalHanging12a"/>
        <w:rPr>
          <w:noProof/>
        </w:rPr>
      </w:pPr>
      <w:r w:rsidRPr="00624062">
        <w:t>G.</w:t>
      </w:r>
      <w:r w:rsidRPr="00624062">
        <w:tab/>
        <w:t>ker bi morali biti finančni prispevki iz ESPG usmerjeni predvsem v aktivne ukrepe politike trga dela in prilagojene storitve, katerih cilj je, da se upravičence hitro ponovno vključi v trg dela, hkrati pa se jim ponudi usposabljanje, da bodo lažje dostopali do prihodnjih potreb trga dela ter bili pripravljeni na zelen in digitalni prehod;</w:t>
      </w:r>
    </w:p>
    <w:p w14:paraId="63C23232" w14:textId="77777777" w:rsidR="00EB5784" w:rsidRPr="00624062" w:rsidRDefault="00EB5784" w:rsidP="00EB5784">
      <w:pPr>
        <w:pStyle w:val="NormalHanging12a"/>
        <w:rPr>
          <w:noProof/>
        </w:rPr>
      </w:pPr>
      <w:r w:rsidRPr="00624062">
        <w:t>H.</w:t>
      </w:r>
      <w:r w:rsidRPr="00624062">
        <w:tab/>
        <w:t>ker sredstva ESPG ne presegajo najvišjega letnega zneska 30 milijonov EUR (v cenah iz leta 2018)</w:t>
      </w:r>
      <w:r w:rsidRPr="00624062">
        <w:rPr>
          <w:noProof/>
          <w:vertAlign w:val="superscript"/>
        </w:rPr>
        <w:footnoteReference w:id="6"/>
      </w:r>
      <w:r w:rsidRPr="00624062">
        <w:t>;</w:t>
      </w:r>
    </w:p>
    <w:p w14:paraId="2C0C9E7A" w14:textId="77777777" w:rsidR="00EB5784" w:rsidRPr="00624062" w:rsidRDefault="00EB5784" w:rsidP="00EB5784">
      <w:pPr>
        <w:pStyle w:val="NormalHanging12a"/>
        <w:rPr>
          <w:bCs/>
          <w:iCs/>
          <w:noProof/>
        </w:rPr>
      </w:pPr>
      <w:r w:rsidRPr="00624062">
        <w:t>I.</w:t>
      </w:r>
      <w:r w:rsidRPr="00624062">
        <w:tab/>
        <w:t>ker nedavne selitve proizvodnih dejavnosti na lokacije zunaj Unije opozarjajo, da je treba okrepiti konkurenčnost in odpornost evropske industrije na svetovnem trgu;</w:t>
      </w:r>
    </w:p>
    <w:p w14:paraId="5BE58B1C" w14:textId="77777777" w:rsidR="00EB5784" w:rsidRPr="00624062" w:rsidRDefault="00EB5784" w:rsidP="00EB5784">
      <w:pPr>
        <w:pStyle w:val="NormalHanging12a"/>
        <w:rPr>
          <w:noProof/>
        </w:rPr>
      </w:pPr>
      <w:r w:rsidRPr="00624062">
        <w:lastRenderedPageBreak/>
        <w:t>1.</w:t>
      </w:r>
      <w:r w:rsidRPr="00624062">
        <w:tab/>
        <w:t>se strinja s Komisijo, da so pogoji iz uredbe o ESPG, zlasti člena 4(2), točka (a), izpolnjeni in da je Avstrija na podlagi te uredbe upravičena do finančnega prispevka v znesku 1 806 624 EUR, kar je 60 % skupnih stroškov v znesku 3 011 040 EUR, od česar stroški prilagojenih storitev znašajo 2 895 120 EUR, stroški priprave, upravljanja, informiranja in obveščanja javnosti ter nadzora in poročanja pa 115 920 EUR;</w:t>
      </w:r>
    </w:p>
    <w:p w14:paraId="10169AC0" w14:textId="77777777" w:rsidR="00EB5784" w:rsidRPr="00624062" w:rsidRDefault="00EB5784" w:rsidP="00EB5784">
      <w:pPr>
        <w:pStyle w:val="NormalHanging12a"/>
        <w:rPr>
          <w:noProof/>
        </w:rPr>
      </w:pPr>
      <w:r w:rsidRPr="00624062">
        <w:t>2.</w:t>
      </w:r>
      <w:r w:rsidRPr="00624062">
        <w:tab/>
        <w:t xml:space="preserve">ugotavlja, da so avstrijski organi vlogo predložili 15. septembra 2025, Komisija pa je na osnovi dodatnih informacij, ki jih je posredovala Avstrija, oceno te vloge dokončala 6. februarja 2026 in jo posredovala Parlamentu 11. februarja 2026; poudarja, da je pomembno skrajšati čas med predložitvijo vloge za pomoč iz ESPG in sklepom o financiranju, hkrati pa v celoti zaščititi pravice Evropskega parlamenta kot veje proračunskega organa; </w:t>
      </w:r>
    </w:p>
    <w:p w14:paraId="4E3B689A" w14:textId="77777777" w:rsidR="00EB5784" w:rsidRPr="00624062" w:rsidRDefault="00EB5784" w:rsidP="00EB5784">
      <w:pPr>
        <w:pStyle w:val="NormalHanging12a"/>
        <w:rPr>
          <w:noProof/>
        </w:rPr>
      </w:pPr>
      <w:r w:rsidRPr="00624062">
        <w:t>3.</w:t>
      </w:r>
      <w:r w:rsidRPr="00624062">
        <w:tab/>
        <w:t>ugotavlja, da se vloga nanaša na 1 488 delavcev, ki jih je prizadel postopek zaradi insolventnosti podjetja KTM, ki je bil doslej največji v Zgornji Avstriji; ugotavlja tudi, da bo skupaj 420 presežnih delavcev ciljnih upravičencev in da se pričakuje, da bodo sodelovali v ukrepih;</w:t>
      </w:r>
    </w:p>
    <w:p w14:paraId="5828C644" w14:textId="77777777" w:rsidR="00EB5784" w:rsidRPr="00624062" w:rsidRDefault="00EB5784" w:rsidP="00EB5784">
      <w:pPr>
        <w:pStyle w:val="NormalHanging12a"/>
        <w:rPr>
          <w:noProof/>
        </w:rPr>
      </w:pPr>
      <w:r w:rsidRPr="00624062">
        <w:t>4.</w:t>
      </w:r>
      <w:r w:rsidRPr="00624062">
        <w:tab/>
        <w:t xml:space="preserve">ugotavlja, da je bilo podjetje KTM največji proizvajalec motornih koles v Uniji in največja hčerinska družba podjetja </w:t>
      </w:r>
      <w:proofErr w:type="spellStart"/>
      <w:r w:rsidRPr="00624062">
        <w:t>Pierer</w:t>
      </w:r>
      <w:proofErr w:type="spellEnd"/>
      <w:r w:rsidRPr="00624062">
        <w:t xml:space="preserve"> </w:t>
      </w:r>
      <w:proofErr w:type="spellStart"/>
      <w:r w:rsidRPr="00624062">
        <w:t>Mobility</w:t>
      </w:r>
      <w:proofErr w:type="spellEnd"/>
      <w:r w:rsidRPr="00624062">
        <w:t xml:space="preserve"> AG; obžaluje, da se je matično podjetje decembra 2023 zaradi nepoštenih konkurenčnih pogojev odločilo preseliti proizvodnjo na Kitajsko in v Indijo; ugotavlja, da je to privedlo do začetnega zaprtja 300 delovnih mest in da je podjetje KTM zaradi posledičnih izgub pri prodaji zmanjšalo stroške, vključno z odpustitvijo več kot 500 zaposlenih v letu 2024;</w:t>
      </w:r>
    </w:p>
    <w:p w14:paraId="2F4B153E" w14:textId="77777777" w:rsidR="00EB5784" w:rsidRPr="00624062" w:rsidRDefault="00EB5784" w:rsidP="00EB5784">
      <w:pPr>
        <w:pStyle w:val="NormalHanging12a"/>
        <w:rPr>
          <w:noProof/>
        </w:rPr>
      </w:pPr>
      <w:r w:rsidRPr="00624062">
        <w:t>5.</w:t>
      </w:r>
      <w:r w:rsidRPr="00624062">
        <w:tab/>
        <w:t xml:space="preserve">ugotavlja, da je moralo matično podjetje začeti postopek prestrukturiranja in da je bilo v času, ko je bila proizvodnja v podjetju KTM prvič ustavljena leta 2025, odpuščenih več kot 750 dodatnih delavcev; ugotavlja, da je vlagatelj Bajaj </w:t>
      </w:r>
      <w:proofErr w:type="spellStart"/>
      <w:r w:rsidRPr="00624062">
        <w:t>Auto</w:t>
      </w:r>
      <w:proofErr w:type="spellEnd"/>
      <w:r w:rsidRPr="00624062">
        <w:t xml:space="preserve"> </w:t>
      </w:r>
      <w:proofErr w:type="spellStart"/>
      <w:r w:rsidRPr="00624062">
        <w:t>International</w:t>
      </w:r>
      <w:proofErr w:type="spellEnd"/>
      <w:r w:rsidRPr="00624062">
        <w:t xml:space="preserve"> </w:t>
      </w:r>
      <w:proofErr w:type="spellStart"/>
      <w:r w:rsidRPr="00624062">
        <w:t>Holdings</w:t>
      </w:r>
      <w:proofErr w:type="spellEnd"/>
      <w:r w:rsidRPr="00624062">
        <w:t xml:space="preserve"> B.V. 22. maja 2025 zagotovil potrebna sredstva za nadaljevanje delovanje podjetja KTM, s čimer je preprečil stečaj podjetja KTM in omogočil nadaljevanje proizvodnje julija 2025, hkrati pa je omejil porabo;</w:t>
      </w:r>
    </w:p>
    <w:p w14:paraId="6E7AACA2" w14:textId="77777777" w:rsidR="00EB5784" w:rsidRPr="00624062" w:rsidRDefault="00EB5784" w:rsidP="00EB5784">
      <w:pPr>
        <w:pStyle w:val="NormalHanging12a"/>
        <w:rPr>
          <w:noProof/>
        </w:rPr>
      </w:pPr>
      <w:r w:rsidRPr="00624062">
        <w:t>6.</w:t>
      </w:r>
      <w:r w:rsidRPr="00624062">
        <w:tab/>
        <w:t xml:space="preserve">ugotavlja, da je bilo podjetje KTM nekoč ena najuspešnejših blagovnih znamk motornih koles v Evropi, pomemben delodajalec in ključni gospodarski steber številnih dobaviteljev v okrožju </w:t>
      </w:r>
      <w:proofErr w:type="spellStart"/>
      <w:r w:rsidRPr="00624062">
        <w:t>Braunau</w:t>
      </w:r>
      <w:proofErr w:type="spellEnd"/>
      <w:r w:rsidRPr="00624062">
        <w:t xml:space="preserve"> v Zgornji Avstriji; ugotavlja, da se je zato brezposelnost v okrožju novembra 2024 povečala za 37,1 % v primerjavi z istim mesecem prejšnjega leta; ugotavlja, da je brezposelnost v okrožju </w:t>
      </w:r>
      <w:proofErr w:type="spellStart"/>
      <w:r w:rsidRPr="00624062">
        <w:t>Braunau</w:t>
      </w:r>
      <w:proofErr w:type="spellEnd"/>
      <w:r w:rsidRPr="00624062">
        <w:t xml:space="preserve"> leta 2025 dosegla najvišjo raven doslej; </w:t>
      </w:r>
    </w:p>
    <w:p w14:paraId="733DBD22" w14:textId="77777777" w:rsidR="00EB5784" w:rsidRPr="00624062" w:rsidRDefault="00EB5784" w:rsidP="00EB5784">
      <w:pPr>
        <w:pStyle w:val="NormalHanging12a"/>
        <w:rPr>
          <w:noProof/>
        </w:rPr>
      </w:pPr>
      <w:r w:rsidRPr="00624062">
        <w:t>7.</w:t>
      </w:r>
      <w:r w:rsidRPr="00624062">
        <w:tab/>
        <w:t xml:space="preserve">opozarja, da v dogovoru s socialnimi partnerji prilagojene storitve, ki bodo zagotovljene delavcem, vključujejo naslednje ukrepe: vodenje zadeve; karierno svetovanje in karierna orientacija; usposabljanje in </w:t>
      </w:r>
      <w:proofErr w:type="spellStart"/>
      <w:r w:rsidRPr="00624062">
        <w:t>preusposabljanje</w:t>
      </w:r>
      <w:proofErr w:type="spellEnd"/>
      <w:r w:rsidRPr="00624062">
        <w:t>; proaktivno iskanje zaposlitve; dodatek za usposabljanje; poudarja pomen spodbujanja visokokakovostnih, v prihodnost usmerjenih delovnih mest, da se zagotovi dolgoročna gospodarska in socialna odpornost; poudarja, kako pomembno je tesno sodelovanje z regionalnimi podjetji in delodajalci, da bi programi usposabljanja in prekvalifikacije ustrezali konkretnim potrebam trga dela in olajšali hitro ponovno vključevanje presežnih delavcev;</w:t>
      </w:r>
    </w:p>
    <w:p w14:paraId="228DABFA" w14:textId="77777777" w:rsidR="00EB5784" w:rsidRPr="00624062" w:rsidRDefault="00EB5784" w:rsidP="00EB5784">
      <w:pPr>
        <w:pStyle w:val="NormalHanging12a"/>
        <w:rPr>
          <w:bCs/>
          <w:iCs/>
          <w:noProof/>
        </w:rPr>
      </w:pPr>
      <w:r w:rsidRPr="00624062">
        <w:t>8.</w:t>
      </w:r>
      <w:r w:rsidRPr="00624062">
        <w:tab/>
        <w:t xml:space="preserve">opozarja, da je ESPG instrument solidarnosti in pravičnega prehoda ter da kljub temu, da zagotavlja podporo po izgubi delovnih mest, ne more nadomestiti proaktivne industrijske politike; poudarja, da mora biti glavna naloga Unije preprečiti takšna zapiranja, in sicer predvsem z ustvarjanjem pogojev, da bi industrijska proizvodnja </w:t>
      </w:r>
      <w:r w:rsidRPr="00624062">
        <w:lastRenderedPageBreak/>
        <w:t>ostala konkurenčna, hkrati pa vlagati v znanja in spretnosti visokokvalificiranih in industrijskih delavcev; poziva belgijske organe, naj zagotovijo posebno podporo, prilagojeno profilom delavcev z nizko stopnjo izobrazbe, hkrati pa sprejmejo ukrepe za zmanjšanje stečajev in odpravo socialnih razlik, ki vodijo v izključitev iz delovne sile;</w:t>
      </w:r>
    </w:p>
    <w:p w14:paraId="300B5B94" w14:textId="77777777" w:rsidR="00EB5784" w:rsidRPr="00624062" w:rsidRDefault="00EB5784" w:rsidP="00EB5784">
      <w:pPr>
        <w:pStyle w:val="NormalHanging12a"/>
        <w:rPr>
          <w:bCs/>
          <w:iCs/>
          <w:noProof/>
        </w:rPr>
      </w:pPr>
      <w:r w:rsidRPr="00624062">
        <w:t>9.</w:t>
      </w:r>
      <w:r w:rsidRPr="00624062">
        <w:tab/>
        <w:t>poudarja, da morajo avstrijski organi zagotoviti prepoznavnost financiranja Unije in njegovo dodano vrednost, tako da upravičencem, regionalnim in lokalnim organom, socialnim partnerjem in širši javnosti zagotovijo učinkovite in ciljno usmerjene informacije;</w:t>
      </w:r>
    </w:p>
    <w:p w14:paraId="3EC51ABA" w14:textId="77777777" w:rsidR="00EB5784" w:rsidRPr="00624062" w:rsidRDefault="00EB5784" w:rsidP="00EB5784">
      <w:pPr>
        <w:pStyle w:val="NormalHanging12a"/>
        <w:rPr>
          <w:noProof/>
        </w:rPr>
      </w:pPr>
      <w:r w:rsidRPr="00624062">
        <w:t>10.</w:t>
      </w:r>
      <w:r w:rsidRPr="00624062">
        <w:tab/>
        <w:t>poziva k temeljiti končni oceni izvedenih ukrepov, vključno z jasnimi informacijami o tem, kako so bila sredstva porabljena in ali so bila porabljena v skladu z odobrenimi načrti;</w:t>
      </w:r>
    </w:p>
    <w:p w14:paraId="2A9F22DF" w14:textId="77777777" w:rsidR="00EB5784" w:rsidRPr="00624062" w:rsidRDefault="00EB5784" w:rsidP="00EB5784">
      <w:pPr>
        <w:pStyle w:val="NormalHanging12a"/>
        <w:rPr>
          <w:noProof/>
        </w:rPr>
      </w:pPr>
      <w:r w:rsidRPr="00624062">
        <w:t>11.</w:t>
      </w:r>
      <w:r w:rsidRPr="00624062">
        <w:tab/>
        <w:t>ugotavlja, da je Avstrija 1. marca 2025 začela izvajati prilagojene storitve za ciljne upravičence, na ta dan pa so začeli nastajati tudi upravni izdatki za izvajanje ESPG, zato bo obdobje upravičenosti do finančnega prispevka iz ESPG trajalo od tega datuma do 24 mesecev oziroma 31 mesecev po datumu začetka veljavnosti sklepa o financiranju;</w:t>
      </w:r>
    </w:p>
    <w:p w14:paraId="36097B8F" w14:textId="77777777" w:rsidR="00EB5784" w:rsidRPr="00624062" w:rsidRDefault="00EB5784" w:rsidP="00EB5784">
      <w:pPr>
        <w:pStyle w:val="NormalHanging12a"/>
        <w:rPr>
          <w:noProof/>
        </w:rPr>
      </w:pPr>
      <w:r w:rsidRPr="00624062">
        <w:t>12.</w:t>
      </w:r>
      <w:r w:rsidRPr="00624062">
        <w:tab/>
        <w:t>je seznanjen, da so avstrijski organi dali zagotovila, da bosta pri dostopu do predlaganih ukrepov in njihovem izvajanju spoštovani načeli enake obravnave in nediskriminacije ter da bo preprečeno vsako dvojno financiranje;</w:t>
      </w:r>
    </w:p>
    <w:p w14:paraId="24D5FFC8" w14:textId="77777777" w:rsidR="00EB5784" w:rsidRPr="00624062" w:rsidRDefault="00EB5784" w:rsidP="00EB5784">
      <w:pPr>
        <w:pStyle w:val="NormalHanging12a"/>
        <w:rPr>
          <w:noProof/>
        </w:rPr>
      </w:pPr>
      <w:r w:rsidRPr="00624062">
        <w:t>13.</w:t>
      </w:r>
      <w:r w:rsidRPr="00624062">
        <w:tab/>
        <w:t>ponavlja, da pomoč iz ESPG ne sme nadomestiti ukrepov, za katere so odgovorna podjetja na podlagi nacionalnega prava ali kolektivnih pogodb;</w:t>
      </w:r>
    </w:p>
    <w:p w14:paraId="40C26589" w14:textId="77777777" w:rsidR="00EB5784" w:rsidRPr="00624062" w:rsidRDefault="00EB5784" w:rsidP="00EB5784">
      <w:pPr>
        <w:pStyle w:val="NormalHanging12a"/>
        <w:rPr>
          <w:noProof/>
        </w:rPr>
      </w:pPr>
      <w:r w:rsidRPr="00624062">
        <w:t>14.</w:t>
      </w:r>
      <w:r w:rsidRPr="00624062">
        <w:tab/>
        <w:t>odobri sklep, priložen tej resoluciji;</w:t>
      </w:r>
    </w:p>
    <w:p w14:paraId="7CBE165A" w14:textId="77777777" w:rsidR="00EB5784" w:rsidRPr="00624062" w:rsidRDefault="00EB5784" w:rsidP="00EB5784">
      <w:pPr>
        <w:pStyle w:val="NormalHanging12a"/>
        <w:rPr>
          <w:noProof/>
        </w:rPr>
      </w:pPr>
      <w:r w:rsidRPr="00624062">
        <w:t>15.</w:t>
      </w:r>
      <w:r w:rsidRPr="00624062">
        <w:tab/>
        <w:t xml:space="preserve">naroči svoji predsednici, naj podpiše ta sklep skupaj s predsedujočim Svetu ter poskrbi za njegovo objavo v </w:t>
      </w:r>
      <w:r w:rsidRPr="00624062">
        <w:rPr>
          <w:i/>
          <w:iCs/>
        </w:rPr>
        <w:t>Uradnem listu Evropske unije</w:t>
      </w:r>
      <w:r w:rsidRPr="00624062">
        <w:t>;</w:t>
      </w:r>
    </w:p>
    <w:p w14:paraId="236C75E1" w14:textId="77777777" w:rsidR="00EB5784" w:rsidRPr="00624062" w:rsidRDefault="00EB5784" w:rsidP="00EB5784">
      <w:pPr>
        <w:pStyle w:val="NormalHanging12a"/>
        <w:rPr>
          <w:noProof/>
        </w:rPr>
      </w:pPr>
      <w:r w:rsidRPr="00624062">
        <w:t>16.</w:t>
      </w:r>
      <w:r w:rsidRPr="00624062">
        <w:tab/>
        <w:t>naroči svoji predsednici, naj to resolucijo skupaj s prilogo posreduje Svetu in Komisiji.</w:t>
      </w:r>
    </w:p>
    <w:p w14:paraId="12F303E5" w14:textId="77777777" w:rsidR="00EB5784" w:rsidRPr="00624062" w:rsidRDefault="00EB5784" w:rsidP="00EB5784">
      <w:pPr>
        <w:rPr>
          <w:noProof/>
        </w:rPr>
      </w:pPr>
    </w:p>
    <w:p w14:paraId="0FE922CA" w14:textId="77777777" w:rsidR="00EB5784" w:rsidRPr="00624062" w:rsidRDefault="00EB5784" w:rsidP="00EB5784">
      <w:pPr>
        <w:pStyle w:val="PageHeading"/>
        <w:rPr>
          <w:noProof/>
        </w:rPr>
        <w:sectPr w:rsidR="00EB5784" w:rsidRPr="00624062" w:rsidSect="0062406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9C82CDA" w14:textId="77777777" w:rsidR="008D3CBE" w:rsidRPr="008D3CBE" w:rsidRDefault="00EB5784" w:rsidP="00EB5784">
      <w:pPr>
        <w:pStyle w:val="PageHeading"/>
        <w:rPr>
          <w:rFonts w:ascii="Times New Roman" w:hAnsi="Times New Roman" w:cs="Times New Roman"/>
        </w:rPr>
      </w:pPr>
      <w:bookmarkStart w:id="7" w:name="_Toc224816545"/>
      <w:r w:rsidRPr="008D3CBE">
        <w:rPr>
          <w:rFonts w:ascii="Times New Roman" w:hAnsi="Times New Roman" w:cs="Times New Roman"/>
        </w:rPr>
        <w:lastRenderedPageBreak/>
        <w:t>PRILOGA</w:t>
      </w:r>
    </w:p>
    <w:p w14:paraId="7DE85481" w14:textId="4177BE31" w:rsidR="00EB5784" w:rsidRPr="008D3CBE" w:rsidRDefault="00EB5784" w:rsidP="00EB5784">
      <w:pPr>
        <w:pStyle w:val="PageHeading"/>
        <w:rPr>
          <w:rFonts w:ascii="Times New Roman" w:hAnsi="Times New Roman" w:cs="Times New Roman"/>
          <w:noProof/>
        </w:rPr>
      </w:pPr>
      <w:r w:rsidRPr="008D3CBE">
        <w:rPr>
          <w:rFonts w:ascii="Times New Roman" w:hAnsi="Times New Roman" w:cs="Times New Roman"/>
        </w:rPr>
        <w:t>SKLEP EVROPSKEGA PARLAMENTA IN SVETA</w:t>
      </w:r>
      <w:bookmarkEnd w:id="7"/>
    </w:p>
    <w:p w14:paraId="54FED0BF" w14:textId="77777777" w:rsidR="00EB5784" w:rsidRDefault="00EB5784" w:rsidP="008D3CBE">
      <w:pPr>
        <w:pStyle w:val="NormalHanging12a"/>
        <w:jc w:val="center"/>
        <w:rPr>
          <w:b/>
        </w:rPr>
      </w:pPr>
      <w:bookmarkStart w:id="8" w:name="_Hlk212804276"/>
      <w:bookmarkStart w:id="9" w:name="_Hlk212804598"/>
      <w:r w:rsidRPr="00624062">
        <w:rPr>
          <w:b/>
        </w:rPr>
        <w:t>o uporabi Evropskega sklada za prilagoditev globalizaciji za presežne delavce na podlagi vloge Avstrije – EGF/2025/005 AT/KTM</w:t>
      </w:r>
    </w:p>
    <w:p w14:paraId="408AC50F" w14:textId="59359A05" w:rsidR="008D3CBE" w:rsidRPr="00624062" w:rsidRDefault="008D3CBE" w:rsidP="008D3CBE">
      <w:pPr>
        <w:widowControl/>
        <w:spacing w:before="120" w:after="120"/>
        <w:rPr>
          <w:b/>
          <w:bCs/>
        </w:rPr>
      </w:pPr>
      <w:r w:rsidRPr="004B0701">
        <w:rPr>
          <w:i/>
        </w:rPr>
        <w:t>(Besedilo te priloge tukaj ni navedeno, saj je enako končnemu aktu, Sklepu (EU) 2026/</w:t>
      </w:r>
      <w:r>
        <w:rPr>
          <w:i/>
        </w:rPr>
        <w:t>85</w:t>
      </w:r>
      <w:r>
        <w:rPr>
          <w:i/>
        </w:rPr>
        <w:t>0</w:t>
      </w:r>
      <w:r w:rsidRPr="004B0701">
        <w:rPr>
          <w:i/>
        </w:rPr>
        <w:t>.)</w:t>
      </w:r>
    </w:p>
    <w:bookmarkEnd w:id="8"/>
    <w:bookmarkEnd w:id="9"/>
    <w:sectPr w:rsidR="008D3CBE" w:rsidRPr="00624062" w:rsidSect="0062406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7D3AA" w14:textId="77777777" w:rsidR="00DB690F" w:rsidRPr="00624062" w:rsidRDefault="00DB690F">
      <w:r w:rsidRPr="00624062">
        <w:separator/>
      </w:r>
    </w:p>
  </w:endnote>
  <w:endnote w:type="continuationSeparator" w:id="0">
    <w:p w14:paraId="4BA15954" w14:textId="77777777" w:rsidR="00DB690F" w:rsidRPr="00624062" w:rsidRDefault="00DB690F">
      <w:r w:rsidRPr="006240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B5239" w14:textId="77777777" w:rsidR="00EB5784" w:rsidRPr="00624062" w:rsidRDefault="00EB5784" w:rsidP="007404B7">
    <w:pPr>
      <w:pStyle w:val="EPFooter"/>
    </w:pPr>
    <w:r w:rsidRPr="00624062">
      <w:t>PE</w:t>
    </w:r>
    <w:r w:rsidRPr="00624062">
      <w:rPr>
        <w:rStyle w:val="HideTWBExt"/>
      </w:rPr>
      <w:t>&lt;</w:t>
    </w:r>
    <w:proofErr w:type="spellStart"/>
    <w:r w:rsidRPr="00624062">
      <w:rPr>
        <w:rStyle w:val="HideTWBExt"/>
      </w:rPr>
      <w:t>NoPE</w:t>
    </w:r>
    <w:proofErr w:type="spellEnd"/>
    <w:r w:rsidRPr="00624062">
      <w:rPr>
        <w:rStyle w:val="HideTWBExt"/>
      </w:rPr>
      <w:t>&gt;</w:t>
    </w:r>
    <w:r w:rsidRPr="00624062">
      <w:t>784.472</w:t>
    </w:r>
    <w:r w:rsidRPr="00624062">
      <w:rPr>
        <w:rStyle w:val="HideTWBExt"/>
      </w:rPr>
      <w:t>&lt;/</w:t>
    </w:r>
    <w:proofErr w:type="spellStart"/>
    <w:r w:rsidRPr="00624062">
      <w:rPr>
        <w:rStyle w:val="HideTWBExt"/>
      </w:rPr>
      <w:t>NoPE</w:t>
    </w:r>
    <w:proofErr w:type="spellEnd"/>
    <w:r w:rsidRPr="00624062">
      <w:rPr>
        <w:rStyle w:val="HideTWBExt"/>
      </w:rPr>
      <w:t>&gt;&lt;Version&gt;</w:t>
    </w:r>
    <w:r w:rsidRPr="00624062">
      <w:t>v02-00</w:t>
    </w:r>
    <w:r w:rsidRPr="00624062">
      <w:rPr>
        <w:rStyle w:val="HideTWBExt"/>
      </w:rPr>
      <w:t>&lt;/</w:t>
    </w:r>
    <w:proofErr w:type="spellStart"/>
    <w:r w:rsidRPr="00624062">
      <w:rPr>
        <w:rStyle w:val="HideTWBExt"/>
      </w:rPr>
      <w:t>Version</w:t>
    </w:r>
    <w:proofErr w:type="spellEnd"/>
    <w:r w:rsidRPr="00624062">
      <w:rPr>
        <w:rStyle w:val="HideTWBExt"/>
      </w:rPr>
      <w:t>&gt;</w:t>
    </w:r>
    <w:r w:rsidRPr="00624062">
      <w:tab/>
    </w:r>
    <w:r w:rsidRPr="00624062">
      <w:fldChar w:fldCharType="begin"/>
    </w:r>
    <w:r w:rsidRPr="00624062">
      <w:instrText xml:space="preserve"> PAGE  \* MERGEFORMAT </w:instrText>
    </w:r>
    <w:r w:rsidRPr="00624062">
      <w:fldChar w:fldCharType="separate"/>
    </w:r>
    <w:r w:rsidRPr="00624062">
      <w:rPr>
        <w:noProof/>
      </w:rPr>
      <w:t>16</w:t>
    </w:r>
    <w:r w:rsidRPr="00624062">
      <w:fldChar w:fldCharType="end"/>
    </w:r>
    <w:r w:rsidRPr="00624062">
      <w:t>/</w:t>
    </w:r>
    <w:fldSimple w:instr=" NUMPAGES  \* MERGEFORMAT ">
      <w:r w:rsidRPr="00624062">
        <w:rPr>
          <w:noProof/>
        </w:rPr>
        <w:t>17</w:t>
      </w:r>
    </w:fldSimple>
    <w:r w:rsidRPr="00624062">
      <w:tab/>
    </w:r>
    <w:r w:rsidRPr="00624062">
      <w:rPr>
        <w:rStyle w:val="HideTWBExt"/>
      </w:rPr>
      <w:t>&lt;PathFdR&gt;</w:t>
    </w:r>
    <w:r w:rsidRPr="00624062">
      <w:t>RR\1339711SL.docx</w:t>
    </w:r>
    <w:r w:rsidRPr="00624062">
      <w:rPr>
        <w:rStyle w:val="HideTWBExt"/>
      </w:rPr>
      <w:t>&lt;/</w:t>
    </w:r>
    <w:proofErr w:type="spellStart"/>
    <w:r w:rsidRPr="00624062">
      <w:rPr>
        <w:rStyle w:val="HideTWBExt"/>
      </w:rPr>
      <w:t>PathFdR</w:t>
    </w:r>
    <w:proofErr w:type="spellEnd"/>
    <w:r w:rsidRPr="00624062">
      <w:rPr>
        <w:rStyle w:val="HideTWBExt"/>
      </w:rPr>
      <w:t>&gt;</w:t>
    </w:r>
  </w:p>
  <w:p w14:paraId="715E48EB" w14:textId="77777777" w:rsidR="00EB5784" w:rsidRPr="00624062" w:rsidRDefault="00EB5784" w:rsidP="007404B7">
    <w:pPr>
      <w:pStyle w:val="EPFooter2"/>
    </w:pPr>
    <w:r w:rsidRPr="00624062">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89B49" w14:textId="77777777" w:rsidR="00EB5784" w:rsidRPr="00624062" w:rsidRDefault="00EB5784" w:rsidP="007404B7">
    <w:pPr>
      <w:pStyle w:val="EPFooter"/>
    </w:pPr>
    <w:r w:rsidRPr="00624062">
      <w:rPr>
        <w:rStyle w:val="HideTWBExt"/>
      </w:rPr>
      <w:t>&lt;PathFdR&gt;</w:t>
    </w:r>
    <w:r w:rsidRPr="00624062">
      <w:t>RR\1339711SL.docx</w:t>
    </w:r>
    <w:r w:rsidRPr="00624062">
      <w:rPr>
        <w:rStyle w:val="HideTWBExt"/>
      </w:rPr>
      <w:t>&lt;/</w:t>
    </w:r>
    <w:proofErr w:type="spellStart"/>
    <w:r w:rsidRPr="00624062">
      <w:rPr>
        <w:rStyle w:val="HideTWBExt"/>
      </w:rPr>
      <w:t>PathFdR</w:t>
    </w:r>
    <w:proofErr w:type="spellEnd"/>
    <w:r w:rsidRPr="00624062">
      <w:rPr>
        <w:rStyle w:val="HideTWBExt"/>
      </w:rPr>
      <w:t>&gt;</w:t>
    </w:r>
    <w:r w:rsidRPr="00624062">
      <w:tab/>
    </w:r>
    <w:r w:rsidRPr="00624062">
      <w:tab/>
      <w:t>PE</w:t>
    </w:r>
    <w:r w:rsidRPr="00624062">
      <w:rPr>
        <w:rStyle w:val="HideTWBExt"/>
      </w:rPr>
      <w:t>&lt;</w:t>
    </w:r>
    <w:proofErr w:type="spellStart"/>
    <w:r w:rsidRPr="00624062">
      <w:rPr>
        <w:rStyle w:val="HideTWBExt"/>
      </w:rPr>
      <w:t>NoPE</w:t>
    </w:r>
    <w:proofErr w:type="spellEnd"/>
    <w:r w:rsidRPr="00624062">
      <w:rPr>
        <w:rStyle w:val="HideTWBExt"/>
      </w:rPr>
      <w:t>&gt;</w:t>
    </w:r>
    <w:r w:rsidRPr="00624062">
      <w:t>784.472</w:t>
    </w:r>
    <w:r w:rsidRPr="00624062">
      <w:rPr>
        <w:rStyle w:val="HideTWBExt"/>
      </w:rPr>
      <w:t>&lt;/</w:t>
    </w:r>
    <w:proofErr w:type="spellStart"/>
    <w:r w:rsidRPr="00624062">
      <w:rPr>
        <w:rStyle w:val="HideTWBExt"/>
      </w:rPr>
      <w:t>NoPE</w:t>
    </w:r>
    <w:proofErr w:type="spellEnd"/>
    <w:r w:rsidRPr="00624062">
      <w:rPr>
        <w:rStyle w:val="HideTWBExt"/>
      </w:rPr>
      <w:t>&gt;&lt;Version&gt;</w:t>
    </w:r>
    <w:r w:rsidRPr="00624062">
      <w:t>v02-00</w:t>
    </w:r>
    <w:r w:rsidRPr="00624062">
      <w:rPr>
        <w:rStyle w:val="HideTWBExt"/>
      </w:rPr>
      <w:t>&lt;/</w:t>
    </w:r>
    <w:proofErr w:type="spellStart"/>
    <w:r w:rsidRPr="00624062">
      <w:rPr>
        <w:rStyle w:val="HideTWBExt"/>
      </w:rPr>
      <w:t>Version</w:t>
    </w:r>
    <w:proofErr w:type="spellEnd"/>
    <w:r w:rsidRPr="00624062">
      <w:rPr>
        <w:rStyle w:val="HideTWBExt"/>
      </w:rPr>
      <w:t>&gt;</w:t>
    </w:r>
  </w:p>
  <w:p w14:paraId="275A3F20" w14:textId="77777777" w:rsidR="00EB5784" w:rsidRPr="00624062" w:rsidRDefault="00EB5784" w:rsidP="007404B7">
    <w:pPr>
      <w:pStyle w:val="EPFooter2"/>
    </w:pPr>
    <w:r w:rsidRPr="00624062">
      <w:t>SL</w:t>
    </w:r>
    <w:r w:rsidRPr="00624062">
      <w:tab/>
    </w:r>
    <w:r w:rsidRPr="00624062">
      <w:rPr>
        <w:b w:val="0"/>
        <w:i/>
        <w:color w:val="C0C0C0"/>
        <w:sz w:val="22"/>
      </w:rPr>
      <w:t>Združena v raznolikosti</w:t>
    </w:r>
    <w:r w:rsidRPr="00624062">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8E9BC" w14:textId="77777777" w:rsidR="00064002" w:rsidRPr="0062406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04D57" w14:textId="77777777" w:rsidR="00064002" w:rsidRPr="0062406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E1679" w14:textId="77777777" w:rsidR="00064002" w:rsidRPr="006240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D58A4" w14:textId="77777777" w:rsidR="00DB690F" w:rsidRPr="00624062" w:rsidRDefault="00DB690F">
      <w:r w:rsidRPr="00624062">
        <w:separator/>
      </w:r>
    </w:p>
  </w:footnote>
  <w:footnote w:type="continuationSeparator" w:id="0">
    <w:p w14:paraId="51698FAE" w14:textId="77777777" w:rsidR="00DB690F" w:rsidRPr="00624062" w:rsidRDefault="00DB690F">
      <w:r w:rsidRPr="00624062">
        <w:continuationSeparator/>
      </w:r>
    </w:p>
  </w:footnote>
  <w:footnote w:id="1">
    <w:p w14:paraId="2C9762C6" w14:textId="1B6866E2" w:rsidR="00EB5784" w:rsidRPr="00624062" w:rsidRDefault="00EB5784" w:rsidP="00624062">
      <w:pPr>
        <w:pStyle w:val="FootnoteText"/>
        <w:ind w:left="567" w:hanging="567"/>
        <w:rPr>
          <w:sz w:val="24"/>
          <w:lang w:val="sl-SI"/>
        </w:rPr>
      </w:pPr>
      <w:r w:rsidRPr="00624062">
        <w:rPr>
          <w:rStyle w:val="FootnoteReference"/>
          <w:sz w:val="24"/>
          <w:lang w:val="sl-SI"/>
        </w:rPr>
        <w:footnoteRef/>
      </w:r>
      <w:r w:rsidR="00624062" w:rsidRPr="00624062">
        <w:rPr>
          <w:sz w:val="24"/>
          <w:lang w:val="sl-SI"/>
        </w:rPr>
        <w:t xml:space="preserve"> </w:t>
      </w:r>
      <w:r w:rsidR="00624062" w:rsidRPr="00624062">
        <w:rPr>
          <w:sz w:val="24"/>
          <w:lang w:val="sl-SI"/>
        </w:rPr>
        <w:tab/>
      </w:r>
      <w:r w:rsidRPr="00624062">
        <w:rPr>
          <w:sz w:val="24"/>
          <w:lang w:val="sl-SI"/>
        </w:rPr>
        <w:t xml:space="preserve">UL L 153, 3.5.2021, str. 48, ELI: </w:t>
      </w:r>
      <w:hyperlink r:id="rId1" w:history="1">
        <w:r w:rsidRPr="00624062">
          <w:rPr>
            <w:rStyle w:val="Hyperlink"/>
            <w:sz w:val="24"/>
            <w:lang w:val="sl-SI"/>
          </w:rPr>
          <w:t>http://data.europa.eu/eli/reg/2021/691/oj</w:t>
        </w:r>
      </w:hyperlink>
      <w:r w:rsidRPr="00624062">
        <w:rPr>
          <w:sz w:val="24"/>
          <w:lang w:val="sl-SI"/>
        </w:rPr>
        <w:t>.</w:t>
      </w:r>
    </w:p>
  </w:footnote>
  <w:footnote w:id="2">
    <w:p w14:paraId="46B51308" w14:textId="199722E2" w:rsidR="00EB5784" w:rsidRPr="00624062" w:rsidRDefault="00EB5784" w:rsidP="00624062">
      <w:pPr>
        <w:pStyle w:val="FootnoteText"/>
        <w:ind w:left="567" w:hanging="567"/>
        <w:rPr>
          <w:sz w:val="24"/>
          <w:lang w:val="sl-SI"/>
        </w:rPr>
      </w:pPr>
      <w:r w:rsidRPr="00624062">
        <w:rPr>
          <w:rStyle w:val="FootnoteReference"/>
          <w:sz w:val="24"/>
          <w:lang w:val="sl-SI"/>
        </w:rPr>
        <w:footnoteRef/>
      </w:r>
      <w:r w:rsidR="00624062" w:rsidRPr="00624062">
        <w:rPr>
          <w:sz w:val="24"/>
          <w:lang w:val="sl-SI"/>
        </w:rPr>
        <w:t xml:space="preserve"> </w:t>
      </w:r>
      <w:r w:rsidR="00624062" w:rsidRPr="00624062">
        <w:rPr>
          <w:sz w:val="24"/>
          <w:lang w:val="sl-SI"/>
        </w:rPr>
        <w:tab/>
      </w:r>
      <w:r w:rsidRPr="00624062">
        <w:rPr>
          <w:sz w:val="24"/>
          <w:lang w:val="sl-SI"/>
        </w:rPr>
        <w:t>UL L 433 I, 22.12.2020, str. </w:t>
      </w:r>
      <w:r w:rsidRPr="00624062">
        <w:rPr>
          <w:sz w:val="24"/>
          <w:lang w:val="sl-SI"/>
        </w:rPr>
        <w:t xml:space="preserve">11, ELI: </w:t>
      </w:r>
      <w:hyperlink r:id="rId2" w:history="1">
        <w:r w:rsidRPr="00624062">
          <w:rPr>
            <w:rStyle w:val="Hyperlink"/>
            <w:sz w:val="24"/>
            <w:lang w:val="sl-SI"/>
          </w:rPr>
          <w:t>http://data.europa.eu/eli/reg/2020/2093/oj</w:t>
        </w:r>
      </w:hyperlink>
      <w:r w:rsidRPr="00624062">
        <w:rPr>
          <w:sz w:val="24"/>
          <w:lang w:val="sl-SI"/>
        </w:rPr>
        <w:t>.</w:t>
      </w:r>
    </w:p>
  </w:footnote>
  <w:footnote w:id="3">
    <w:p w14:paraId="2BA7F03A" w14:textId="72CF6AF7" w:rsidR="00EB5784" w:rsidRPr="00624062" w:rsidRDefault="00EB5784" w:rsidP="00624062">
      <w:pPr>
        <w:pStyle w:val="FootnoteText"/>
        <w:ind w:left="567" w:hanging="567"/>
        <w:rPr>
          <w:sz w:val="24"/>
          <w:lang w:val="sl-SI"/>
        </w:rPr>
      </w:pPr>
      <w:r w:rsidRPr="00624062">
        <w:rPr>
          <w:rStyle w:val="FootnoteReference"/>
          <w:sz w:val="24"/>
          <w:lang w:val="sl-SI"/>
        </w:rPr>
        <w:footnoteRef/>
      </w:r>
      <w:r w:rsidR="00624062" w:rsidRPr="00624062">
        <w:rPr>
          <w:sz w:val="24"/>
          <w:shd w:val="clear" w:color="auto" w:fill="FFFFFF"/>
          <w:lang w:val="sl-SI"/>
        </w:rPr>
        <w:t xml:space="preserve"> </w:t>
      </w:r>
      <w:r w:rsidR="00624062" w:rsidRPr="00624062">
        <w:rPr>
          <w:sz w:val="24"/>
          <w:shd w:val="clear" w:color="auto" w:fill="FFFFFF"/>
          <w:lang w:val="sl-SI"/>
        </w:rPr>
        <w:tab/>
      </w:r>
      <w:r w:rsidRPr="00624062">
        <w:rPr>
          <w:sz w:val="24"/>
          <w:shd w:val="clear" w:color="auto" w:fill="FFFFFF"/>
          <w:lang w:val="sl-SI"/>
        </w:rPr>
        <w:t>Uredba Sveta (EU, Euratom) 2024/765 z dne 29. </w:t>
      </w:r>
      <w:r w:rsidRPr="00624062">
        <w:rPr>
          <w:sz w:val="24"/>
          <w:shd w:val="clear" w:color="auto" w:fill="FFFFFF"/>
          <w:lang w:val="sl-SI"/>
        </w:rPr>
        <w:t xml:space="preserve">februarja 2024 o spremembi Uredbe (EU, Euratom) 2020/2093 o določitvi večletnega finančnega okvira za obdobje 2021–2027 (UL L, 2024/765, 29.2.2024, ELI: </w:t>
      </w:r>
      <w:hyperlink r:id="rId3" w:history="1">
        <w:r w:rsidRPr="00624062">
          <w:rPr>
            <w:rStyle w:val="Hyperlink"/>
            <w:sz w:val="24"/>
            <w:shd w:val="clear" w:color="auto" w:fill="FFFFFF"/>
            <w:lang w:val="sl-SI"/>
          </w:rPr>
          <w:t>http://data.europa.eu/eli/reg/2024/765/oj</w:t>
        </w:r>
      </w:hyperlink>
      <w:r w:rsidRPr="00624062">
        <w:rPr>
          <w:sz w:val="24"/>
          <w:shd w:val="clear" w:color="auto" w:fill="FFFFFF"/>
          <w:lang w:val="sl-SI"/>
        </w:rPr>
        <w:t>)</w:t>
      </w:r>
      <w:r w:rsidRPr="00624062">
        <w:rPr>
          <w:i/>
          <w:sz w:val="24"/>
          <w:shd w:val="clear" w:color="auto" w:fill="FFFFFF"/>
          <w:lang w:val="sl-SI"/>
        </w:rPr>
        <w:t>.</w:t>
      </w:r>
    </w:p>
  </w:footnote>
  <w:footnote w:id="4">
    <w:p w14:paraId="64B79E23" w14:textId="40832644" w:rsidR="00EB5784" w:rsidRPr="00624062" w:rsidRDefault="00EB5784" w:rsidP="00624062">
      <w:pPr>
        <w:pStyle w:val="FootnoteText"/>
        <w:ind w:left="567" w:hanging="567"/>
        <w:rPr>
          <w:sz w:val="24"/>
          <w:lang w:val="sl-SI"/>
        </w:rPr>
      </w:pPr>
      <w:r w:rsidRPr="00624062">
        <w:rPr>
          <w:rStyle w:val="FootnoteReference"/>
          <w:sz w:val="24"/>
          <w:lang w:val="sl-SI"/>
        </w:rPr>
        <w:footnoteRef/>
      </w:r>
      <w:r w:rsidR="00624062" w:rsidRPr="00624062">
        <w:rPr>
          <w:sz w:val="24"/>
          <w:lang w:val="sl-SI"/>
        </w:rPr>
        <w:t xml:space="preserve"> </w:t>
      </w:r>
      <w:r w:rsidR="00624062" w:rsidRPr="00624062">
        <w:rPr>
          <w:sz w:val="24"/>
          <w:lang w:val="sl-SI"/>
        </w:rPr>
        <w:tab/>
      </w:r>
      <w:r w:rsidRPr="00624062">
        <w:rPr>
          <w:sz w:val="24"/>
          <w:lang w:val="sl-SI"/>
        </w:rPr>
        <w:t>UL L 433 I, 22.12.2020, str. </w:t>
      </w:r>
      <w:r w:rsidRPr="00624062">
        <w:rPr>
          <w:sz w:val="24"/>
          <w:lang w:val="sl-SI"/>
        </w:rPr>
        <w:t xml:space="preserve">28, ELI: </w:t>
      </w:r>
      <w:hyperlink r:id="rId4" w:history="1">
        <w:r w:rsidRPr="00624062">
          <w:rPr>
            <w:rStyle w:val="Hyperlink"/>
            <w:sz w:val="24"/>
            <w:lang w:val="sl-SI"/>
          </w:rPr>
          <w:t>http://data.europa.eu/eli/agree_interinstit/2020/1222/oj</w:t>
        </w:r>
      </w:hyperlink>
      <w:r w:rsidRPr="00624062">
        <w:rPr>
          <w:sz w:val="24"/>
          <w:lang w:val="sl-SI"/>
        </w:rPr>
        <w:t>.</w:t>
      </w:r>
    </w:p>
  </w:footnote>
  <w:footnote w:id="5">
    <w:p w14:paraId="733A7FFA" w14:textId="339E2BAD" w:rsidR="00EB5784" w:rsidRPr="00624062" w:rsidRDefault="00EB5784" w:rsidP="00624062">
      <w:pPr>
        <w:pStyle w:val="FootnoteText"/>
        <w:ind w:left="567" w:hanging="567"/>
        <w:rPr>
          <w:sz w:val="24"/>
          <w:lang w:val="sl-SI"/>
        </w:rPr>
      </w:pPr>
      <w:r w:rsidRPr="00624062">
        <w:rPr>
          <w:rStyle w:val="FootnoteReference"/>
          <w:sz w:val="24"/>
          <w:lang w:val="sl-SI"/>
        </w:rPr>
        <w:footnoteRef/>
      </w:r>
      <w:r w:rsidR="00624062" w:rsidRPr="00624062">
        <w:rPr>
          <w:sz w:val="24"/>
          <w:lang w:val="sl-SI"/>
        </w:rPr>
        <w:t xml:space="preserve"> </w:t>
      </w:r>
      <w:r w:rsidR="00624062" w:rsidRPr="00624062">
        <w:rPr>
          <w:sz w:val="24"/>
          <w:lang w:val="sl-SI"/>
        </w:rPr>
        <w:tab/>
      </w:r>
      <w:r w:rsidRPr="00624062">
        <w:rPr>
          <w:sz w:val="24"/>
          <w:lang w:val="sl-SI"/>
        </w:rPr>
        <w:t>V smislu člena 3 uredbe o ESPG.</w:t>
      </w:r>
    </w:p>
  </w:footnote>
  <w:footnote w:id="6">
    <w:p w14:paraId="264C7CCD" w14:textId="196AF251" w:rsidR="00EB5784" w:rsidRPr="00624062" w:rsidRDefault="00EB5784" w:rsidP="00624062">
      <w:pPr>
        <w:pStyle w:val="FootnoteText"/>
        <w:ind w:left="567" w:hanging="567"/>
        <w:rPr>
          <w:sz w:val="24"/>
          <w:lang w:val="sl-SI"/>
        </w:rPr>
      </w:pPr>
      <w:r w:rsidRPr="00624062">
        <w:rPr>
          <w:rStyle w:val="FootnoteReference"/>
          <w:sz w:val="24"/>
          <w:lang w:val="sl-SI"/>
        </w:rPr>
        <w:footnoteRef/>
      </w:r>
      <w:r w:rsidR="00624062" w:rsidRPr="00624062">
        <w:rPr>
          <w:sz w:val="24"/>
          <w:lang w:val="sl-SI"/>
        </w:rPr>
        <w:t xml:space="preserve"> </w:t>
      </w:r>
      <w:r w:rsidR="00624062" w:rsidRPr="00624062">
        <w:rPr>
          <w:sz w:val="24"/>
          <w:lang w:val="sl-SI"/>
        </w:rPr>
        <w:tab/>
      </w:r>
      <w:r w:rsidRPr="00624062">
        <w:rPr>
          <w:sz w:val="24"/>
          <w:lang w:val="sl-SI"/>
        </w:rPr>
        <w:t>Člen 8 uredbe o večletnem finančnem okviru.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59E1A" w14:textId="77777777" w:rsidR="00064002" w:rsidRPr="0062406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3AA58" w14:textId="77777777" w:rsidR="00064002" w:rsidRPr="0062406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C5275" w14:textId="77777777" w:rsidR="00064002" w:rsidRPr="006240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85960819">
    <w:abstractNumId w:val="9"/>
  </w:num>
  <w:num w:numId="2" w16cid:durableId="575017995">
    <w:abstractNumId w:val="9"/>
  </w:num>
  <w:num w:numId="3" w16cid:durableId="1673416474">
    <w:abstractNumId w:val="7"/>
  </w:num>
  <w:num w:numId="4" w16cid:durableId="215313699">
    <w:abstractNumId w:val="7"/>
  </w:num>
  <w:num w:numId="5" w16cid:durableId="1755321601">
    <w:abstractNumId w:val="6"/>
  </w:num>
  <w:num w:numId="6" w16cid:durableId="1661304251">
    <w:abstractNumId w:val="6"/>
  </w:num>
  <w:num w:numId="7" w16cid:durableId="1309818453">
    <w:abstractNumId w:val="5"/>
  </w:num>
  <w:num w:numId="8" w16cid:durableId="665282097">
    <w:abstractNumId w:val="5"/>
  </w:num>
  <w:num w:numId="9" w16cid:durableId="816915171">
    <w:abstractNumId w:val="4"/>
  </w:num>
  <w:num w:numId="10" w16cid:durableId="60102309">
    <w:abstractNumId w:val="4"/>
  </w:num>
  <w:num w:numId="11" w16cid:durableId="675839373">
    <w:abstractNumId w:val="8"/>
  </w:num>
  <w:num w:numId="12" w16cid:durableId="265692691">
    <w:abstractNumId w:val="8"/>
  </w:num>
  <w:num w:numId="13" w16cid:durableId="2043163903">
    <w:abstractNumId w:val="3"/>
  </w:num>
  <w:num w:numId="14" w16cid:durableId="563953739">
    <w:abstractNumId w:val="3"/>
  </w:num>
  <w:num w:numId="15" w16cid:durableId="1042366544">
    <w:abstractNumId w:val="2"/>
  </w:num>
  <w:num w:numId="16" w16cid:durableId="241985543">
    <w:abstractNumId w:val="2"/>
  </w:num>
  <w:num w:numId="17" w16cid:durableId="1283078960">
    <w:abstractNumId w:val="1"/>
  </w:num>
  <w:num w:numId="18" w16cid:durableId="87242715">
    <w:abstractNumId w:val="1"/>
  </w:num>
  <w:num w:numId="19" w16cid:durableId="2001275573">
    <w:abstractNumId w:val="0"/>
  </w:num>
  <w:num w:numId="20" w16cid:durableId="643202464">
    <w:abstractNumId w:val="0"/>
  </w:num>
  <w:num w:numId="21" w16cid:durableId="759957782">
    <w:abstractNumId w:val="9"/>
  </w:num>
  <w:num w:numId="22" w16cid:durableId="26222986">
    <w:abstractNumId w:val="7"/>
  </w:num>
  <w:num w:numId="23" w16cid:durableId="2119332059">
    <w:abstractNumId w:val="6"/>
  </w:num>
  <w:num w:numId="24" w16cid:durableId="1748763265">
    <w:abstractNumId w:val="5"/>
  </w:num>
  <w:num w:numId="25" w16cid:durableId="201526688">
    <w:abstractNumId w:val="4"/>
  </w:num>
  <w:num w:numId="26" w16cid:durableId="1597976937">
    <w:abstractNumId w:val="8"/>
  </w:num>
  <w:num w:numId="27" w16cid:durableId="65803637">
    <w:abstractNumId w:val="3"/>
  </w:num>
  <w:num w:numId="28" w16cid:durableId="75397601">
    <w:abstractNumId w:val="2"/>
  </w:num>
  <w:num w:numId="29" w16cid:durableId="975791882">
    <w:abstractNumId w:val="1"/>
  </w:num>
  <w:num w:numId="30" w16cid:durableId="265580166">
    <w:abstractNumId w:val="0"/>
  </w:num>
  <w:num w:numId="31" w16cid:durableId="2091466938">
    <w:abstractNumId w:val="9"/>
  </w:num>
  <w:num w:numId="32" w16cid:durableId="991956250">
    <w:abstractNumId w:val="7"/>
  </w:num>
  <w:num w:numId="33" w16cid:durableId="1777015693">
    <w:abstractNumId w:val="6"/>
  </w:num>
  <w:num w:numId="34" w16cid:durableId="885408647">
    <w:abstractNumId w:val="5"/>
  </w:num>
  <w:num w:numId="35" w16cid:durableId="1405100644">
    <w:abstractNumId w:val="4"/>
  </w:num>
  <w:num w:numId="36" w16cid:durableId="116073847">
    <w:abstractNumId w:val="8"/>
  </w:num>
  <w:num w:numId="37" w16cid:durableId="1008485814">
    <w:abstractNumId w:val="3"/>
  </w:num>
  <w:num w:numId="38" w16cid:durableId="1043359221">
    <w:abstractNumId w:val="2"/>
  </w:num>
  <w:num w:numId="39" w16cid:durableId="2083485824">
    <w:abstractNumId w:val="1"/>
  </w:num>
  <w:num w:numId="40" w16cid:durableId="668409880">
    <w:abstractNumId w:val="0"/>
  </w:num>
  <w:num w:numId="41" w16cid:durableId="1245139629">
    <w:abstractNumId w:val="10"/>
  </w:num>
  <w:num w:numId="42" w16cid:durableId="1236550292">
    <w:abstractNumId w:val="10"/>
  </w:num>
  <w:num w:numId="43" w16cid:durableId="1477453089">
    <w:abstractNumId w:val="10"/>
  </w:num>
  <w:num w:numId="44" w16cid:durableId="3771255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0/2026"/>
    <w:docVar w:name="dvlangue" w:val="SL"/>
    <w:docVar w:name="dvnumam" w:val="0"/>
    <w:docVar w:name="dvpe" w:val="784.472"/>
    <w:docVar w:name="dvrapporteur" w:val="Poročevalec: "/>
    <w:docVar w:name="dvtitre" w:val="Resolucija Evropskega parlamenta z dne … 2026 o predlogu sklepa Evropskega parlamenta in Sveta o uporabi Evropskega sklada za prilagoditev globalizaciji za presežne delavce na podlagi vloge Avstrije – EGF/2025/005 AT/KTM(COM(2026)0010 – C10-0026/2026 – 2026/0037(BUD))"/>
  </w:docVars>
  <w:rsids>
    <w:rsidRoot w:val="00DB690F"/>
    <w:rsid w:val="00002272"/>
    <w:rsid w:val="00064002"/>
    <w:rsid w:val="000677B9"/>
    <w:rsid w:val="000831BA"/>
    <w:rsid w:val="000A42CC"/>
    <w:rsid w:val="000E7DD9"/>
    <w:rsid w:val="0010095E"/>
    <w:rsid w:val="00125B37"/>
    <w:rsid w:val="0017203F"/>
    <w:rsid w:val="00187494"/>
    <w:rsid w:val="001F32AE"/>
    <w:rsid w:val="002767FF"/>
    <w:rsid w:val="002B18FE"/>
    <w:rsid w:val="002B5493"/>
    <w:rsid w:val="00343214"/>
    <w:rsid w:val="00361C00"/>
    <w:rsid w:val="0039263C"/>
    <w:rsid w:val="00395FA1"/>
    <w:rsid w:val="003A30A6"/>
    <w:rsid w:val="003E15D4"/>
    <w:rsid w:val="00411CCE"/>
    <w:rsid w:val="0041666E"/>
    <w:rsid w:val="00421060"/>
    <w:rsid w:val="00422BB2"/>
    <w:rsid w:val="00471C19"/>
    <w:rsid w:val="004867E3"/>
    <w:rsid w:val="00494A28"/>
    <w:rsid w:val="004C0004"/>
    <w:rsid w:val="004C5D52"/>
    <w:rsid w:val="0050519A"/>
    <w:rsid w:val="005072A1"/>
    <w:rsid w:val="00514517"/>
    <w:rsid w:val="00545827"/>
    <w:rsid w:val="00560270"/>
    <w:rsid w:val="005B5616"/>
    <w:rsid w:val="005C2568"/>
    <w:rsid w:val="005E52BE"/>
    <w:rsid w:val="005F1B17"/>
    <w:rsid w:val="006037C0"/>
    <w:rsid w:val="0062406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564B"/>
    <w:rsid w:val="008D3CBE"/>
    <w:rsid w:val="00930C23"/>
    <w:rsid w:val="0093193B"/>
    <w:rsid w:val="009509D8"/>
    <w:rsid w:val="00950B64"/>
    <w:rsid w:val="00981893"/>
    <w:rsid w:val="009E3F54"/>
    <w:rsid w:val="00A1687D"/>
    <w:rsid w:val="00A43E52"/>
    <w:rsid w:val="00A4678D"/>
    <w:rsid w:val="00A778C7"/>
    <w:rsid w:val="00AB441E"/>
    <w:rsid w:val="00AB6293"/>
    <w:rsid w:val="00AE0928"/>
    <w:rsid w:val="00AF3B82"/>
    <w:rsid w:val="00B12E95"/>
    <w:rsid w:val="00B22876"/>
    <w:rsid w:val="00B558F0"/>
    <w:rsid w:val="00BD48FE"/>
    <w:rsid w:val="00BD5488"/>
    <w:rsid w:val="00BD7BD8"/>
    <w:rsid w:val="00BE6ADC"/>
    <w:rsid w:val="00C05BFE"/>
    <w:rsid w:val="00C23CD4"/>
    <w:rsid w:val="00C61C0C"/>
    <w:rsid w:val="00C72961"/>
    <w:rsid w:val="00C941CB"/>
    <w:rsid w:val="00C95835"/>
    <w:rsid w:val="00CA09A7"/>
    <w:rsid w:val="00CC2357"/>
    <w:rsid w:val="00CF071A"/>
    <w:rsid w:val="00D058B8"/>
    <w:rsid w:val="00D56C11"/>
    <w:rsid w:val="00D834A0"/>
    <w:rsid w:val="00D872DF"/>
    <w:rsid w:val="00D91E21"/>
    <w:rsid w:val="00DA7FCD"/>
    <w:rsid w:val="00DB690F"/>
    <w:rsid w:val="00DC1BBE"/>
    <w:rsid w:val="00DC73C0"/>
    <w:rsid w:val="00E365E1"/>
    <w:rsid w:val="00E820A4"/>
    <w:rsid w:val="00EB006A"/>
    <w:rsid w:val="00EB385B"/>
    <w:rsid w:val="00EB4772"/>
    <w:rsid w:val="00EB5784"/>
    <w:rsid w:val="00ED169E"/>
    <w:rsid w:val="00ED4235"/>
    <w:rsid w:val="00F04346"/>
    <w:rsid w:val="00F075DC"/>
    <w:rsid w:val="00F149E9"/>
    <w:rsid w:val="00F5134D"/>
    <w:rsid w:val="00F74202"/>
    <w:rsid w:val="00F86370"/>
    <w:rsid w:val="00F87713"/>
    <w:rsid w:val="00FB4360"/>
    <w:rsid w:val="00FD09A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D5E7A6"/>
  <w15:chartTrackingRefBased/>
  <w15:docId w15:val="{80F1E083-6142-42C8-8391-CD751CD9A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B5784"/>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EB5784"/>
    <w:pPr>
      <w:keepNext/>
      <w:spacing w:after="480"/>
      <w:jc w:val="center"/>
    </w:pPr>
    <w:rPr>
      <w:rFonts w:ascii="Arial" w:hAnsi="Arial" w:cs="Arial"/>
      <w:b/>
    </w:rPr>
  </w:style>
  <w:style w:type="paragraph" w:customStyle="1" w:styleId="NormalHanging12a">
    <w:name w:val="NormalHanging12a"/>
    <w:basedOn w:val="Normal"/>
    <w:link w:val="NormalHanging12aChar"/>
    <w:rsid w:val="00EB5784"/>
    <w:pPr>
      <w:spacing w:after="240"/>
      <w:ind w:left="567" w:hanging="567"/>
    </w:pPr>
  </w:style>
  <w:style w:type="paragraph" w:styleId="Header">
    <w:name w:val="header"/>
    <w:basedOn w:val="Normal"/>
    <w:link w:val="HeaderChar"/>
    <w:rsid w:val="00EB5784"/>
    <w:pPr>
      <w:tabs>
        <w:tab w:val="center" w:pos="4513"/>
        <w:tab w:val="right" w:pos="9026"/>
      </w:tabs>
    </w:pPr>
  </w:style>
  <w:style w:type="character" w:customStyle="1" w:styleId="HeaderChar">
    <w:name w:val="Header Char"/>
    <w:basedOn w:val="DefaultParagraphFont"/>
    <w:link w:val="Header"/>
    <w:rsid w:val="00EB5784"/>
    <w:rPr>
      <w:sz w:val="24"/>
      <w:lang w:val="sl-SI"/>
    </w:rPr>
  </w:style>
  <w:style w:type="paragraph" w:customStyle="1" w:styleId="EPFooter">
    <w:name w:val="EPFooter"/>
    <w:basedOn w:val="Normal"/>
    <w:rsid w:val="00EB5784"/>
    <w:pPr>
      <w:tabs>
        <w:tab w:val="center" w:pos="4535"/>
        <w:tab w:val="right" w:pos="9071"/>
      </w:tabs>
      <w:spacing w:before="240" w:after="240"/>
    </w:pPr>
    <w:rPr>
      <w:color w:val="010000"/>
      <w:sz w:val="22"/>
    </w:rPr>
  </w:style>
  <w:style w:type="paragraph" w:customStyle="1" w:styleId="EPComma">
    <w:name w:val="EPComma"/>
    <w:basedOn w:val="Normal"/>
    <w:rsid w:val="00EB5784"/>
    <w:pPr>
      <w:spacing w:before="480" w:after="240"/>
    </w:pPr>
  </w:style>
  <w:style w:type="character" w:styleId="Hyperlink">
    <w:name w:val="Hyperlink"/>
    <w:basedOn w:val="DefaultParagraphFont"/>
    <w:rsid w:val="00EB5784"/>
    <w:rPr>
      <w:color w:val="0563C1" w:themeColor="hyperlink"/>
      <w:u w:val="single"/>
    </w:rPr>
  </w:style>
  <w:style w:type="character" w:customStyle="1" w:styleId="NormalHanging12aChar">
    <w:name w:val="NormalHanging12a Char"/>
    <w:basedOn w:val="DefaultParagraphFont"/>
    <w:link w:val="NormalHanging12a"/>
    <w:locked/>
    <w:rsid w:val="00EB5784"/>
    <w:rPr>
      <w:sz w:val="24"/>
      <w:lang w:val="sl-SI"/>
    </w:rPr>
  </w:style>
  <w:style w:type="character" w:customStyle="1" w:styleId="PageHeadingChar">
    <w:name w:val="PageHeading Char"/>
    <w:basedOn w:val="DefaultParagraphFont"/>
    <w:link w:val="PageHeading"/>
    <w:rsid w:val="00EB5784"/>
    <w:rPr>
      <w:rFonts w:ascii="Arial" w:hAnsi="Arial" w:cs="Arial"/>
      <w:b/>
      <w:sz w:val="24"/>
      <w:lang w:val="sl-SI"/>
    </w:rPr>
  </w:style>
  <w:style w:type="paragraph" w:styleId="Revision">
    <w:name w:val="Revision"/>
    <w:hidden/>
    <w:uiPriority w:val="99"/>
    <w:semiHidden/>
    <w:rsid w:val="008C564B"/>
    <w:rPr>
      <w:sz w:val="24"/>
      <w:lang w:val="sl-SI"/>
    </w:rPr>
  </w:style>
  <w:style w:type="character" w:styleId="CommentReference">
    <w:name w:val="annotation reference"/>
    <w:basedOn w:val="DefaultParagraphFont"/>
    <w:rsid w:val="00CA09A7"/>
    <w:rPr>
      <w:sz w:val="16"/>
      <w:szCs w:val="16"/>
    </w:rPr>
  </w:style>
  <w:style w:type="paragraph" w:styleId="CommentText">
    <w:name w:val="annotation text"/>
    <w:basedOn w:val="Normal"/>
    <w:link w:val="CommentTextChar"/>
    <w:rsid w:val="00CA09A7"/>
    <w:rPr>
      <w:sz w:val="20"/>
    </w:rPr>
  </w:style>
  <w:style w:type="character" w:customStyle="1" w:styleId="CommentTextChar">
    <w:name w:val="Comment Text Char"/>
    <w:basedOn w:val="DefaultParagraphFont"/>
    <w:link w:val="CommentText"/>
    <w:rsid w:val="00CA09A7"/>
    <w:rPr>
      <w:lang w:val="sl-SI"/>
    </w:rPr>
  </w:style>
  <w:style w:type="paragraph" w:styleId="CommentSubject">
    <w:name w:val="annotation subject"/>
    <w:basedOn w:val="CommentText"/>
    <w:next w:val="CommentText"/>
    <w:link w:val="CommentSubjectChar"/>
    <w:rsid w:val="00CA09A7"/>
    <w:rPr>
      <w:b/>
      <w:bCs/>
    </w:rPr>
  </w:style>
  <w:style w:type="character" w:customStyle="1" w:styleId="CommentSubjectChar">
    <w:name w:val="Comment Subject Char"/>
    <w:basedOn w:val="CommentTextChar"/>
    <w:link w:val="CommentSubject"/>
    <w:rsid w:val="00CA09A7"/>
    <w:rPr>
      <w:b/>
      <w:bCs/>
      <w:lang w:val="sl-SI"/>
    </w:rPr>
  </w:style>
  <w:style w:type="character" w:styleId="UnresolvedMention">
    <w:name w:val="Unresolved Mention"/>
    <w:basedOn w:val="DefaultParagraphFont"/>
    <w:uiPriority w:val="99"/>
    <w:semiHidden/>
    <w:unhideWhenUsed/>
    <w:rsid w:val="00CA09A7"/>
    <w:rPr>
      <w:color w:val="605E5C"/>
      <w:shd w:val="clear" w:color="auto" w:fill="E1DFDD"/>
    </w:rPr>
  </w:style>
  <w:style w:type="character" w:styleId="FollowedHyperlink">
    <w:name w:val="FollowedHyperlink"/>
    <w:basedOn w:val="DefaultParagraphFont"/>
    <w:rsid w:val="00FD09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1421</Words>
  <Characters>8580</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2026-05-12T08:14:00Z</dcterms:created>
  <dcterms:modified xsi:type="dcterms:W3CDTF">2026-05-12T08:14:00Z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P10_TA(2026)0103_</vt:lpwstr>
  </property>
  <property fmtid="{D5CDD505-2E9C-101B-9397-08002B2CF9AE}" pid="4" name="&lt;Type&gt;">
    <vt:lpwstr>RR</vt:lpwstr>
  </property>
</Properties>
</file>