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47CB" w14:paraId="3D4441C4" w14:textId="77777777" w:rsidTr="0010095E">
        <w:trPr>
          <w:trHeight w:hRule="exact" w:val="1418"/>
        </w:trPr>
        <w:tc>
          <w:tcPr>
            <w:tcW w:w="6804" w:type="dxa"/>
            <w:shd w:val="clear" w:color="auto" w:fill="auto"/>
            <w:vAlign w:val="center"/>
          </w:tcPr>
          <w:p w14:paraId="5FC1A66E" w14:textId="77777777" w:rsidR="00751A4A" w:rsidRPr="00D347CB" w:rsidRDefault="007074CC" w:rsidP="0010095E">
            <w:pPr>
              <w:pStyle w:val="EPName"/>
            </w:pPr>
            <w:r w:rsidRPr="00D347CB">
              <w:t>Europaparlamentet</w:t>
            </w:r>
          </w:p>
          <w:p w14:paraId="231AB868" w14:textId="77777777" w:rsidR="00751A4A" w:rsidRPr="00D347CB" w:rsidRDefault="005F1B17" w:rsidP="005F1B17">
            <w:pPr>
              <w:pStyle w:val="EPTerm"/>
              <w:rPr>
                <w:rStyle w:val="HideTWBExt"/>
                <w:noProof w:val="0"/>
                <w:vanish w:val="0"/>
                <w:color w:val="auto"/>
              </w:rPr>
            </w:pPr>
            <w:r w:rsidRPr="00D347CB">
              <w:t>2024</w:t>
            </w:r>
            <w:r w:rsidR="00817416" w:rsidRPr="00D347CB">
              <w:t>-202</w:t>
            </w:r>
            <w:r w:rsidRPr="00D347CB">
              <w:t>9</w:t>
            </w:r>
          </w:p>
        </w:tc>
        <w:tc>
          <w:tcPr>
            <w:tcW w:w="2268" w:type="dxa"/>
            <w:shd w:val="clear" w:color="auto" w:fill="auto"/>
          </w:tcPr>
          <w:p w14:paraId="53213D94" w14:textId="77777777" w:rsidR="00751A4A" w:rsidRPr="00D347CB" w:rsidRDefault="00187494" w:rsidP="0010095E">
            <w:pPr>
              <w:pStyle w:val="EPLogo"/>
            </w:pPr>
            <w:r w:rsidRPr="00D347CB">
              <w:rPr>
                <w:noProof/>
                <w:lang w:eastAsia="ja-JP"/>
              </w:rPr>
              <w:drawing>
                <wp:inline distT="0" distB="0" distL="0" distR="0" wp14:anchorId="23CA0206" wp14:editId="17BC76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E9BBE5C" w14:textId="77777777" w:rsidR="00D058B8" w:rsidRPr="00D347CB" w:rsidRDefault="00D058B8" w:rsidP="004C5D52">
      <w:pPr>
        <w:pStyle w:val="LineTop"/>
      </w:pPr>
    </w:p>
    <w:p w14:paraId="37E2DE89" w14:textId="77777777" w:rsidR="00680577" w:rsidRPr="00D347CB" w:rsidRDefault="007074CC" w:rsidP="00680577">
      <w:pPr>
        <w:pStyle w:val="EPBodyTA1"/>
      </w:pPr>
      <w:r w:rsidRPr="00D347CB">
        <w:t>ANTAGNA TEXTER</w:t>
      </w:r>
    </w:p>
    <w:p w14:paraId="15800537" w14:textId="77777777" w:rsidR="00D058B8" w:rsidRPr="00D347CB" w:rsidRDefault="00D058B8" w:rsidP="00D058B8">
      <w:pPr>
        <w:pStyle w:val="LineBottom"/>
      </w:pPr>
    </w:p>
    <w:p w14:paraId="6B54C17B" w14:textId="729578E5" w:rsidR="007074CC" w:rsidRPr="00D347CB" w:rsidRDefault="007074CC" w:rsidP="007074CC">
      <w:pPr>
        <w:pStyle w:val="ATHeading1"/>
      </w:pPr>
      <w:bookmarkStart w:id="0" w:name="TANumber"/>
      <w:r w:rsidRPr="00D347CB">
        <w:t>P10_TA(2026)0</w:t>
      </w:r>
      <w:bookmarkEnd w:id="0"/>
      <w:r w:rsidR="00D347CB" w:rsidRPr="00D347CB">
        <w:t>103</w:t>
      </w:r>
    </w:p>
    <w:p w14:paraId="2D8F75DC" w14:textId="77777777" w:rsidR="007074CC" w:rsidRPr="00D347CB" w:rsidRDefault="007074CC" w:rsidP="007074CC">
      <w:pPr>
        <w:pStyle w:val="ATHeading2"/>
      </w:pPr>
      <w:bookmarkStart w:id="1" w:name="title"/>
      <w:r w:rsidRPr="00D347CB">
        <w:t>Utnyttjande av Europeiska fonden för justering för globaliseringseffekter för uppsagda arbetstagare efter en ansökan från Österrike – EGF/2025/005 AT/KTM</w:t>
      </w:r>
      <w:bookmarkEnd w:id="1"/>
    </w:p>
    <w:p w14:paraId="73A93B3B" w14:textId="6CD64AB0" w:rsidR="007074CC" w:rsidRPr="00D347CB" w:rsidRDefault="007074CC" w:rsidP="007074CC">
      <w:pPr>
        <w:rPr>
          <w:i/>
          <w:vanish/>
        </w:rPr>
      </w:pPr>
      <w:r w:rsidRPr="00D347CB">
        <w:rPr>
          <w:i/>
        </w:rPr>
        <w:fldChar w:fldCharType="begin"/>
      </w:r>
      <w:r w:rsidRPr="00D347CB">
        <w:rPr>
          <w:i/>
        </w:rPr>
        <w:instrText xml:space="preserve"> TC"(</w:instrText>
      </w:r>
      <w:bookmarkStart w:id="2" w:name="DocNumber"/>
      <w:r w:rsidRPr="00D347CB">
        <w:rPr>
          <w:i/>
        </w:rPr>
        <w:instrText>A10-0060/2026</w:instrText>
      </w:r>
      <w:bookmarkEnd w:id="2"/>
      <w:r w:rsidRPr="00D347CB">
        <w:rPr>
          <w:i/>
        </w:rPr>
        <w:instrText xml:space="preserve"> - Föredragande: </w:instrText>
      </w:r>
      <w:r w:rsidR="00956F57" w:rsidRPr="00D347CB">
        <w:rPr>
          <w:i/>
        </w:rPr>
        <w:instrText xml:space="preserve">Janusz </w:instrText>
      </w:r>
      <w:proofErr w:type="spellStart"/>
      <w:r w:rsidR="00956F57" w:rsidRPr="00D347CB">
        <w:rPr>
          <w:i/>
        </w:rPr>
        <w:instrText>Lewandowski</w:instrText>
      </w:r>
      <w:proofErr w:type="spellEnd"/>
      <w:r w:rsidRPr="00D347CB">
        <w:rPr>
          <w:i/>
        </w:rPr>
        <w:instrText xml:space="preserve">)"\l3 \n&gt; \* MERGEFORMAT </w:instrText>
      </w:r>
      <w:r w:rsidRPr="00D347CB">
        <w:rPr>
          <w:i/>
        </w:rPr>
        <w:fldChar w:fldCharType="end"/>
      </w:r>
    </w:p>
    <w:p w14:paraId="3E523D1F" w14:textId="77777777" w:rsidR="007074CC" w:rsidRPr="00D347CB" w:rsidRDefault="007074CC" w:rsidP="007074CC">
      <w:pPr>
        <w:rPr>
          <w:vanish/>
        </w:rPr>
      </w:pPr>
      <w:bookmarkStart w:id="3" w:name="Commission"/>
      <w:r w:rsidRPr="00D347CB">
        <w:rPr>
          <w:vanish/>
        </w:rPr>
        <w:t>Budgetutskottet</w:t>
      </w:r>
      <w:bookmarkEnd w:id="3"/>
    </w:p>
    <w:p w14:paraId="73FF9D4F" w14:textId="77777777" w:rsidR="007074CC" w:rsidRPr="00D347CB" w:rsidRDefault="007074CC" w:rsidP="007074CC">
      <w:pPr>
        <w:rPr>
          <w:vanish/>
        </w:rPr>
      </w:pPr>
      <w:bookmarkStart w:id="4" w:name="PE"/>
      <w:r w:rsidRPr="00D347CB">
        <w:rPr>
          <w:vanish/>
        </w:rPr>
        <w:t>PE784.472</w:t>
      </w:r>
      <w:bookmarkEnd w:id="4"/>
    </w:p>
    <w:p w14:paraId="3042D1BE" w14:textId="3B803780" w:rsidR="007074CC" w:rsidRPr="00D347CB" w:rsidRDefault="007074CC" w:rsidP="007074CC">
      <w:pPr>
        <w:pStyle w:val="ATHeading3"/>
      </w:pPr>
      <w:bookmarkStart w:id="5" w:name="Sujet"/>
      <w:r w:rsidRPr="00D347CB">
        <w:t xml:space="preserve">Europaparlamentets resolution av den </w:t>
      </w:r>
      <w:r w:rsidR="00956F57" w:rsidRPr="00D347CB">
        <w:t>26</w:t>
      </w:r>
      <w:r w:rsidRPr="00D347CB">
        <w:t xml:space="preserve"> </w:t>
      </w:r>
      <w:r w:rsidR="00956F57" w:rsidRPr="00D347CB">
        <w:t>mars</w:t>
      </w:r>
      <w:r w:rsidRPr="00D347CB">
        <w:t xml:space="preserve"> 2026 om förslaget till Europaparlamentets och rådets beslut om utnyttjande av Europeiska fonden för justering för globaliseringseffekter för uppsagda arbetstagare efter en ansökan från Österrike – EGF/2025/005 AT/KTM</w:t>
      </w:r>
      <w:bookmarkEnd w:id="5"/>
      <w:r w:rsidRPr="00D347CB">
        <w:t xml:space="preserve"> </w:t>
      </w:r>
      <w:bookmarkStart w:id="6" w:name="References"/>
      <w:r w:rsidRPr="00D347CB">
        <w:t>(COM(2026)0010 – C10-0026/2026 – 2026/0037(BUD))</w:t>
      </w:r>
      <w:bookmarkEnd w:id="6"/>
    </w:p>
    <w:p w14:paraId="4803017D" w14:textId="77777777" w:rsidR="00EE5A45" w:rsidRPr="00D347CB" w:rsidRDefault="00EE5A45" w:rsidP="00EE5A45">
      <w:pPr>
        <w:pStyle w:val="EPComma"/>
        <w:rPr>
          <w:noProof/>
        </w:rPr>
      </w:pPr>
      <w:r w:rsidRPr="00D347CB">
        <w:rPr>
          <w:i/>
        </w:rPr>
        <w:t>Europaparlamentet utfärdar denna resolution</w:t>
      </w:r>
    </w:p>
    <w:p w14:paraId="365CF925" w14:textId="77777777" w:rsidR="00EE5A45" w:rsidRPr="00D347CB" w:rsidRDefault="00EE5A45" w:rsidP="00EE5A45">
      <w:pPr>
        <w:pStyle w:val="NormalHanging12a"/>
        <w:rPr>
          <w:noProof/>
        </w:rPr>
      </w:pPr>
      <w:r w:rsidRPr="00D347CB">
        <w:t>–</w:t>
      </w:r>
      <w:r w:rsidRPr="00D347CB">
        <w:tab/>
        <w:t>med beaktande av kommissionens förslag till Europaparlamentet och rådet (COM(2026)0010 – C10</w:t>
      </w:r>
      <w:r w:rsidRPr="00D347CB">
        <w:noBreakHyphen/>
        <w:t>0026/2026),</w:t>
      </w:r>
    </w:p>
    <w:p w14:paraId="27CEC707" w14:textId="77777777" w:rsidR="00EE5A45" w:rsidRPr="00D347CB" w:rsidRDefault="00EE5A45" w:rsidP="00EE5A45">
      <w:pPr>
        <w:pStyle w:val="NormalHanging12a"/>
        <w:rPr>
          <w:noProof/>
        </w:rPr>
      </w:pPr>
      <w:r w:rsidRPr="00D347CB">
        <w:t>–</w:t>
      </w:r>
      <w:r w:rsidRPr="00D347CB">
        <w:tab/>
        <w:t>med beaktande av Europaparlamentets och rådets förordning (EU) 2021/691 av den 28 april 2021 om Europeiska fonden för justering för globaliseringseffekter för uppsagda arbetstagare (EGF) och om upphävande av förordning (EU) nr 1309/2013</w:t>
      </w:r>
      <w:r w:rsidRPr="00D347CB">
        <w:rPr>
          <w:noProof/>
          <w:vertAlign w:val="superscript"/>
        </w:rPr>
        <w:footnoteReference w:id="1"/>
      </w:r>
      <w:r w:rsidRPr="00D347CB">
        <w:t xml:space="preserve"> (</w:t>
      </w:r>
      <w:r w:rsidRPr="00D347CB">
        <w:rPr>
          <w:i/>
          <w:iCs/>
        </w:rPr>
        <w:t>EGF-förordningen</w:t>
      </w:r>
      <w:r w:rsidRPr="00D347CB">
        <w:t xml:space="preserve">), </w:t>
      </w:r>
    </w:p>
    <w:p w14:paraId="42B60F11" w14:textId="77777777" w:rsidR="00EE5A45" w:rsidRPr="00D347CB" w:rsidRDefault="00EE5A45" w:rsidP="00EE5A45">
      <w:pPr>
        <w:pStyle w:val="NormalHanging12a"/>
        <w:rPr>
          <w:noProof/>
        </w:rPr>
      </w:pPr>
      <w:r w:rsidRPr="00D347CB">
        <w:t>–</w:t>
      </w:r>
      <w:r w:rsidRPr="00D347CB">
        <w:tab/>
        <w:t>med beaktande av rådets förordning (EU, Euratom) 2020/2093 av den 17 december 2020 om den fleråriga budgetramen för 2021–2027</w:t>
      </w:r>
      <w:r w:rsidRPr="00D347CB">
        <w:rPr>
          <w:noProof/>
          <w:vertAlign w:val="superscript"/>
        </w:rPr>
        <w:footnoteReference w:id="2"/>
      </w:r>
      <w:r w:rsidRPr="00D347CB">
        <w:t xml:space="preserve"> ändrad genom förordning (EU, Euratom)</w:t>
      </w:r>
      <w:r w:rsidRPr="00D347CB">
        <w:rPr>
          <w:noProof/>
          <w:vertAlign w:val="superscript"/>
        </w:rPr>
        <w:footnoteReference w:id="3"/>
      </w:r>
      <w:r w:rsidRPr="00D347CB">
        <w:t xml:space="preserve"> 2024/765 (</w:t>
      </w:r>
      <w:r w:rsidRPr="00D347CB">
        <w:rPr>
          <w:i/>
          <w:iCs/>
        </w:rPr>
        <w:t>förordningen om den fleråriga budgetramen</w:t>
      </w:r>
      <w:r w:rsidRPr="00D347CB">
        <w:t xml:space="preserve">), särskilt artikel 8, </w:t>
      </w:r>
    </w:p>
    <w:p w14:paraId="5D6CC981" w14:textId="77777777" w:rsidR="00EE5A45" w:rsidRPr="00D347CB" w:rsidRDefault="00EE5A45" w:rsidP="00EE5A45">
      <w:pPr>
        <w:pStyle w:val="NormalHanging12a"/>
        <w:rPr>
          <w:noProof/>
        </w:rPr>
      </w:pPr>
      <w:r w:rsidRPr="00D347CB">
        <w:t>–</w:t>
      </w:r>
      <w:r w:rsidRPr="00D347CB">
        <w:tab/>
        <w:t xml:space="preserve">med beaktande av det interinstitutionella avtalet av den 16 december 2020 mellan Europaparlamentet, Europeiska unionens råd och Europeiska kommissionen om budgetdisciplin, samarbete i budgetfrågor och sund ekonomisk förvaltning samt om nya </w:t>
      </w:r>
      <w:r w:rsidRPr="00D347CB">
        <w:lastRenderedPageBreak/>
        <w:t>egna medel, inbegripet en färdplan för införandet av nya egna medel</w:t>
      </w:r>
      <w:r w:rsidRPr="00D347CB">
        <w:rPr>
          <w:noProof/>
          <w:vertAlign w:val="superscript"/>
        </w:rPr>
        <w:footnoteReference w:id="4"/>
      </w:r>
      <w:r w:rsidRPr="00D347CB">
        <w:t>, särskilt punkt 9,</w:t>
      </w:r>
    </w:p>
    <w:p w14:paraId="317B3AE6" w14:textId="77777777" w:rsidR="00EE5A45" w:rsidRPr="00D347CB" w:rsidRDefault="00EE5A45" w:rsidP="00EE5A45">
      <w:pPr>
        <w:pStyle w:val="NormalHanging12a"/>
        <w:rPr>
          <w:noProof/>
        </w:rPr>
      </w:pPr>
      <w:r w:rsidRPr="00D347CB">
        <w:t>–</w:t>
      </w:r>
      <w:r w:rsidRPr="00D347CB">
        <w:tab/>
        <w:t>med beaktande av den europeiska pelaren för sociala rättigheter,</w:t>
      </w:r>
    </w:p>
    <w:p w14:paraId="5F8F45A5" w14:textId="77777777" w:rsidR="00EE5A45" w:rsidRPr="00D347CB" w:rsidRDefault="00EE5A45" w:rsidP="00EE5A45">
      <w:pPr>
        <w:pStyle w:val="NormalHanging12a"/>
        <w:rPr>
          <w:noProof/>
        </w:rPr>
      </w:pPr>
      <w:r w:rsidRPr="00D347CB">
        <w:t>–</w:t>
      </w:r>
      <w:r w:rsidRPr="00D347CB">
        <w:tab/>
        <w:t>med beaktande av yttrandet från utskottet för sysselsättning och sociala frågor,</w:t>
      </w:r>
    </w:p>
    <w:p w14:paraId="166FBEB5" w14:textId="77777777" w:rsidR="00EE5A45" w:rsidRPr="00D347CB" w:rsidRDefault="00EE5A45" w:rsidP="00EE5A45">
      <w:pPr>
        <w:pStyle w:val="NormalHanging12a"/>
        <w:rPr>
          <w:noProof/>
        </w:rPr>
      </w:pPr>
      <w:r w:rsidRPr="00D347CB">
        <w:t>–</w:t>
      </w:r>
      <w:r w:rsidRPr="00D347CB">
        <w:tab/>
        <w:t>med beaktande av betänkandet från budgetutskottet (A10-0060/2026), och av följande skäl:</w:t>
      </w:r>
    </w:p>
    <w:p w14:paraId="57F3F195" w14:textId="77777777" w:rsidR="00EE5A45" w:rsidRPr="00D347CB" w:rsidRDefault="00EE5A45" w:rsidP="00EE5A45">
      <w:pPr>
        <w:pStyle w:val="NormalHanging12a"/>
        <w:rPr>
          <w:noProof/>
        </w:rPr>
      </w:pPr>
      <w:r w:rsidRPr="00D347CB">
        <w:t>A.</w:t>
      </w:r>
      <w:r w:rsidRPr="00D347CB">
        <w:tab/>
        <w:t>Unionen har inrättat lagstiftnings- och budgetinstrument för att ge kompletterande stöd till arbetstagare som drabbas av effekterna av genomgripande strukturförändringar inom världshandeln och för att underlätta deras återinträde på arbetsmarknaden. Detta stöd ges i form av ekonomiskt stöd till arbetstagare.</w:t>
      </w:r>
    </w:p>
    <w:p w14:paraId="4487B413" w14:textId="340D636A" w:rsidR="00EE5A45" w:rsidRPr="00D347CB" w:rsidRDefault="00EE5A45" w:rsidP="00EE5A45">
      <w:pPr>
        <w:pStyle w:val="NormalHanging12a"/>
        <w:rPr>
          <w:noProof/>
        </w:rPr>
      </w:pPr>
      <w:r w:rsidRPr="00D347CB">
        <w:t>B.</w:t>
      </w:r>
      <w:r w:rsidRPr="00D347CB">
        <w:tab/>
        <w:t>Österrike lämnade in ansökan EGF/2025/005 AT/KTM om ekonomiskt bidrag från EGF efter uppsägningar</w:t>
      </w:r>
      <w:r w:rsidRPr="00D347CB">
        <w:rPr>
          <w:noProof/>
          <w:vertAlign w:val="superscript"/>
        </w:rPr>
        <w:footnoteReference w:id="5"/>
      </w:r>
      <w:r w:rsidRPr="00D347CB">
        <w:t xml:space="preserve"> av 1 488 arbetstagare vid KTM </w:t>
      </w:r>
      <w:proofErr w:type="spellStart"/>
      <w:r w:rsidRPr="00D347CB">
        <w:t>Gruppe</w:t>
      </w:r>
      <w:proofErr w:type="spellEnd"/>
      <w:r w:rsidRPr="00D347CB">
        <w:t xml:space="preserve"> (KTM), inom den näringsgren som i </w:t>
      </w:r>
      <w:proofErr w:type="spellStart"/>
      <w:r w:rsidRPr="00D347CB">
        <w:t>Nace</w:t>
      </w:r>
      <w:proofErr w:type="spellEnd"/>
      <w:r w:rsidRPr="00D347CB">
        <w:t xml:space="preserve"> rev. 2 klassificeras som huvudgrupp 30 (Tillverkning av andra transportmedel) i regionen Oberösterreich (AT31), med 233 uppsägningar under referensperioden 25 februari</w:t>
      </w:r>
      <w:r w:rsidR="00B40304">
        <w:t xml:space="preserve"> 2025</w:t>
      </w:r>
      <w:r w:rsidRPr="00D347CB">
        <w:t xml:space="preserve">–25 juni 2025 och 1 255 uppsägningar före eller efter referensperioden. </w:t>
      </w:r>
    </w:p>
    <w:p w14:paraId="251419AA" w14:textId="77777777" w:rsidR="00EE5A45" w:rsidRPr="00D347CB" w:rsidRDefault="00EE5A45" w:rsidP="00EE5A45">
      <w:pPr>
        <w:pStyle w:val="NormalHanging12a"/>
        <w:rPr>
          <w:noProof/>
        </w:rPr>
      </w:pPr>
      <w:r w:rsidRPr="00D347CB">
        <w:t>C.</w:t>
      </w:r>
      <w:r w:rsidRPr="00D347CB">
        <w:tab/>
        <w:t>Ansökan baseras på insatskriteriet i artikel 4.2 a i EGF-förordningen, enligt vilket verksamheten för minst 200 uppsagda arbetstagare eller egenföretagare ska ha upphört under en referensperiod på fyra månader i ett företag i en medlemsstat. Ansökan gäller uppsägningar av 1 255 arbetstagare vars verksamhet upphörde före eller efter referensperioden på fyra månader, där ett tydligt orsakssamband kan fastställas med den händelse som ledde till att verksamheten upphörde för de uppsagda arbetstagarna under referensperioden på det sätt som krävs enligt artikel 6.2 i EGF-förordningen.</w:t>
      </w:r>
    </w:p>
    <w:p w14:paraId="0F2963A8" w14:textId="77777777" w:rsidR="00EE5A45" w:rsidRPr="00D347CB" w:rsidRDefault="00EE5A45" w:rsidP="00EE5A45">
      <w:pPr>
        <w:pStyle w:val="NormalHanging12a"/>
        <w:rPr>
          <w:noProof/>
        </w:rPr>
      </w:pPr>
      <w:r w:rsidRPr="00D347CB">
        <w:t>D.</w:t>
      </w:r>
      <w:r w:rsidRPr="00D347CB">
        <w:tab/>
        <w:t>KTM ansökte om konkurs den 29 november 2024 och en omstruktureringsplan godkändes den 25 februari 2025. Vissa av företagets beslut om utdelningar under 2021 och 2024, samtidigt som det fick statligt stöd under covid-19-pandemin, ger upphov till oro.</w:t>
      </w:r>
    </w:p>
    <w:p w14:paraId="41E0CFCA" w14:textId="77777777" w:rsidR="00EE5A45" w:rsidRPr="00D347CB" w:rsidRDefault="00EE5A45" w:rsidP="00EE5A45">
      <w:pPr>
        <w:pStyle w:val="NormalHanging12a"/>
        <w:rPr>
          <w:noProof/>
        </w:rPr>
      </w:pPr>
      <w:r w:rsidRPr="00D347CB">
        <w:t>E.</w:t>
      </w:r>
      <w:r w:rsidRPr="00D347CB">
        <w:tab/>
        <w:t>Österrike uppgav att den offentliga arbetsförmedlingen i Oberösterreich och provinsen Oberösterreich tillhandahåller den nationella förfinansieringen och medfinansieringen av åtgärderna.</w:t>
      </w:r>
    </w:p>
    <w:p w14:paraId="68905538" w14:textId="77777777" w:rsidR="00EE5A45" w:rsidRPr="00D347CB" w:rsidRDefault="00EE5A45" w:rsidP="00EE5A45">
      <w:pPr>
        <w:pStyle w:val="NormalHanging12a"/>
        <w:rPr>
          <w:noProof/>
        </w:rPr>
      </w:pPr>
      <w:r w:rsidRPr="00D347CB">
        <w:t>F.</w:t>
      </w:r>
      <w:r w:rsidRPr="00D347CB">
        <w:tab/>
        <w:t>De krav som rör kollektiva uppsägningar i unionens lagstiftning och i den nationella lagstiftningen är uppfyllda.</w:t>
      </w:r>
    </w:p>
    <w:p w14:paraId="04222136" w14:textId="77777777" w:rsidR="00EE5A45" w:rsidRPr="00D347CB" w:rsidRDefault="00EE5A45" w:rsidP="00EE5A45">
      <w:pPr>
        <w:pStyle w:val="NormalHanging12a"/>
        <w:rPr>
          <w:noProof/>
        </w:rPr>
      </w:pPr>
      <w:r w:rsidRPr="00D347CB">
        <w:t>G.</w:t>
      </w:r>
      <w:r w:rsidRPr="00D347CB">
        <w:tab/>
        <w:t>Ekonomiskt stöd från EGF bör i första hand inriktas på aktiva arbetsmarknadsåtgärder och individanpassade tjänster som syftar till att snabbt återintegrera stödmottagarna på arbetsmarknaden och samtidigt erbjuda dem kompetensutveckling för att underlätta deras tillträde till framtida arbetsmarknadsbehov och förbereda dem för den gröna och den digitala omställningen.</w:t>
      </w:r>
    </w:p>
    <w:p w14:paraId="2C60BC41" w14:textId="77777777" w:rsidR="00EE5A45" w:rsidRPr="00D347CB" w:rsidRDefault="00EE5A45" w:rsidP="00EE5A45">
      <w:pPr>
        <w:pStyle w:val="NormalHanging12a"/>
        <w:rPr>
          <w:noProof/>
        </w:rPr>
      </w:pPr>
      <w:r w:rsidRPr="00D347CB">
        <w:lastRenderedPageBreak/>
        <w:t>H.</w:t>
      </w:r>
      <w:r w:rsidRPr="00D347CB">
        <w:tab/>
        <w:t>EGF får inte överstiga ett årligt maximibelopp på 30 miljoner EUR (i 2018 års priser)</w:t>
      </w:r>
      <w:r w:rsidRPr="00D347CB">
        <w:rPr>
          <w:noProof/>
          <w:vertAlign w:val="superscript"/>
        </w:rPr>
        <w:footnoteReference w:id="6"/>
      </w:r>
      <w:r w:rsidRPr="00D347CB">
        <w:t>.</w:t>
      </w:r>
    </w:p>
    <w:p w14:paraId="1622E6D4" w14:textId="77777777" w:rsidR="00EE5A45" w:rsidRPr="00D347CB" w:rsidRDefault="00EE5A45" w:rsidP="00EE5A45">
      <w:pPr>
        <w:pStyle w:val="NormalHanging12a"/>
        <w:rPr>
          <w:bCs/>
          <w:iCs/>
          <w:noProof/>
        </w:rPr>
      </w:pPr>
      <w:r w:rsidRPr="00D347CB">
        <w:t>I.</w:t>
      </w:r>
      <w:r w:rsidRPr="00D347CB">
        <w:tab/>
        <w:t>Den senaste tidens utlokaliseringar av tillverkningsverksamhet utanför unionen belyser behovet av att stärka den europeiska industrins konkurrenskraft och motståndskraft på den globala marknaden.</w:t>
      </w:r>
    </w:p>
    <w:p w14:paraId="53FE04FE" w14:textId="77777777" w:rsidR="00EE5A45" w:rsidRPr="00D347CB" w:rsidRDefault="00EE5A45" w:rsidP="00EE5A45">
      <w:pPr>
        <w:pStyle w:val="NormalHanging12a"/>
        <w:rPr>
          <w:noProof/>
        </w:rPr>
      </w:pPr>
      <w:r w:rsidRPr="00D347CB">
        <w:t>1.</w:t>
      </w:r>
      <w:r w:rsidRPr="00D347CB">
        <w:tab/>
        <w:t>Europaparlamentet delar kommissionens åsikt att villkoren i EGF-förordningen, särskilt artikel 4.2 a, är uppfyllda och att Österrike är berättigat till ekonomiskt stöd på 1 806 624 EUR enligt den förordningen, vilket utgör 60 % av de totala kostnaderna på 3 011 040 EUR, bestående av utgifter för individanpassade tjänster på 2 895 120 EUR och utgifter för förberedande åtgärder samt för förvaltning, information och marknadsföring, kontroll och rapportering på 115 920 EUR.</w:t>
      </w:r>
    </w:p>
    <w:p w14:paraId="53126408" w14:textId="1EFF6C7E" w:rsidR="00EE5A45" w:rsidRPr="00D347CB" w:rsidRDefault="00EE5A45" w:rsidP="00EE5A45">
      <w:pPr>
        <w:pStyle w:val="NormalHanging12a"/>
        <w:rPr>
          <w:noProof/>
        </w:rPr>
      </w:pPr>
      <w:r w:rsidRPr="00D347CB">
        <w:t>2.</w:t>
      </w:r>
      <w:r w:rsidRPr="00D347CB">
        <w:tab/>
        <w:t>Europaparlamentet noterar att de österrikiska myndigheterna lämnade in ansökan den 15 september 2025 och att kommissionen, utifrån den ytterligare information som Österrike lämnade, slutförde sin bedömning den 6 februari 2026 och underrättade parlamentet den 11 februari 2026. Parlamentet betonar vikten av att förkorta tiden mellan inlämnandet av en ansökan om stöd från fonden och finansieringsbeslutet, samtidigt som Europaparlamentets rättigheter i egenskap av den ena grenen av budgetmyndigheten skyddas fullt ut.</w:t>
      </w:r>
    </w:p>
    <w:p w14:paraId="039465FF" w14:textId="77777777" w:rsidR="00EE5A45" w:rsidRPr="00D347CB" w:rsidRDefault="00EE5A45" w:rsidP="00EE5A45">
      <w:pPr>
        <w:pStyle w:val="NormalHanging12a"/>
        <w:rPr>
          <w:noProof/>
        </w:rPr>
      </w:pPr>
      <w:r w:rsidRPr="00D347CB">
        <w:t>3.</w:t>
      </w:r>
      <w:r w:rsidRPr="00D347CB">
        <w:tab/>
        <w:t xml:space="preserve">Europaparlamentet noterar att ansökan avser 1 488 arbetstagare som berördes av </w:t>
      </w:r>
      <w:proofErr w:type="spellStart"/>
      <w:r w:rsidRPr="00D347CB">
        <w:t>KTM:s</w:t>
      </w:r>
      <w:proofErr w:type="spellEnd"/>
      <w:r w:rsidRPr="00D347CB">
        <w:t xml:space="preserve"> insolvensförfarande, som var det största någonsin i Oberösterreich. Parlamentet noterar vidare att totalt 420 uppsagda arbetstagare kommer att vara berörda stödmottagare och förväntas delta i åtgärderna.</w:t>
      </w:r>
    </w:p>
    <w:p w14:paraId="6F198801" w14:textId="77777777" w:rsidR="00EE5A45" w:rsidRPr="00D347CB" w:rsidRDefault="00EE5A45" w:rsidP="00EE5A45">
      <w:pPr>
        <w:pStyle w:val="NormalHanging12a"/>
        <w:rPr>
          <w:noProof/>
        </w:rPr>
      </w:pPr>
      <w:r w:rsidRPr="00D347CB">
        <w:t>4.</w:t>
      </w:r>
      <w:r w:rsidRPr="00D347CB">
        <w:tab/>
        <w:t xml:space="preserve">Europaparlamentet konstaterar att KTM var den största motorcykeltillverkaren i unionen och det största dotterbolaget till </w:t>
      </w:r>
      <w:proofErr w:type="spellStart"/>
      <w:r w:rsidRPr="00D347CB">
        <w:t>Pierer</w:t>
      </w:r>
      <w:proofErr w:type="spellEnd"/>
      <w:r w:rsidRPr="00D347CB">
        <w:t xml:space="preserve"> </w:t>
      </w:r>
      <w:proofErr w:type="spellStart"/>
      <w:r w:rsidRPr="00D347CB">
        <w:t>Mobility</w:t>
      </w:r>
      <w:proofErr w:type="spellEnd"/>
      <w:r w:rsidRPr="00D347CB">
        <w:t xml:space="preserve"> AG. Parlamentet beklagar att moderbolaget beslutade att flytta produktionen till Kina och Indien i december 2023 på grund av orättvisa konkurrensvillkor. Parlamentet noterar att detta ledde till en första uppsägning av 300 anställda och att efterföljande försäljningsförluster ledde till att KTM genomförde kostnadsminskningar, inbegripet uppsägningar av över 500 anställda under 2024.</w:t>
      </w:r>
    </w:p>
    <w:p w14:paraId="41837A2F" w14:textId="77777777" w:rsidR="00EE5A45" w:rsidRPr="00D347CB" w:rsidRDefault="00EE5A45" w:rsidP="00EE5A45">
      <w:pPr>
        <w:pStyle w:val="NormalHanging12a"/>
        <w:rPr>
          <w:noProof/>
        </w:rPr>
      </w:pPr>
      <w:r w:rsidRPr="00D347CB">
        <w:t>5.</w:t>
      </w:r>
      <w:r w:rsidRPr="00D347CB">
        <w:tab/>
        <w:t xml:space="preserve">Europaparlamentet noterar att moderbolaget var tvunget att inleda en omstruktureringsprocess och att när KTM stängde ner produktionen för första gången 2025 sades fler än 750 ytterligare anställda upp. Parlamentet noterar att investeraren </w:t>
      </w:r>
      <w:proofErr w:type="spellStart"/>
      <w:r w:rsidRPr="00D347CB">
        <w:t>Bajaj</w:t>
      </w:r>
      <w:proofErr w:type="spellEnd"/>
      <w:r w:rsidRPr="00D347CB">
        <w:t xml:space="preserve"> Auto International </w:t>
      </w:r>
      <w:proofErr w:type="spellStart"/>
      <w:r w:rsidRPr="00D347CB">
        <w:t>Holdings</w:t>
      </w:r>
      <w:proofErr w:type="spellEnd"/>
      <w:r w:rsidRPr="00D347CB">
        <w:t xml:space="preserve"> B.V. tillhandahöll de resurser som behövdes för att säkerställa </w:t>
      </w:r>
      <w:proofErr w:type="spellStart"/>
      <w:r w:rsidRPr="00D347CB">
        <w:t>KTM:s</w:t>
      </w:r>
      <w:proofErr w:type="spellEnd"/>
      <w:r w:rsidRPr="00D347CB">
        <w:t xml:space="preserve"> fortsatta verksamhet den 22 maj 2025, vilket innebar att KTM undvek konkurs och att produktionen kunde återupptas i juli 2025 samtidigt som utgifterna begränsades.</w:t>
      </w:r>
    </w:p>
    <w:p w14:paraId="6BF34599" w14:textId="77777777" w:rsidR="00EE5A45" w:rsidRPr="00D347CB" w:rsidRDefault="00EE5A45" w:rsidP="00EE5A45">
      <w:pPr>
        <w:pStyle w:val="NormalHanging12a"/>
        <w:rPr>
          <w:noProof/>
        </w:rPr>
      </w:pPr>
      <w:r w:rsidRPr="00D347CB">
        <w:t>6.</w:t>
      </w:r>
      <w:r w:rsidRPr="00D347CB">
        <w:tab/>
        <w:t xml:space="preserve">Europaparlamentet konstaterar att KTM en gång var ett av de mest framgångsrika motorcykelmärkena i Europa, en viktig arbetsgivare och en viktig ekonomisk pelare för många leverantörer i distriktet </w:t>
      </w:r>
      <w:proofErr w:type="spellStart"/>
      <w:r w:rsidRPr="00D347CB">
        <w:t>Braunau</w:t>
      </w:r>
      <w:proofErr w:type="spellEnd"/>
      <w:r w:rsidRPr="00D347CB">
        <w:t xml:space="preserve"> i Oberösterreich. Parlamentet noterar att arbetslösheten följaktligen ökade i distriktet med 37,1 % i november 2024 jämfört med samma månad året innan. Parlamentet noterar att arbetslösheten nådde sin högsta nivå någonsin i distriktet </w:t>
      </w:r>
      <w:proofErr w:type="spellStart"/>
      <w:r w:rsidRPr="00D347CB">
        <w:t>Braunau</w:t>
      </w:r>
      <w:proofErr w:type="spellEnd"/>
      <w:r w:rsidRPr="00D347CB">
        <w:t xml:space="preserve"> under 2025. </w:t>
      </w:r>
    </w:p>
    <w:p w14:paraId="6EC1E754" w14:textId="77777777" w:rsidR="00EE5A45" w:rsidRPr="00D347CB" w:rsidRDefault="00EE5A45" w:rsidP="00EE5A45">
      <w:pPr>
        <w:pStyle w:val="NormalHanging12a"/>
        <w:rPr>
          <w:noProof/>
        </w:rPr>
      </w:pPr>
      <w:r w:rsidRPr="00D347CB">
        <w:lastRenderedPageBreak/>
        <w:t>7.</w:t>
      </w:r>
      <w:r w:rsidRPr="00D347CB">
        <w:tab/>
        <w:t xml:space="preserve">Europaparlamentet påminner om att de individanpassade tjänster som ska tillhandahållas arbetstagarna i samförstånd med arbetsmarknadens parter består av följande åtgärder: ärendehantering, yrkesvägledning och yrkesorientering, utbildning och omskolning, aktivt arbetssökande, utbildningsbidrag. Parlamentet betonar vikten av att främja framtidsorienterade arbetstillfällen av hög kvalitet för att säkerställa långsiktig ekonomisk och social </w:t>
      </w:r>
      <w:proofErr w:type="spellStart"/>
      <w:r w:rsidRPr="00D347CB">
        <w:t>resiliens</w:t>
      </w:r>
      <w:proofErr w:type="spellEnd"/>
      <w:r w:rsidRPr="00D347CB">
        <w:t>. Parlamentet betonar vikten av ett nära samarbete med regionala företag och arbetsgivare för att säkerställa att utbildnings- och omskolningsprogrammen tillgodoser konkreta arbetsmarknadsbehov och underlättar en snabb återintegrering av uppsagda arbetstagare.</w:t>
      </w:r>
    </w:p>
    <w:p w14:paraId="1FD47F53" w14:textId="77777777" w:rsidR="00EE5A45" w:rsidRPr="00D347CB" w:rsidRDefault="00EE5A45" w:rsidP="00EE5A45">
      <w:pPr>
        <w:pStyle w:val="NormalHanging12a"/>
        <w:rPr>
          <w:bCs/>
          <w:iCs/>
          <w:noProof/>
        </w:rPr>
      </w:pPr>
      <w:r w:rsidRPr="00D347CB">
        <w:t>8.</w:t>
      </w:r>
      <w:r w:rsidRPr="00D347CB">
        <w:tab/>
        <w:t>Europaparlamentet påminner om att EGF är ett instrument för solidaritet och rättvis omställning, och även om den ger stöd efter förlust av arbetstillfällen kan den inte ersätta en proaktiv industripolitik. Parlamentet betonar att unionens främsta uppgift måste vara att förhindra sådana nedläggningar genom att skapa förutsättningar för att se till att industriproduktionen förblir konkurrenskraftig, samtidigt som man investerar i kompetens för både högkvalificerade arbetstagare och industriarbetare. Parlamentet betonar behovet av att tillhandahålla särskilt stöd som är anpassat till profiler för arbetstagare med låg utbildningsnivå, samtidigt som åtgärder vidtas för att minska konkurser och ta itu med sociala skillnader som leder till utestängning av arbetskraft.</w:t>
      </w:r>
    </w:p>
    <w:p w14:paraId="362545BB" w14:textId="77777777" w:rsidR="00EE5A45" w:rsidRPr="00D347CB" w:rsidRDefault="00EE5A45" w:rsidP="00EE5A45">
      <w:pPr>
        <w:pStyle w:val="NormalHanging12a"/>
        <w:rPr>
          <w:bCs/>
          <w:iCs/>
          <w:noProof/>
        </w:rPr>
      </w:pPr>
      <w:r w:rsidRPr="00D347CB">
        <w:t>9.</w:t>
      </w:r>
      <w:r w:rsidRPr="00D347CB">
        <w:tab/>
        <w:t>Europaparlamentet betonar att de österrikiska myndigheterna ska säkerställa unionsfinansieringens synlighet och lyfta fram dess mervärde genom att tillhandahålla effektiv och riktad information till stödmottagare, regionala och lokala myndigheter, arbetsmarknadens parter och den bredare allmänheten.</w:t>
      </w:r>
    </w:p>
    <w:p w14:paraId="4EF0E1B6" w14:textId="77777777" w:rsidR="00EE5A45" w:rsidRPr="00D347CB" w:rsidRDefault="00EE5A45" w:rsidP="00EE5A45">
      <w:pPr>
        <w:pStyle w:val="NormalHanging12a"/>
        <w:rPr>
          <w:noProof/>
        </w:rPr>
      </w:pPr>
      <w:r w:rsidRPr="00D347CB">
        <w:t>10.</w:t>
      </w:r>
      <w:r w:rsidRPr="00D347CB">
        <w:tab/>
        <w:t>Europaparlamentet efterlyser noggranna slutliga utvärderingar av de åtgärder som genomförts, inbegripet tydlig information om hur medlen har använts och huruvida de använts i enlighet med de godkända planerna.</w:t>
      </w:r>
    </w:p>
    <w:p w14:paraId="0A0FE79A" w14:textId="77777777" w:rsidR="00EE5A45" w:rsidRPr="00D347CB" w:rsidRDefault="00EE5A45" w:rsidP="00EE5A45">
      <w:pPr>
        <w:pStyle w:val="NormalHanging12a"/>
        <w:rPr>
          <w:noProof/>
        </w:rPr>
      </w:pPr>
      <w:r w:rsidRPr="00D347CB">
        <w:t>11.</w:t>
      </w:r>
      <w:r w:rsidRPr="00D347CB">
        <w:tab/>
        <w:t>Europarlamentet noterar att Österrike började tillhandahålla individanpassade tjänster till de berörda stödmottagarna och ådrog sig administrativa utgifter för genomförandet av fonden den 1 mars 2025, och att perioden för berättigande till ekonomiskt bidrag från EGF därför kommer att löpa från och med detta datum till och med 24 månader respektive 31 månader efter den dag då finansieringsbeslutet träder i kraft.</w:t>
      </w:r>
    </w:p>
    <w:p w14:paraId="1F34A250" w14:textId="77777777" w:rsidR="00EE5A45" w:rsidRPr="00D347CB" w:rsidRDefault="00EE5A45" w:rsidP="00EE5A45">
      <w:pPr>
        <w:pStyle w:val="NormalHanging12a"/>
        <w:rPr>
          <w:noProof/>
        </w:rPr>
      </w:pPr>
      <w:r w:rsidRPr="00D347CB">
        <w:t>12.</w:t>
      </w:r>
      <w:r w:rsidRPr="00D347CB">
        <w:tab/>
        <w:t>Europaparlamentet noterar att de österrikiska myndigheterna har bekräftat att principerna om likabehandling och icke-diskriminering kommer att respekteras när det gäller tillgången till de föreslagna åtgärderna och deras genomförande och att dubbelfinansiering kommer att förhindras.</w:t>
      </w:r>
    </w:p>
    <w:p w14:paraId="4143A6B6" w14:textId="77777777" w:rsidR="00EE5A45" w:rsidRPr="00D347CB" w:rsidRDefault="00EE5A45" w:rsidP="00EE5A45">
      <w:pPr>
        <w:pStyle w:val="NormalHanging12a"/>
        <w:rPr>
          <w:noProof/>
        </w:rPr>
      </w:pPr>
      <w:r w:rsidRPr="00D347CB">
        <w:t>13.</w:t>
      </w:r>
      <w:r w:rsidRPr="00D347CB">
        <w:tab/>
        <w:t>Europaparlamentet upprepar att bidrag från EGF inte får ersätta åtgärder som enligt nationell rätt eller kollektivavtal åligger företagen.</w:t>
      </w:r>
    </w:p>
    <w:p w14:paraId="5B5F712D" w14:textId="77777777" w:rsidR="00EE5A45" w:rsidRPr="00D347CB" w:rsidRDefault="00EE5A45" w:rsidP="00EE5A45">
      <w:pPr>
        <w:pStyle w:val="NormalHanging12a"/>
        <w:rPr>
          <w:noProof/>
        </w:rPr>
      </w:pPr>
      <w:r w:rsidRPr="00D347CB">
        <w:t>14.</w:t>
      </w:r>
      <w:r w:rsidRPr="00D347CB">
        <w:tab/>
        <w:t>Europaparlamentet godkänner det bifogade beslutet.</w:t>
      </w:r>
    </w:p>
    <w:p w14:paraId="7785BC1D" w14:textId="77777777" w:rsidR="00EE5A45" w:rsidRPr="00D347CB" w:rsidRDefault="00EE5A45" w:rsidP="00EE5A45">
      <w:pPr>
        <w:pStyle w:val="NormalHanging12a"/>
        <w:rPr>
          <w:noProof/>
        </w:rPr>
      </w:pPr>
      <w:r w:rsidRPr="00D347CB">
        <w:t>15.</w:t>
      </w:r>
      <w:r w:rsidRPr="00D347CB">
        <w:tab/>
        <w:t xml:space="preserve">Europaparlamentet uppdrar åt talmannen att tillsammans med rådets ordförande underteckna beslutet och se till att det offentliggörs i </w:t>
      </w:r>
      <w:r w:rsidRPr="00D347CB">
        <w:rPr>
          <w:i/>
          <w:iCs/>
        </w:rPr>
        <w:t>Europeiska unionens officiella tidning</w:t>
      </w:r>
      <w:r w:rsidRPr="00D347CB">
        <w:t>.</w:t>
      </w:r>
    </w:p>
    <w:p w14:paraId="57B2421A" w14:textId="1C6A22C1" w:rsidR="00EE5A45" w:rsidRPr="00D347CB" w:rsidRDefault="00EE5A45" w:rsidP="000243FD">
      <w:pPr>
        <w:pStyle w:val="NormalHanging12a"/>
        <w:rPr>
          <w:noProof/>
        </w:rPr>
      </w:pPr>
      <w:r w:rsidRPr="00D347CB">
        <w:t>16.</w:t>
      </w:r>
      <w:r w:rsidRPr="00D347CB">
        <w:tab/>
        <w:t>Europaparlamentet uppdrar åt talmannen att översända denna resolution med bilaga till rådet och kommissionen.</w:t>
      </w:r>
    </w:p>
    <w:p w14:paraId="6C9ED395" w14:textId="77777777" w:rsidR="00EE5A45" w:rsidRPr="00D347CB" w:rsidRDefault="00EE5A45" w:rsidP="00EE5A45">
      <w:pPr>
        <w:pStyle w:val="PageHeading"/>
        <w:rPr>
          <w:noProof/>
        </w:rPr>
        <w:sectPr w:rsidR="00EE5A45" w:rsidRPr="00D347CB" w:rsidSect="006F361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1C899D" w14:textId="77777777" w:rsidR="00273141" w:rsidRPr="00273141" w:rsidRDefault="00EE5A45" w:rsidP="00EE5A45">
      <w:pPr>
        <w:pStyle w:val="PageHeading"/>
        <w:rPr>
          <w:rFonts w:ascii="Times New Roman" w:hAnsi="Times New Roman" w:cs="Times New Roman"/>
        </w:rPr>
      </w:pPr>
      <w:bookmarkStart w:id="7" w:name="_Toc224808236"/>
      <w:r w:rsidRPr="00273141">
        <w:rPr>
          <w:rFonts w:ascii="Times New Roman" w:hAnsi="Times New Roman" w:cs="Times New Roman"/>
        </w:rPr>
        <w:lastRenderedPageBreak/>
        <w:t>BILAGA</w:t>
      </w:r>
    </w:p>
    <w:p w14:paraId="2427E9CD" w14:textId="0D6D57DC" w:rsidR="00EE5A45" w:rsidRPr="00273141" w:rsidRDefault="00EE5A45" w:rsidP="00EE5A45">
      <w:pPr>
        <w:pStyle w:val="PageHeading"/>
        <w:rPr>
          <w:rFonts w:ascii="Times New Roman" w:hAnsi="Times New Roman" w:cs="Times New Roman"/>
          <w:noProof/>
        </w:rPr>
      </w:pPr>
      <w:r w:rsidRPr="00273141">
        <w:rPr>
          <w:rFonts w:ascii="Times New Roman" w:hAnsi="Times New Roman" w:cs="Times New Roman"/>
        </w:rPr>
        <w:t>EUROPAPARLAMENTETS OCH RÅDETS BESLUT</w:t>
      </w:r>
      <w:bookmarkEnd w:id="7"/>
    </w:p>
    <w:p w14:paraId="2A411BE4" w14:textId="77777777" w:rsidR="00EE5A45" w:rsidRDefault="00EE5A45" w:rsidP="00EE5A45">
      <w:pPr>
        <w:pStyle w:val="NormalHanging12a"/>
        <w:rPr>
          <w:b/>
        </w:rPr>
      </w:pPr>
      <w:bookmarkStart w:id="8" w:name="_Hlk212804276"/>
      <w:bookmarkStart w:id="9" w:name="_Hlk212804598"/>
      <w:r w:rsidRPr="00D347CB">
        <w:rPr>
          <w:b/>
        </w:rPr>
        <w:t>om utnyttjande av Europeiska fonden för justering för globaliseringseffekter för uppsagda arbetstagare efter en ansökan från Österrike – EGF/2025/005 AT/KTM</w:t>
      </w:r>
    </w:p>
    <w:p w14:paraId="2C93A9FA" w14:textId="466E86CD" w:rsidR="00273141" w:rsidRPr="00273141" w:rsidRDefault="00273141" w:rsidP="00273141">
      <w:pPr>
        <w:widowControl/>
        <w:jc w:val="both"/>
        <w:rPr>
          <w:rFonts w:eastAsia="Calibri"/>
          <w:i/>
          <w:szCs w:val="24"/>
          <w:lang w:eastAsia="en-US"/>
        </w:rPr>
      </w:pPr>
      <w:r w:rsidRPr="00273141">
        <w:rPr>
          <w:rFonts w:eastAsia="Calibri"/>
          <w:i/>
          <w:szCs w:val="24"/>
          <w:lang w:eastAsia="en-US"/>
        </w:rPr>
        <w:t>(Texten till denna bilaga återges inte här eftersom den motsvaras av den slutliga rättsakten, beslut</w:t>
      </w:r>
      <w:r>
        <w:rPr>
          <w:rFonts w:eastAsia="Calibri"/>
          <w:i/>
          <w:szCs w:val="24"/>
          <w:lang w:eastAsia="en-US"/>
        </w:rPr>
        <w:t xml:space="preserve"> </w:t>
      </w:r>
      <w:r w:rsidRPr="00273141">
        <w:rPr>
          <w:rFonts w:eastAsia="Calibri"/>
          <w:i/>
          <w:szCs w:val="24"/>
          <w:lang w:eastAsia="en-US"/>
        </w:rPr>
        <w:t xml:space="preserve">(EU) </w:t>
      </w:r>
      <w:r>
        <w:rPr>
          <w:rFonts w:eastAsia="Calibri"/>
          <w:i/>
          <w:szCs w:val="24"/>
          <w:lang w:eastAsia="en-US"/>
        </w:rPr>
        <w:t>2026</w:t>
      </w:r>
      <w:r w:rsidRPr="00273141">
        <w:rPr>
          <w:rFonts w:eastAsia="Calibri"/>
          <w:i/>
          <w:szCs w:val="24"/>
          <w:lang w:eastAsia="en-US"/>
        </w:rPr>
        <w:t>/</w:t>
      </w:r>
      <w:r>
        <w:rPr>
          <w:rFonts w:eastAsia="Calibri"/>
          <w:i/>
          <w:szCs w:val="24"/>
          <w:lang w:eastAsia="en-US"/>
        </w:rPr>
        <w:t>850</w:t>
      </w:r>
      <w:r w:rsidRPr="00273141">
        <w:rPr>
          <w:rFonts w:eastAsia="Calibri"/>
          <w:i/>
          <w:szCs w:val="24"/>
          <w:lang w:eastAsia="en-US"/>
        </w:rPr>
        <w:t>.)</w:t>
      </w:r>
    </w:p>
    <w:p w14:paraId="543E4689" w14:textId="77777777" w:rsidR="00273141" w:rsidRPr="00D347CB" w:rsidRDefault="00273141" w:rsidP="00EE5A45">
      <w:pPr>
        <w:pStyle w:val="NormalHanging12a"/>
        <w:rPr>
          <w:b/>
          <w:bCs/>
        </w:rPr>
      </w:pPr>
    </w:p>
    <w:bookmarkEnd w:id="8"/>
    <w:bookmarkEnd w:id="9"/>
    <w:sectPr w:rsidR="00273141" w:rsidRPr="00D347CB" w:rsidSect="006F3618">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3FB51" w14:textId="77777777" w:rsidR="007074CC" w:rsidRPr="006F3618" w:rsidRDefault="007074CC">
      <w:r w:rsidRPr="006F3618">
        <w:separator/>
      </w:r>
    </w:p>
  </w:endnote>
  <w:endnote w:type="continuationSeparator" w:id="0">
    <w:p w14:paraId="57D9A346" w14:textId="77777777" w:rsidR="007074CC" w:rsidRPr="006F3618" w:rsidRDefault="007074CC">
      <w:r w:rsidRPr="006F36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99E83" w14:textId="77777777" w:rsidR="00EE5A45" w:rsidRPr="006F3618" w:rsidRDefault="00EE5A45" w:rsidP="000E76D4">
    <w:pPr>
      <w:pStyle w:val="EPFooter"/>
    </w:pPr>
    <w:r w:rsidRPr="006F3618">
      <w:t>PE</w:t>
    </w:r>
    <w:r w:rsidRPr="006F3618">
      <w:rPr>
        <w:rStyle w:val="HideTWBExt"/>
      </w:rPr>
      <w:t>&lt;</w:t>
    </w:r>
    <w:proofErr w:type="spellStart"/>
    <w:r w:rsidRPr="006F3618">
      <w:rPr>
        <w:rStyle w:val="HideTWBExt"/>
      </w:rPr>
      <w:t>NoPE</w:t>
    </w:r>
    <w:proofErr w:type="spellEnd"/>
    <w:r w:rsidRPr="006F3618">
      <w:rPr>
        <w:rStyle w:val="HideTWBExt"/>
      </w:rPr>
      <w:t>&gt;</w:t>
    </w:r>
    <w:r w:rsidRPr="006F3618">
      <w:t>784.472</w:t>
    </w:r>
    <w:r w:rsidRPr="006F3618">
      <w:rPr>
        <w:rStyle w:val="HideTWBExt"/>
      </w:rPr>
      <w:t>&lt;/</w:t>
    </w:r>
    <w:proofErr w:type="spellStart"/>
    <w:r w:rsidRPr="006F3618">
      <w:rPr>
        <w:rStyle w:val="HideTWBExt"/>
      </w:rPr>
      <w:t>NoPE</w:t>
    </w:r>
    <w:proofErr w:type="spellEnd"/>
    <w:r w:rsidRPr="006F3618">
      <w:rPr>
        <w:rStyle w:val="HideTWBExt"/>
      </w:rPr>
      <w:t>&gt;&lt;Version&gt;</w:t>
    </w:r>
    <w:r w:rsidRPr="006F3618">
      <w:t>v02-00</w:t>
    </w:r>
    <w:r w:rsidRPr="006F3618">
      <w:rPr>
        <w:rStyle w:val="HideTWBExt"/>
      </w:rPr>
      <w:t>&lt;/Version&gt;</w:t>
    </w:r>
    <w:r w:rsidRPr="006F3618">
      <w:tab/>
    </w:r>
    <w:r w:rsidRPr="006F3618">
      <w:fldChar w:fldCharType="begin"/>
    </w:r>
    <w:r w:rsidRPr="006F3618">
      <w:instrText xml:space="preserve"> PAGE  \* MERGEFORMAT </w:instrText>
    </w:r>
    <w:r w:rsidRPr="006F3618">
      <w:fldChar w:fldCharType="separate"/>
    </w:r>
    <w:r w:rsidRPr="006F3618">
      <w:rPr>
        <w:noProof/>
      </w:rPr>
      <w:t>1</w:t>
    </w:r>
    <w:r w:rsidRPr="006F3618">
      <w:fldChar w:fldCharType="end"/>
    </w:r>
    <w:r w:rsidRPr="006F3618">
      <w:t>/</w:t>
    </w:r>
    <w:fldSimple w:instr=" NUMPAGES  \* MERGEFORMAT ">
      <w:r w:rsidRPr="006F3618">
        <w:rPr>
          <w:noProof/>
        </w:rPr>
        <w:t>2</w:t>
      </w:r>
    </w:fldSimple>
    <w:r w:rsidRPr="006F3618">
      <w:tab/>
    </w:r>
    <w:r w:rsidRPr="006F3618">
      <w:rPr>
        <w:rStyle w:val="HideTWBExt"/>
      </w:rPr>
      <w:t>&lt;PathFdR&gt;</w:t>
    </w:r>
    <w:r w:rsidRPr="006F3618">
      <w:t>RR\1339711SV.docx</w:t>
    </w:r>
    <w:r w:rsidRPr="006F3618">
      <w:rPr>
        <w:rStyle w:val="HideTWBExt"/>
      </w:rPr>
      <w:t>&lt;/</w:t>
    </w:r>
    <w:proofErr w:type="spellStart"/>
    <w:r w:rsidRPr="006F3618">
      <w:rPr>
        <w:rStyle w:val="HideTWBExt"/>
      </w:rPr>
      <w:t>PathFdR</w:t>
    </w:r>
    <w:proofErr w:type="spellEnd"/>
    <w:r w:rsidRPr="006F3618">
      <w:rPr>
        <w:rStyle w:val="HideTWBExt"/>
      </w:rPr>
      <w:t>&gt;</w:t>
    </w:r>
  </w:p>
  <w:p w14:paraId="4D02F642" w14:textId="77777777" w:rsidR="00EE5A45" w:rsidRPr="006F3618" w:rsidRDefault="00EE5A45" w:rsidP="000E76D4">
    <w:pPr>
      <w:pStyle w:val="EPFooter2"/>
    </w:pPr>
    <w:r w:rsidRPr="006F3618">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2AB1F" w14:textId="796A3C13" w:rsidR="00EE5A45" w:rsidRPr="006F3618" w:rsidRDefault="00EE5A45" w:rsidP="000E76D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3660D" w14:textId="77777777" w:rsidR="00EE5A45" w:rsidRPr="006F3618" w:rsidRDefault="00EE5A45" w:rsidP="000E76D4">
    <w:pPr>
      <w:pStyle w:val="EPFooter"/>
    </w:pPr>
    <w:r w:rsidRPr="006F3618">
      <w:rPr>
        <w:rStyle w:val="HideTWBExt"/>
      </w:rPr>
      <w:t>&lt;PathFdR&gt;</w:t>
    </w:r>
    <w:r w:rsidRPr="006F3618">
      <w:t>RR\1339711SV.docx</w:t>
    </w:r>
    <w:r w:rsidRPr="006F3618">
      <w:rPr>
        <w:rStyle w:val="HideTWBExt"/>
      </w:rPr>
      <w:t>&lt;/</w:t>
    </w:r>
    <w:proofErr w:type="spellStart"/>
    <w:r w:rsidRPr="006F3618">
      <w:rPr>
        <w:rStyle w:val="HideTWBExt"/>
      </w:rPr>
      <w:t>PathFdR</w:t>
    </w:r>
    <w:proofErr w:type="spellEnd"/>
    <w:r w:rsidRPr="006F3618">
      <w:rPr>
        <w:rStyle w:val="HideTWBExt"/>
      </w:rPr>
      <w:t>&gt;</w:t>
    </w:r>
    <w:r w:rsidRPr="006F3618">
      <w:tab/>
    </w:r>
    <w:r w:rsidRPr="006F3618">
      <w:tab/>
      <w:t>PE</w:t>
    </w:r>
    <w:r w:rsidRPr="006F3618">
      <w:rPr>
        <w:rStyle w:val="HideTWBExt"/>
      </w:rPr>
      <w:t>&lt;</w:t>
    </w:r>
    <w:proofErr w:type="spellStart"/>
    <w:r w:rsidRPr="006F3618">
      <w:rPr>
        <w:rStyle w:val="HideTWBExt"/>
      </w:rPr>
      <w:t>NoPE</w:t>
    </w:r>
    <w:proofErr w:type="spellEnd"/>
    <w:r w:rsidRPr="006F3618">
      <w:rPr>
        <w:rStyle w:val="HideTWBExt"/>
      </w:rPr>
      <w:t>&gt;</w:t>
    </w:r>
    <w:r w:rsidRPr="006F3618">
      <w:t>784.472</w:t>
    </w:r>
    <w:r w:rsidRPr="006F3618">
      <w:rPr>
        <w:rStyle w:val="HideTWBExt"/>
      </w:rPr>
      <w:t>&lt;/</w:t>
    </w:r>
    <w:proofErr w:type="spellStart"/>
    <w:r w:rsidRPr="006F3618">
      <w:rPr>
        <w:rStyle w:val="HideTWBExt"/>
      </w:rPr>
      <w:t>NoPE</w:t>
    </w:r>
    <w:proofErr w:type="spellEnd"/>
    <w:r w:rsidRPr="006F3618">
      <w:rPr>
        <w:rStyle w:val="HideTWBExt"/>
      </w:rPr>
      <w:t>&gt;&lt;Version&gt;</w:t>
    </w:r>
    <w:r w:rsidRPr="006F3618">
      <w:t>v02-00</w:t>
    </w:r>
    <w:r w:rsidRPr="006F3618">
      <w:rPr>
        <w:rStyle w:val="HideTWBExt"/>
      </w:rPr>
      <w:t>&lt;/Version&gt;</w:t>
    </w:r>
  </w:p>
  <w:p w14:paraId="712EE68C" w14:textId="77777777" w:rsidR="00EE5A45" w:rsidRPr="006F3618" w:rsidRDefault="00EE5A45" w:rsidP="000E76D4">
    <w:pPr>
      <w:pStyle w:val="EPFooter2"/>
    </w:pPr>
    <w:r w:rsidRPr="006F3618">
      <w:t>SV</w:t>
    </w:r>
    <w:r w:rsidRPr="006F3618">
      <w:tab/>
    </w:r>
    <w:r w:rsidRPr="006F3618">
      <w:rPr>
        <w:b w:val="0"/>
        <w:i/>
        <w:color w:val="C0C0C0"/>
        <w:sz w:val="22"/>
      </w:rPr>
      <w:t>Förenade i mångfalden</w:t>
    </w:r>
    <w:r w:rsidRPr="006F3618">
      <w:tab/>
      <w:t>SV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97CD9" w14:textId="77777777" w:rsidR="00064002" w:rsidRPr="006F3618"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15723" w14:textId="77777777" w:rsidR="00064002" w:rsidRPr="006F3618"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4D69A" w14:textId="77777777" w:rsidR="00064002" w:rsidRPr="006F36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D310D" w14:textId="77777777" w:rsidR="007074CC" w:rsidRPr="006F3618" w:rsidRDefault="007074CC">
      <w:r w:rsidRPr="006F3618">
        <w:separator/>
      </w:r>
    </w:p>
  </w:footnote>
  <w:footnote w:type="continuationSeparator" w:id="0">
    <w:p w14:paraId="53438E11" w14:textId="77777777" w:rsidR="007074CC" w:rsidRPr="006F3618" w:rsidRDefault="007074CC">
      <w:r w:rsidRPr="006F3618">
        <w:continuationSeparator/>
      </w:r>
    </w:p>
  </w:footnote>
  <w:footnote w:id="1">
    <w:p w14:paraId="4A82F59F" w14:textId="4E4E0AB2" w:rsidR="00EE5A45" w:rsidRPr="000243FD" w:rsidRDefault="00EE5A45" w:rsidP="006F3618">
      <w:pPr>
        <w:pStyle w:val="FootnoteText"/>
        <w:ind w:left="567" w:hanging="567"/>
        <w:rPr>
          <w:sz w:val="24"/>
          <w:lang w:val="fi-FI"/>
        </w:rPr>
      </w:pPr>
      <w:r w:rsidRPr="000243FD">
        <w:rPr>
          <w:rStyle w:val="FootnoteReference"/>
          <w:sz w:val="24"/>
          <w:lang w:val="sv-SE"/>
        </w:rPr>
        <w:footnoteRef/>
      </w:r>
      <w:r w:rsidR="006F3618" w:rsidRPr="000243FD">
        <w:rPr>
          <w:sz w:val="24"/>
          <w:lang w:val="fi-FI"/>
        </w:rPr>
        <w:t xml:space="preserve"> </w:t>
      </w:r>
      <w:r w:rsidR="006F3618" w:rsidRPr="000243FD">
        <w:rPr>
          <w:sz w:val="24"/>
          <w:lang w:val="fi-FI"/>
        </w:rPr>
        <w:tab/>
      </w:r>
      <w:r w:rsidRPr="000243FD">
        <w:rPr>
          <w:sz w:val="24"/>
          <w:lang w:val="fi-FI"/>
        </w:rPr>
        <w:t xml:space="preserve">EUT L 153, 3.5.2021, s. 48, ELI: </w:t>
      </w:r>
      <w:hyperlink r:id="rId1" w:history="1">
        <w:r w:rsidRPr="000243FD">
          <w:rPr>
            <w:rStyle w:val="Hyperlink"/>
            <w:sz w:val="24"/>
            <w:lang w:val="fi-FI"/>
          </w:rPr>
          <w:t>http://data.europa.eu/eli/reg/2021/691/oj</w:t>
        </w:r>
      </w:hyperlink>
      <w:r w:rsidRPr="000243FD">
        <w:rPr>
          <w:sz w:val="24"/>
          <w:lang w:val="fi-FI"/>
        </w:rPr>
        <w:t>.</w:t>
      </w:r>
    </w:p>
  </w:footnote>
  <w:footnote w:id="2">
    <w:p w14:paraId="1D15C23C" w14:textId="631944C7" w:rsidR="00EE5A45" w:rsidRPr="000243FD" w:rsidRDefault="00EE5A45" w:rsidP="006F3618">
      <w:pPr>
        <w:pStyle w:val="FootnoteText"/>
        <w:ind w:left="567" w:hanging="567"/>
        <w:rPr>
          <w:sz w:val="24"/>
          <w:lang w:val="fi-FI"/>
        </w:rPr>
      </w:pPr>
      <w:r w:rsidRPr="000243FD">
        <w:rPr>
          <w:rStyle w:val="FootnoteReference"/>
          <w:sz w:val="24"/>
          <w:lang w:val="sv-SE"/>
        </w:rPr>
        <w:footnoteRef/>
      </w:r>
      <w:r w:rsidR="006F3618" w:rsidRPr="000243FD">
        <w:rPr>
          <w:sz w:val="24"/>
          <w:lang w:val="fi-FI"/>
        </w:rPr>
        <w:t xml:space="preserve"> </w:t>
      </w:r>
      <w:r w:rsidR="006F3618" w:rsidRPr="000243FD">
        <w:rPr>
          <w:sz w:val="24"/>
          <w:lang w:val="fi-FI"/>
        </w:rPr>
        <w:tab/>
      </w:r>
      <w:r w:rsidRPr="000243FD">
        <w:rPr>
          <w:sz w:val="24"/>
          <w:lang w:val="fi-FI"/>
        </w:rPr>
        <w:t xml:space="preserve">EUT L 433 I, 22.12.2020, s. 11, ELI: </w:t>
      </w:r>
      <w:hyperlink r:id="rId2" w:history="1">
        <w:r w:rsidRPr="000243FD">
          <w:rPr>
            <w:rStyle w:val="Hyperlink"/>
            <w:sz w:val="24"/>
            <w:lang w:val="fi-FI"/>
          </w:rPr>
          <w:t>http://data.europa.eu/eli/reg/2020/2093/oj</w:t>
        </w:r>
      </w:hyperlink>
      <w:r w:rsidRPr="000243FD">
        <w:rPr>
          <w:sz w:val="24"/>
          <w:lang w:val="fi-FI"/>
        </w:rPr>
        <w:t>).</w:t>
      </w:r>
    </w:p>
  </w:footnote>
  <w:footnote w:id="3">
    <w:p w14:paraId="66C939BB" w14:textId="515BC983" w:rsidR="00EE5A45" w:rsidRPr="000243FD" w:rsidRDefault="00EE5A45" w:rsidP="006F3618">
      <w:pPr>
        <w:pStyle w:val="FootnoteText"/>
        <w:ind w:left="567" w:hanging="567"/>
        <w:rPr>
          <w:sz w:val="24"/>
          <w:lang w:val="sv-SE"/>
        </w:rPr>
      </w:pPr>
      <w:r w:rsidRPr="000243FD">
        <w:rPr>
          <w:rStyle w:val="FootnoteReference"/>
          <w:sz w:val="24"/>
          <w:lang w:val="sv-SE"/>
        </w:rPr>
        <w:footnoteRef/>
      </w:r>
      <w:r w:rsidR="006F3618" w:rsidRPr="000243FD">
        <w:rPr>
          <w:sz w:val="24"/>
          <w:shd w:val="clear" w:color="auto" w:fill="FFFFFF"/>
          <w:lang w:val="sv-SE"/>
        </w:rPr>
        <w:t xml:space="preserve"> </w:t>
      </w:r>
      <w:r w:rsidR="006F3618" w:rsidRPr="000243FD">
        <w:rPr>
          <w:sz w:val="24"/>
          <w:shd w:val="clear" w:color="auto" w:fill="FFFFFF"/>
          <w:lang w:val="sv-SE"/>
        </w:rPr>
        <w:tab/>
      </w:r>
      <w:r w:rsidRPr="000243FD">
        <w:rPr>
          <w:sz w:val="24"/>
          <w:shd w:val="clear" w:color="auto" w:fill="FFFFFF"/>
          <w:lang w:val="sv-SE"/>
        </w:rPr>
        <w:t>Rådets förordning (EU, Euratom) 2024/765 av den 29 februari 2024 om ändring av förordning (EU, Euratom) 2020/2093 om den fleråriga budgetramen 2021–2027 (EUT L</w:t>
      </w:r>
      <w:r w:rsidR="00B40304">
        <w:rPr>
          <w:sz w:val="24"/>
          <w:shd w:val="clear" w:color="auto" w:fill="FFFFFF"/>
          <w:lang w:val="sv-SE"/>
        </w:rPr>
        <w:t>,</w:t>
      </w:r>
      <w:r w:rsidRPr="000243FD">
        <w:rPr>
          <w:sz w:val="24"/>
          <w:shd w:val="clear" w:color="auto" w:fill="FFFFFF"/>
          <w:lang w:val="sv-SE"/>
        </w:rPr>
        <w:t xml:space="preserve"> 2024/765, 29.2.2024, ELI: </w:t>
      </w:r>
      <w:hyperlink r:id="rId3" w:history="1">
        <w:r w:rsidRPr="000243FD">
          <w:rPr>
            <w:rStyle w:val="Hyperlink"/>
            <w:sz w:val="24"/>
            <w:shd w:val="clear" w:color="auto" w:fill="FFFFFF"/>
            <w:lang w:val="sv-SE"/>
          </w:rPr>
          <w:t>http://data.europa.eu/eli/reg/2024/765/oj</w:t>
        </w:r>
      </w:hyperlink>
      <w:r w:rsidRPr="000243FD">
        <w:rPr>
          <w:sz w:val="24"/>
          <w:shd w:val="clear" w:color="auto" w:fill="FFFFFF"/>
          <w:lang w:val="sv-SE"/>
        </w:rPr>
        <w:t>)</w:t>
      </w:r>
      <w:r w:rsidRPr="000243FD">
        <w:rPr>
          <w:i/>
          <w:sz w:val="24"/>
          <w:shd w:val="clear" w:color="auto" w:fill="FFFFFF"/>
          <w:lang w:val="sv-SE"/>
        </w:rPr>
        <w:t>.</w:t>
      </w:r>
    </w:p>
  </w:footnote>
  <w:footnote w:id="4">
    <w:p w14:paraId="50B8B524" w14:textId="4F723C86" w:rsidR="00EE5A45" w:rsidRPr="000243FD" w:rsidRDefault="00EE5A45" w:rsidP="006F3618">
      <w:pPr>
        <w:pStyle w:val="FootnoteText"/>
        <w:ind w:left="567" w:hanging="567"/>
        <w:rPr>
          <w:sz w:val="24"/>
          <w:lang w:val="fi-FI"/>
        </w:rPr>
      </w:pPr>
      <w:r w:rsidRPr="000243FD">
        <w:rPr>
          <w:rStyle w:val="FootnoteReference"/>
          <w:sz w:val="24"/>
          <w:lang w:val="sv-SE"/>
        </w:rPr>
        <w:footnoteRef/>
      </w:r>
      <w:r w:rsidR="006F3618" w:rsidRPr="000243FD">
        <w:rPr>
          <w:sz w:val="24"/>
          <w:lang w:val="fi-FI"/>
        </w:rPr>
        <w:t xml:space="preserve"> </w:t>
      </w:r>
      <w:r w:rsidR="006F3618" w:rsidRPr="000243FD">
        <w:rPr>
          <w:sz w:val="24"/>
          <w:lang w:val="fi-FI"/>
        </w:rPr>
        <w:tab/>
      </w:r>
      <w:r w:rsidRPr="000243FD">
        <w:rPr>
          <w:sz w:val="24"/>
          <w:lang w:val="fi-FI"/>
        </w:rPr>
        <w:t xml:space="preserve">EUT L 433 I, 22.12.2020, s. 28, ELI: </w:t>
      </w:r>
      <w:hyperlink r:id="rId4" w:history="1">
        <w:r w:rsidRPr="000243FD">
          <w:rPr>
            <w:rStyle w:val="Hyperlink"/>
            <w:sz w:val="24"/>
            <w:lang w:val="fi-FI"/>
          </w:rPr>
          <w:t>http://data.europa.eu/eli/agree_interinstit/2020/1222/oj</w:t>
        </w:r>
      </w:hyperlink>
      <w:r w:rsidRPr="000243FD">
        <w:rPr>
          <w:sz w:val="24"/>
          <w:lang w:val="fi-FI"/>
        </w:rPr>
        <w:t>.</w:t>
      </w:r>
    </w:p>
  </w:footnote>
  <w:footnote w:id="5">
    <w:p w14:paraId="590A09BB" w14:textId="532C2BAD" w:rsidR="00EE5A45" w:rsidRPr="000243FD" w:rsidRDefault="00EE5A45" w:rsidP="006F3618">
      <w:pPr>
        <w:pStyle w:val="FootnoteText"/>
        <w:ind w:left="567" w:hanging="567"/>
        <w:rPr>
          <w:sz w:val="24"/>
          <w:lang w:val="sv-SE"/>
        </w:rPr>
      </w:pPr>
      <w:r w:rsidRPr="000243FD">
        <w:rPr>
          <w:rStyle w:val="FootnoteReference"/>
          <w:sz w:val="24"/>
          <w:lang w:val="sv-SE"/>
        </w:rPr>
        <w:footnoteRef/>
      </w:r>
      <w:r w:rsidR="006F3618" w:rsidRPr="000243FD">
        <w:rPr>
          <w:sz w:val="24"/>
          <w:lang w:val="sv-SE"/>
        </w:rPr>
        <w:t xml:space="preserve"> </w:t>
      </w:r>
      <w:r w:rsidR="006F3618" w:rsidRPr="000243FD">
        <w:rPr>
          <w:sz w:val="24"/>
          <w:lang w:val="sv-SE"/>
        </w:rPr>
        <w:tab/>
      </w:r>
      <w:r w:rsidRPr="000243FD">
        <w:rPr>
          <w:sz w:val="24"/>
          <w:lang w:val="sv-SE"/>
        </w:rPr>
        <w:t>I den mening som avses i artikel 3 i EGF-förordningen.</w:t>
      </w:r>
    </w:p>
  </w:footnote>
  <w:footnote w:id="6">
    <w:p w14:paraId="71243B19" w14:textId="3B7D7B09" w:rsidR="00EE5A45" w:rsidRPr="000243FD" w:rsidRDefault="00EE5A45" w:rsidP="006F3618">
      <w:pPr>
        <w:pStyle w:val="FootnoteText"/>
        <w:ind w:left="567" w:hanging="567"/>
        <w:rPr>
          <w:sz w:val="24"/>
          <w:lang w:val="sv-SE"/>
        </w:rPr>
      </w:pPr>
      <w:r w:rsidRPr="000243FD">
        <w:rPr>
          <w:rStyle w:val="FootnoteReference"/>
          <w:sz w:val="24"/>
          <w:lang w:val="sv-SE"/>
        </w:rPr>
        <w:footnoteRef/>
      </w:r>
      <w:r w:rsidR="006F3618" w:rsidRPr="000243FD">
        <w:rPr>
          <w:sz w:val="24"/>
          <w:lang w:val="sv-SE"/>
        </w:rPr>
        <w:t xml:space="preserve"> </w:t>
      </w:r>
      <w:r w:rsidR="006F3618" w:rsidRPr="000243FD">
        <w:rPr>
          <w:sz w:val="24"/>
          <w:lang w:val="sv-SE"/>
        </w:rPr>
        <w:tab/>
      </w:r>
      <w:r w:rsidRPr="000243FD">
        <w:rPr>
          <w:sz w:val="24"/>
          <w:lang w:val="sv-SE"/>
        </w:rPr>
        <w:t>Artikel 8 i förordningen om den fleråriga budgetramen.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F96BC" w14:textId="77777777" w:rsidR="00EE5A45" w:rsidRPr="006F3618" w:rsidRDefault="00EE5A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7DF07" w14:textId="77777777" w:rsidR="00EE5A45" w:rsidRPr="006F3618" w:rsidRDefault="00EE5A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417D6" w14:textId="77777777" w:rsidR="00EE5A45" w:rsidRPr="006F3618" w:rsidRDefault="00EE5A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B6598" w14:textId="77777777" w:rsidR="00064002" w:rsidRPr="006F3618"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55034" w14:textId="77777777" w:rsidR="00064002" w:rsidRPr="006F3618"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A4F1E" w14:textId="77777777" w:rsidR="00064002" w:rsidRPr="006F36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93684064">
    <w:abstractNumId w:val="9"/>
  </w:num>
  <w:num w:numId="2" w16cid:durableId="706444068">
    <w:abstractNumId w:val="9"/>
  </w:num>
  <w:num w:numId="3" w16cid:durableId="892347553">
    <w:abstractNumId w:val="7"/>
  </w:num>
  <w:num w:numId="4" w16cid:durableId="1884363841">
    <w:abstractNumId w:val="7"/>
  </w:num>
  <w:num w:numId="5" w16cid:durableId="341129704">
    <w:abstractNumId w:val="6"/>
  </w:num>
  <w:num w:numId="6" w16cid:durableId="144861272">
    <w:abstractNumId w:val="6"/>
  </w:num>
  <w:num w:numId="7" w16cid:durableId="604465703">
    <w:abstractNumId w:val="5"/>
  </w:num>
  <w:num w:numId="8" w16cid:durableId="1448697993">
    <w:abstractNumId w:val="5"/>
  </w:num>
  <w:num w:numId="9" w16cid:durableId="2092042217">
    <w:abstractNumId w:val="4"/>
  </w:num>
  <w:num w:numId="10" w16cid:durableId="591209366">
    <w:abstractNumId w:val="4"/>
  </w:num>
  <w:num w:numId="11" w16cid:durableId="907232996">
    <w:abstractNumId w:val="8"/>
  </w:num>
  <w:num w:numId="12" w16cid:durableId="1766999310">
    <w:abstractNumId w:val="8"/>
  </w:num>
  <w:num w:numId="13" w16cid:durableId="2000232487">
    <w:abstractNumId w:val="3"/>
  </w:num>
  <w:num w:numId="14" w16cid:durableId="1667780406">
    <w:abstractNumId w:val="3"/>
  </w:num>
  <w:num w:numId="15" w16cid:durableId="944191879">
    <w:abstractNumId w:val="2"/>
  </w:num>
  <w:num w:numId="16" w16cid:durableId="1482582451">
    <w:abstractNumId w:val="2"/>
  </w:num>
  <w:num w:numId="17" w16cid:durableId="1077285700">
    <w:abstractNumId w:val="1"/>
  </w:num>
  <w:num w:numId="18" w16cid:durableId="34621369">
    <w:abstractNumId w:val="1"/>
  </w:num>
  <w:num w:numId="19" w16cid:durableId="2072731639">
    <w:abstractNumId w:val="0"/>
  </w:num>
  <w:num w:numId="20" w16cid:durableId="1911034615">
    <w:abstractNumId w:val="0"/>
  </w:num>
  <w:num w:numId="21" w16cid:durableId="66420454">
    <w:abstractNumId w:val="9"/>
  </w:num>
  <w:num w:numId="22" w16cid:durableId="1533300413">
    <w:abstractNumId w:val="7"/>
  </w:num>
  <w:num w:numId="23" w16cid:durableId="393092280">
    <w:abstractNumId w:val="6"/>
  </w:num>
  <w:num w:numId="24" w16cid:durableId="994457019">
    <w:abstractNumId w:val="5"/>
  </w:num>
  <w:num w:numId="25" w16cid:durableId="2054575956">
    <w:abstractNumId w:val="4"/>
  </w:num>
  <w:num w:numId="26" w16cid:durableId="416100923">
    <w:abstractNumId w:val="8"/>
  </w:num>
  <w:num w:numId="27" w16cid:durableId="110130141">
    <w:abstractNumId w:val="3"/>
  </w:num>
  <w:num w:numId="28" w16cid:durableId="1823620450">
    <w:abstractNumId w:val="2"/>
  </w:num>
  <w:num w:numId="29" w16cid:durableId="1676178573">
    <w:abstractNumId w:val="1"/>
  </w:num>
  <w:num w:numId="30" w16cid:durableId="488862674">
    <w:abstractNumId w:val="0"/>
  </w:num>
  <w:num w:numId="31" w16cid:durableId="1997489250">
    <w:abstractNumId w:val="9"/>
  </w:num>
  <w:num w:numId="32" w16cid:durableId="261298729">
    <w:abstractNumId w:val="7"/>
  </w:num>
  <w:num w:numId="33" w16cid:durableId="1720127475">
    <w:abstractNumId w:val="6"/>
  </w:num>
  <w:num w:numId="34" w16cid:durableId="1722706290">
    <w:abstractNumId w:val="5"/>
  </w:num>
  <w:num w:numId="35" w16cid:durableId="565536409">
    <w:abstractNumId w:val="4"/>
  </w:num>
  <w:num w:numId="36" w16cid:durableId="1546793372">
    <w:abstractNumId w:val="8"/>
  </w:num>
  <w:num w:numId="37" w16cid:durableId="1799109982">
    <w:abstractNumId w:val="3"/>
  </w:num>
  <w:num w:numId="38" w16cid:durableId="1496799345">
    <w:abstractNumId w:val="2"/>
  </w:num>
  <w:num w:numId="39" w16cid:durableId="1130321385">
    <w:abstractNumId w:val="1"/>
  </w:num>
  <w:num w:numId="40" w16cid:durableId="1737629180">
    <w:abstractNumId w:val="0"/>
  </w:num>
  <w:num w:numId="41" w16cid:durableId="1884094519">
    <w:abstractNumId w:val="10"/>
  </w:num>
  <w:num w:numId="42" w16cid:durableId="1867864595">
    <w:abstractNumId w:val="10"/>
  </w:num>
  <w:num w:numId="43" w16cid:durableId="1123963099">
    <w:abstractNumId w:val="10"/>
  </w:num>
  <w:num w:numId="44" w16cid:durableId="2179391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0/2026"/>
    <w:docVar w:name="dvlangue" w:val="SV"/>
    <w:docVar w:name="dvnumam" w:val="0"/>
    <w:docVar w:name="dvpe" w:val="784.472"/>
    <w:docVar w:name="dvrapporteur" w:val="Föredragande: "/>
    <w:docVar w:name="dvtitre" w:val="Europaparlamentets lagstiftningsresolution av den xx xx 2026 om förslaget till Europaparlamentets och rådets beslut om utnyttjande av Europeiska fonden för justering för globaliseringseffekter för uppsagda arbetstagare efter en ansökan från Österrike – EGF/2025/005 AT/KTM(COM(2026)0010 – C10-0026/2026 – 2026/0037(BUD))"/>
  </w:docVars>
  <w:rsids>
    <w:rsidRoot w:val="007074CC"/>
    <w:rsid w:val="00002272"/>
    <w:rsid w:val="000243FD"/>
    <w:rsid w:val="00064002"/>
    <w:rsid w:val="000677B9"/>
    <w:rsid w:val="000831BA"/>
    <w:rsid w:val="000903B2"/>
    <w:rsid w:val="000A42CC"/>
    <w:rsid w:val="000E7DD9"/>
    <w:rsid w:val="0010095E"/>
    <w:rsid w:val="00125B37"/>
    <w:rsid w:val="00187494"/>
    <w:rsid w:val="001F32AE"/>
    <w:rsid w:val="00273141"/>
    <w:rsid w:val="002767FF"/>
    <w:rsid w:val="002B18FE"/>
    <w:rsid w:val="002B5493"/>
    <w:rsid w:val="00343214"/>
    <w:rsid w:val="00361C00"/>
    <w:rsid w:val="00395FA1"/>
    <w:rsid w:val="003B443F"/>
    <w:rsid w:val="003E15D4"/>
    <w:rsid w:val="00411CCE"/>
    <w:rsid w:val="0041666E"/>
    <w:rsid w:val="00421060"/>
    <w:rsid w:val="00471C19"/>
    <w:rsid w:val="004867E3"/>
    <w:rsid w:val="00494A28"/>
    <w:rsid w:val="004C0004"/>
    <w:rsid w:val="004C5D52"/>
    <w:rsid w:val="0050519A"/>
    <w:rsid w:val="005072A1"/>
    <w:rsid w:val="00514517"/>
    <w:rsid w:val="00545827"/>
    <w:rsid w:val="00553053"/>
    <w:rsid w:val="00560270"/>
    <w:rsid w:val="005C2568"/>
    <w:rsid w:val="005F1B17"/>
    <w:rsid w:val="006037C0"/>
    <w:rsid w:val="00624D0C"/>
    <w:rsid w:val="006631B6"/>
    <w:rsid w:val="00680577"/>
    <w:rsid w:val="006F3618"/>
    <w:rsid w:val="006F74FA"/>
    <w:rsid w:val="007074CC"/>
    <w:rsid w:val="00731ADD"/>
    <w:rsid w:val="00734777"/>
    <w:rsid w:val="00747932"/>
    <w:rsid w:val="00751A4A"/>
    <w:rsid w:val="00756632"/>
    <w:rsid w:val="00762C74"/>
    <w:rsid w:val="00786EC0"/>
    <w:rsid w:val="007D1690"/>
    <w:rsid w:val="007E22AD"/>
    <w:rsid w:val="00817416"/>
    <w:rsid w:val="00842779"/>
    <w:rsid w:val="00845ECA"/>
    <w:rsid w:val="00865F67"/>
    <w:rsid w:val="00881A7B"/>
    <w:rsid w:val="008840E5"/>
    <w:rsid w:val="00887B3E"/>
    <w:rsid w:val="008C2AC6"/>
    <w:rsid w:val="00930C23"/>
    <w:rsid w:val="0093193B"/>
    <w:rsid w:val="009509D8"/>
    <w:rsid w:val="00950B64"/>
    <w:rsid w:val="00956F57"/>
    <w:rsid w:val="00981893"/>
    <w:rsid w:val="009E1674"/>
    <w:rsid w:val="00A1687D"/>
    <w:rsid w:val="00A43E52"/>
    <w:rsid w:val="00A4678D"/>
    <w:rsid w:val="00A778C7"/>
    <w:rsid w:val="00AB441E"/>
    <w:rsid w:val="00AB6293"/>
    <w:rsid w:val="00AE0928"/>
    <w:rsid w:val="00AF3B82"/>
    <w:rsid w:val="00B12E95"/>
    <w:rsid w:val="00B22876"/>
    <w:rsid w:val="00B40304"/>
    <w:rsid w:val="00B558F0"/>
    <w:rsid w:val="00BD48FE"/>
    <w:rsid w:val="00BD7BD8"/>
    <w:rsid w:val="00BE6ADC"/>
    <w:rsid w:val="00C05BFE"/>
    <w:rsid w:val="00C23CD4"/>
    <w:rsid w:val="00C61C0C"/>
    <w:rsid w:val="00C941CB"/>
    <w:rsid w:val="00CC2357"/>
    <w:rsid w:val="00CF071A"/>
    <w:rsid w:val="00D058B8"/>
    <w:rsid w:val="00D347CB"/>
    <w:rsid w:val="00D56C11"/>
    <w:rsid w:val="00D834A0"/>
    <w:rsid w:val="00D872DF"/>
    <w:rsid w:val="00D91E21"/>
    <w:rsid w:val="00DA7FCD"/>
    <w:rsid w:val="00E04B08"/>
    <w:rsid w:val="00E365E1"/>
    <w:rsid w:val="00E820A4"/>
    <w:rsid w:val="00E87251"/>
    <w:rsid w:val="00EB006A"/>
    <w:rsid w:val="00EB4772"/>
    <w:rsid w:val="00ED169E"/>
    <w:rsid w:val="00ED4235"/>
    <w:rsid w:val="00EE5A4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74E6B1"/>
  <w15:chartTrackingRefBased/>
  <w15:docId w15:val="{1528027A-526F-41AA-9F51-F21CF1FC8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E5A45"/>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EE5A45"/>
    <w:pPr>
      <w:keepNext/>
      <w:spacing w:after="480"/>
      <w:jc w:val="center"/>
    </w:pPr>
    <w:rPr>
      <w:rFonts w:ascii="Arial" w:hAnsi="Arial" w:cs="Arial"/>
      <w:b/>
    </w:rPr>
  </w:style>
  <w:style w:type="paragraph" w:customStyle="1" w:styleId="NormalBold">
    <w:name w:val="NormalBold"/>
    <w:basedOn w:val="Normal"/>
    <w:rsid w:val="00EE5A45"/>
    <w:rPr>
      <w:b/>
    </w:rPr>
  </w:style>
  <w:style w:type="paragraph" w:customStyle="1" w:styleId="NormalHanging12a">
    <w:name w:val="NormalHanging12a"/>
    <w:basedOn w:val="Normal"/>
    <w:link w:val="NormalHanging12aChar"/>
    <w:rsid w:val="00EE5A45"/>
    <w:pPr>
      <w:spacing w:after="240"/>
      <w:ind w:left="567" w:hanging="567"/>
    </w:pPr>
  </w:style>
  <w:style w:type="paragraph" w:styleId="Header">
    <w:name w:val="header"/>
    <w:basedOn w:val="Normal"/>
    <w:link w:val="HeaderChar"/>
    <w:rsid w:val="00EE5A45"/>
    <w:pPr>
      <w:tabs>
        <w:tab w:val="center" w:pos="4513"/>
        <w:tab w:val="right" w:pos="9026"/>
      </w:tabs>
    </w:pPr>
  </w:style>
  <w:style w:type="character" w:customStyle="1" w:styleId="HeaderChar">
    <w:name w:val="Header Char"/>
    <w:basedOn w:val="DefaultParagraphFont"/>
    <w:link w:val="Header"/>
    <w:rsid w:val="00EE5A45"/>
    <w:rPr>
      <w:sz w:val="24"/>
      <w:lang w:val="sv-SE"/>
    </w:rPr>
  </w:style>
  <w:style w:type="paragraph" w:customStyle="1" w:styleId="EPFooter">
    <w:name w:val="EPFooter"/>
    <w:basedOn w:val="Normal"/>
    <w:rsid w:val="00EE5A45"/>
    <w:pPr>
      <w:tabs>
        <w:tab w:val="center" w:pos="4535"/>
        <w:tab w:val="right" w:pos="9071"/>
      </w:tabs>
      <w:spacing w:before="240" w:after="240"/>
    </w:pPr>
    <w:rPr>
      <w:color w:val="010000"/>
      <w:sz w:val="22"/>
    </w:rPr>
  </w:style>
  <w:style w:type="paragraph" w:customStyle="1" w:styleId="EPComma">
    <w:name w:val="EPComma"/>
    <w:basedOn w:val="Normal"/>
    <w:rsid w:val="00EE5A45"/>
    <w:pPr>
      <w:spacing w:before="480" w:after="240"/>
    </w:pPr>
  </w:style>
  <w:style w:type="character" w:styleId="Hyperlink">
    <w:name w:val="Hyperlink"/>
    <w:basedOn w:val="DefaultParagraphFont"/>
    <w:rsid w:val="00EE5A45"/>
    <w:rPr>
      <w:color w:val="0563C1" w:themeColor="hyperlink"/>
      <w:u w:val="single"/>
    </w:rPr>
  </w:style>
  <w:style w:type="character" w:customStyle="1" w:styleId="NormalHanging12aChar">
    <w:name w:val="NormalHanging12a Char"/>
    <w:basedOn w:val="DefaultParagraphFont"/>
    <w:link w:val="NormalHanging12a"/>
    <w:locked/>
    <w:rsid w:val="00EE5A45"/>
    <w:rPr>
      <w:sz w:val="24"/>
      <w:lang w:val="sv-SE"/>
    </w:rPr>
  </w:style>
  <w:style w:type="character" w:customStyle="1" w:styleId="PageHeadingChar">
    <w:name w:val="PageHeading Char"/>
    <w:basedOn w:val="DefaultParagraphFont"/>
    <w:link w:val="PageHeading"/>
    <w:rsid w:val="00EE5A45"/>
    <w:rPr>
      <w:rFonts w:ascii="Arial" w:hAnsi="Arial" w:cs="Arial"/>
      <w:b/>
      <w:sz w:val="24"/>
      <w:lang w:val="sv-SE"/>
    </w:rPr>
  </w:style>
  <w:style w:type="paragraph" w:styleId="Revision">
    <w:name w:val="Revision"/>
    <w:hidden/>
    <w:uiPriority w:val="99"/>
    <w:semiHidden/>
    <w:rsid w:val="00956F57"/>
    <w:rPr>
      <w:sz w:val="24"/>
      <w:lang w:val="sv-SE"/>
    </w:rPr>
  </w:style>
  <w:style w:type="character" w:styleId="CommentReference">
    <w:name w:val="annotation reference"/>
    <w:basedOn w:val="DefaultParagraphFont"/>
    <w:rsid w:val="00956F57"/>
    <w:rPr>
      <w:sz w:val="16"/>
      <w:szCs w:val="16"/>
    </w:rPr>
  </w:style>
  <w:style w:type="paragraph" w:styleId="CommentText">
    <w:name w:val="annotation text"/>
    <w:basedOn w:val="Normal"/>
    <w:link w:val="CommentTextChar"/>
    <w:rsid w:val="00956F57"/>
    <w:rPr>
      <w:sz w:val="20"/>
    </w:rPr>
  </w:style>
  <w:style w:type="character" w:customStyle="1" w:styleId="CommentTextChar">
    <w:name w:val="Comment Text Char"/>
    <w:basedOn w:val="DefaultParagraphFont"/>
    <w:link w:val="CommentText"/>
    <w:rsid w:val="00956F57"/>
    <w:rPr>
      <w:lang w:val="sv-SE"/>
    </w:rPr>
  </w:style>
  <w:style w:type="paragraph" w:styleId="CommentSubject">
    <w:name w:val="annotation subject"/>
    <w:basedOn w:val="CommentText"/>
    <w:next w:val="CommentText"/>
    <w:link w:val="CommentSubjectChar"/>
    <w:rsid w:val="00956F57"/>
    <w:rPr>
      <w:b/>
      <w:bCs/>
    </w:rPr>
  </w:style>
  <w:style w:type="character" w:customStyle="1" w:styleId="CommentSubjectChar">
    <w:name w:val="Comment Subject Char"/>
    <w:basedOn w:val="CommentTextChar"/>
    <w:link w:val="CommentSubject"/>
    <w:rsid w:val="00956F57"/>
    <w:rPr>
      <w:b/>
      <w:bCs/>
      <w:lang w:val="sv-SE"/>
    </w:rPr>
  </w:style>
  <w:style w:type="character" w:styleId="UnresolvedMention">
    <w:name w:val="Unresolved Mention"/>
    <w:basedOn w:val="DefaultParagraphFont"/>
    <w:uiPriority w:val="99"/>
    <w:semiHidden/>
    <w:unhideWhenUsed/>
    <w:rsid w:val="00956F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1408</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2026-05-18T09:59:00Z</dcterms:created>
  <dcterms:modified xsi:type="dcterms:W3CDTF">2026-05-18T09:59:00Z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P10_TA(2026)0103_</vt:lpwstr>
  </property>
  <property fmtid="{D5CDD505-2E9C-101B-9397-08002B2CF9AE}" pid="4" name="&lt;Type&gt;">
    <vt:lpwstr>RR</vt:lpwstr>
  </property>
</Properties>
</file>