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CE7" w14:paraId="70255E12" w14:textId="77777777" w:rsidTr="0010095E">
        <w:trPr>
          <w:trHeight w:hRule="exact" w:val="1418"/>
        </w:trPr>
        <w:tc>
          <w:tcPr>
            <w:tcW w:w="6804" w:type="dxa"/>
            <w:shd w:val="clear" w:color="auto" w:fill="auto"/>
            <w:vAlign w:val="center"/>
          </w:tcPr>
          <w:p w14:paraId="07F118A2" w14:textId="77777777" w:rsidR="00751A4A" w:rsidRPr="00075CE7" w:rsidRDefault="00A333ED" w:rsidP="0010095E">
            <w:pPr>
              <w:pStyle w:val="EPName"/>
            </w:pPr>
            <w:r w:rsidRPr="00075CE7">
              <w:t>Europa-Parlamentet</w:t>
            </w:r>
          </w:p>
          <w:p w14:paraId="474AC609" w14:textId="77777777" w:rsidR="00751A4A" w:rsidRPr="00075CE7" w:rsidRDefault="005F1B17" w:rsidP="005F1B17">
            <w:pPr>
              <w:pStyle w:val="EPTerm"/>
              <w:rPr>
                <w:rStyle w:val="HideTWBExt"/>
                <w:noProof w:val="0"/>
                <w:vanish w:val="0"/>
                <w:color w:val="auto"/>
              </w:rPr>
            </w:pPr>
            <w:r w:rsidRPr="00075CE7">
              <w:t>2024</w:t>
            </w:r>
            <w:r w:rsidR="00817416" w:rsidRPr="00075CE7">
              <w:t>-202</w:t>
            </w:r>
            <w:r w:rsidRPr="00075CE7">
              <w:t>9</w:t>
            </w:r>
          </w:p>
        </w:tc>
        <w:tc>
          <w:tcPr>
            <w:tcW w:w="2268" w:type="dxa"/>
            <w:shd w:val="clear" w:color="auto" w:fill="auto"/>
          </w:tcPr>
          <w:p w14:paraId="1A9C102D" w14:textId="77777777" w:rsidR="00751A4A" w:rsidRPr="00075CE7" w:rsidRDefault="00187494" w:rsidP="0010095E">
            <w:pPr>
              <w:pStyle w:val="EPLogo"/>
            </w:pPr>
            <w:r w:rsidRPr="00075CE7">
              <w:rPr>
                <w:noProof/>
                <w:lang w:eastAsia="ja-JP"/>
              </w:rPr>
              <w:drawing>
                <wp:inline distT="0" distB="0" distL="0" distR="0" wp14:anchorId="3725222C" wp14:editId="269CD6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96BC91" w14:textId="77777777" w:rsidR="00D058B8" w:rsidRPr="00075CE7" w:rsidRDefault="00D058B8" w:rsidP="004C5D52">
      <w:pPr>
        <w:pStyle w:val="LineTop"/>
      </w:pPr>
    </w:p>
    <w:p w14:paraId="05CCF367" w14:textId="77777777" w:rsidR="00680577" w:rsidRPr="00075CE7" w:rsidRDefault="00A333ED" w:rsidP="00680577">
      <w:pPr>
        <w:pStyle w:val="EPBodyTA1"/>
      </w:pPr>
      <w:r w:rsidRPr="00075CE7">
        <w:t>VEDTAGNE TEKSTER</w:t>
      </w:r>
    </w:p>
    <w:p w14:paraId="22A25909" w14:textId="77777777" w:rsidR="00D058B8" w:rsidRPr="00075CE7" w:rsidRDefault="00D058B8" w:rsidP="00D058B8">
      <w:pPr>
        <w:pStyle w:val="LineBottom"/>
      </w:pPr>
    </w:p>
    <w:p w14:paraId="493E84F6" w14:textId="19496AEA" w:rsidR="00A333ED" w:rsidRPr="00075CE7" w:rsidRDefault="00A333ED" w:rsidP="00A333ED">
      <w:pPr>
        <w:pStyle w:val="ATHeading1"/>
      </w:pPr>
      <w:bookmarkStart w:id="0" w:name="TANumber"/>
      <w:r w:rsidRPr="00075CE7">
        <w:t>P10_TA(2026)0</w:t>
      </w:r>
      <w:bookmarkEnd w:id="0"/>
      <w:r w:rsidR="00C73866">
        <w:t>104</w:t>
      </w:r>
    </w:p>
    <w:p w14:paraId="7E7FB146" w14:textId="5DF346B5" w:rsidR="00A333ED" w:rsidRPr="00A31A5D" w:rsidRDefault="00A31A5D" w:rsidP="00A333ED">
      <w:pPr>
        <w:pStyle w:val="ATHeading2"/>
      </w:pPr>
      <w:r w:rsidRPr="00713B9C">
        <w:rPr>
          <w:bCs/>
        </w:rPr>
        <w:t>Global Gateway – tidligere virkninger og fremtidig orientering</w:t>
      </w:r>
    </w:p>
    <w:p w14:paraId="03C0B774" w14:textId="77777777" w:rsidR="00A333ED" w:rsidRPr="00075CE7" w:rsidRDefault="00A333ED" w:rsidP="00A333ED">
      <w:pPr>
        <w:rPr>
          <w:i/>
          <w:vanish/>
        </w:rPr>
      </w:pPr>
      <w:r w:rsidRPr="00075CE7">
        <w:rPr>
          <w:i/>
        </w:rPr>
        <w:fldChar w:fldCharType="begin"/>
      </w:r>
      <w:r w:rsidRPr="00075CE7">
        <w:rPr>
          <w:i/>
        </w:rPr>
        <w:instrText xml:space="preserve"> TC"(</w:instrText>
      </w:r>
      <w:bookmarkStart w:id="1" w:name="DocNumber"/>
      <w:r w:rsidRPr="00075CE7">
        <w:rPr>
          <w:i/>
        </w:rPr>
        <w:instrText>A10-0045/2026</w:instrText>
      </w:r>
      <w:bookmarkEnd w:id="1"/>
      <w:r w:rsidRPr="00075CE7">
        <w:rPr>
          <w:i/>
        </w:rPr>
        <w:instrText xml:space="preserve"> - Ordførere: Chloé Ridel, Hildegard Bentele)"\l3 \n&gt; \* MERGEFORMAT </w:instrText>
      </w:r>
      <w:r w:rsidRPr="00075CE7">
        <w:rPr>
          <w:i/>
        </w:rPr>
        <w:fldChar w:fldCharType="end"/>
      </w:r>
    </w:p>
    <w:p w14:paraId="134A9BB5" w14:textId="77777777" w:rsidR="00A333ED" w:rsidRPr="00075CE7" w:rsidRDefault="00A333ED" w:rsidP="00A333ED">
      <w:pPr>
        <w:rPr>
          <w:vanish/>
        </w:rPr>
      </w:pPr>
      <w:bookmarkStart w:id="2" w:name="Commission"/>
      <w:r w:rsidRPr="00075CE7">
        <w:rPr>
          <w:vanish/>
        </w:rPr>
        <w:t>Udenrigsudvalget, Udviklingsudvalget</w:t>
      </w:r>
      <w:bookmarkEnd w:id="2"/>
    </w:p>
    <w:p w14:paraId="30443BEE" w14:textId="77777777" w:rsidR="00A333ED" w:rsidRPr="00075CE7" w:rsidRDefault="00A333ED" w:rsidP="00A333ED">
      <w:pPr>
        <w:rPr>
          <w:vanish/>
        </w:rPr>
      </w:pPr>
      <w:bookmarkStart w:id="3" w:name="PE"/>
      <w:r w:rsidRPr="00075CE7">
        <w:rPr>
          <w:vanish/>
        </w:rPr>
        <w:t>PE776.922</w:t>
      </w:r>
      <w:bookmarkEnd w:id="3"/>
    </w:p>
    <w:p w14:paraId="44BBF6BF" w14:textId="1DEC902F" w:rsidR="00A333ED" w:rsidRPr="00075CE7" w:rsidRDefault="00A333ED" w:rsidP="00A333ED">
      <w:pPr>
        <w:pStyle w:val="ATHeading3"/>
      </w:pPr>
      <w:bookmarkStart w:id="4" w:name="Sujet"/>
      <w:r w:rsidRPr="00075CE7">
        <w:t xml:space="preserve">Europa-Parlamentets beslutning af </w:t>
      </w:r>
      <w:r w:rsidR="00A31A5D">
        <w:t>26. marts</w:t>
      </w:r>
      <w:r w:rsidRPr="00075CE7">
        <w:t xml:space="preserve"> 2026 om Global Gateway – tidligere virkninger og fremtidig orientering</w:t>
      </w:r>
      <w:bookmarkEnd w:id="4"/>
      <w:r w:rsidRPr="00075CE7">
        <w:t xml:space="preserve"> </w:t>
      </w:r>
      <w:bookmarkStart w:id="5" w:name="References"/>
      <w:r w:rsidRPr="00075CE7">
        <w:t>(2025/2073(INI))</w:t>
      </w:r>
      <w:bookmarkEnd w:id="5"/>
    </w:p>
    <w:p w14:paraId="37E80F94" w14:textId="77777777" w:rsidR="00CC01C7" w:rsidRPr="00075CE7" w:rsidRDefault="00CC01C7" w:rsidP="00CC01C7">
      <w:pPr>
        <w:pStyle w:val="Normal12"/>
      </w:pPr>
      <w:r w:rsidRPr="00075CE7">
        <w:rPr>
          <w:i/>
          <w:iCs/>
        </w:rPr>
        <w:t>Europa-Parlamentet</w:t>
      </w:r>
      <w:r w:rsidRPr="00075CE7">
        <w:t>,</w:t>
      </w:r>
    </w:p>
    <w:p w14:paraId="5CAA61CD" w14:textId="77777777" w:rsidR="00CC01C7" w:rsidRPr="00075CE7" w:rsidRDefault="00CC01C7" w:rsidP="00CC01C7">
      <w:pPr>
        <w:pStyle w:val="NormalHanging12a"/>
        <w:rPr>
          <w:bCs/>
          <w:iCs/>
        </w:rPr>
      </w:pPr>
      <w:r w:rsidRPr="00075CE7">
        <w:t>–</w:t>
      </w:r>
      <w:r w:rsidRPr="00075CE7">
        <w:tab/>
        <w:t>der henviser til artikel 21 i traktaten om Den Europæiske Union,</w:t>
      </w:r>
    </w:p>
    <w:p w14:paraId="0F76E8CA" w14:textId="77777777" w:rsidR="00CC01C7" w:rsidRPr="00075CE7" w:rsidRDefault="00CC01C7" w:rsidP="00CC01C7">
      <w:pPr>
        <w:pStyle w:val="NormalHanging12a"/>
      </w:pPr>
      <w:r w:rsidRPr="00075CE7">
        <w:t>–</w:t>
      </w:r>
      <w:r w:rsidRPr="00075CE7">
        <w:tab/>
        <w:t>der henviser til traktaten om Den Europæiske Unions funktionsmåde (TEUF), særlig artikel 208 og artikel 322, stk. 1,</w:t>
      </w:r>
    </w:p>
    <w:p w14:paraId="5FCD55C3" w14:textId="77777777" w:rsidR="00CC01C7" w:rsidRPr="00075CE7" w:rsidRDefault="00CC01C7" w:rsidP="00CC01C7">
      <w:pPr>
        <w:pStyle w:val="NormalHanging"/>
      </w:pPr>
      <w:r w:rsidRPr="00075CE7">
        <w:t>–</w:t>
      </w:r>
      <w:r w:rsidRPr="00075CE7">
        <w:tab/>
        <w:t>der henviser til den fælles erklæring af 30. juni 2017 fra Rådet og repræsentanterne for medlemsstaternes regeringer, forsamlet i Rådet, Europa-Parlamentet og Kommissionen med titlen "Den nye europæiske konsensus om udvikling – Vores verden, vores værdighed, vores fremtid"</w:t>
      </w:r>
      <w:r w:rsidRPr="00075CE7">
        <w:rPr>
          <w:rStyle w:val="FootnoteReference"/>
        </w:rPr>
        <w:footnoteReference w:id="1"/>
      </w:r>
      <w:r w:rsidRPr="00075CE7">
        <w:t>,</w:t>
      </w:r>
    </w:p>
    <w:p w14:paraId="63600583" w14:textId="77777777" w:rsidR="00CC01C7" w:rsidRPr="00075CE7" w:rsidRDefault="00CC01C7" w:rsidP="00CC01C7">
      <w:pPr>
        <w:pStyle w:val="NormalHanging12a"/>
        <w:rPr>
          <w:bCs/>
          <w:iCs/>
        </w:rPr>
      </w:pPr>
      <w:r w:rsidRPr="00075CE7">
        <w:t>–</w:t>
      </w:r>
      <w:r w:rsidRPr="00075CE7">
        <w:tab/>
        <w:t>der henviser til den europæiske konsensus om humanitær bistand og sammenhængen mellem humanitær bistand, udvikling og fred, som er godkendt af Rådet og Kommissionen,</w:t>
      </w:r>
    </w:p>
    <w:p w14:paraId="75C04D1A" w14:textId="77777777" w:rsidR="00CC01C7" w:rsidRPr="00075CE7" w:rsidRDefault="00CC01C7" w:rsidP="00CC01C7">
      <w:pPr>
        <w:pStyle w:val="NormalHanging"/>
      </w:pPr>
      <w:r w:rsidRPr="00075CE7">
        <w:t>–</w:t>
      </w:r>
      <w:r w:rsidRPr="00075CE7">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075CE7">
        <w:t>Euratom</w:t>
      </w:r>
      <w:proofErr w:type="spellEnd"/>
      <w:r w:rsidRPr="00075CE7">
        <w:t>) nr. 480/2009</w:t>
      </w:r>
      <w:r w:rsidRPr="00075CE7">
        <w:rPr>
          <w:rStyle w:val="FootnoteReference"/>
        </w:rPr>
        <w:footnoteReference w:id="2"/>
      </w:r>
      <w:r w:rsidRPr="00075CE7">
        <w:t xml:space="preserve"> (forordningen om NDICI – et globalt Europa),</w:t>
      </w:r>
    </w:p>
    <w:p w14:paraId="6D5AC877" w14:textId="77777777" w:rsidR="00CC01C7" w:rsidRPr="00075CE7" w:rsidRDefault="00CC01C7" w:rsidP="00CC01C7">
      <w:pPr>
        <w:pStyle w:val="NormalHanging"/>
      </w:pPr>
      <w:r w:rsidRPr="00075CE7">
        <w:t>–</w:t>
      </w:r>
      <w:r w:rsidRPr="00075CE7">
        <w:tab/>
        <w:t xml:space="preserve">der henviser til Europa-Parlamentets og Rådets forordning (EU) 2021/1529 af 15. september 2021 om oprettelse af et instrument til </w:t>
      </w:r>
      <w:proofErr w:type="spellStart"/>
      <w:r w:rsidRPr="00075CE7">
        <w:t>førtiltrædelsesbistand</w:t>
      </w:r>
      <w:proofErr w:type="spellEnd"/>
      <w:r w:rsidRPr="00075CE7">
        <w:t xml:space="preserve"> (IPA III)</w:t>
      </w:r>
      <w:r w:rsidRPr="00075CE7">
        <w:rPr>
          <w:rStyle w:val="FootnoteReference"/>
        </w:rPr>
        <w:footnoteReference w:id="3"/>
      </w:r>
      <w:r w:rsidRPr="00075CE7">
        <w:t>,</w:t>
      </w:r>
    </w:p>
    <w:p w14:paraId="4EC97E55" w14:textId="77777777" w:rsidR="00CC01C7" w:rsidRPr="00075CE7" w:rsidRDefault="00CC01C7" w:rsidP="00CC01C7">
      <w:pPr>
        <w:pStyle w:val="NormalHanging12a"/>
        <w:rPr>
          <w:bCs/>
          <w:iCs/>
        </w:rPr>
      </w:pPr>
      <w:r w:rsidRPr="00075CE7">
        <w:t>–</w:t>
      </w:r>
      <w:r w:rsidRPr="00075CE7">
        <w:tab/>
        <w:t xml:space="preserve"> 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w:t>
      </w:r>
    </w:p>
    <w:p w14:paraId="23005B85" w14:textId="77777777" w:rsidR="00CC01C7" w:rsidRPr="00075CE7" w:rsidRDefault="00CC01C7" w:rsidP="00CC01C7">
      <w:pPr>
        <w:pStyle w:val="NormalHanging12a"/>
        <w:rPr>
          <w:bCs/>
          <w:iCs/>
        </w:rPr>
      </w:pPr>
      <w:r w:rsidRPr="00075CE7">
        <w:lastRenderedPageBreak/>
        <w:t>–</w:t>
      </w:r>
      <w:r w:rsidRPr="00075CE7">
        <w:tab/>
        <w:t xml:space="preserve">der henviser til den fælles meddelelse af 16. september 2021 fra Kommissionen og Unionens højtstående repræsentant for udenrigsanliggender og sikkerhedspolitik om EU's strategi for samarbejdet i </w:t>
      </w:r>
      <w:proofErr w:type="spellStart"/>
      <w:r w:rsidRPr="00075CE7">
        <w:t>Indo</w:t>
      </w:r>
      <w:proofErr w:type="spellEnd"/>
      <w:r w:rsidRPr="00075CE7">
        <w:t>-Stillehavsregionen JOIN(2021)0024,</w:t>
      </w:r>
    </w:p>
    <w:p w14:paraId="5FC3D295" w14:textId="77777777" w:rsidR="00CC01C7" w:rsidRPr="00075CE7" w:rsidRDefault="00CC01C7" w:rsidP="00CC01C7">
      <w:pPr>
        <w:pStyle w:val="NormalHanging"/>
      </w:pPr>
      <w:r w:rsidRPr="00075CE7">
        <w:t>–</w:t>
      </w:r>
      <w:r w:rsidRPr="00075CE7">
        <w:tab/>
        <w:t>der henviser til den fælles meddelelse af 1. december 2021 fra Kommissionen og Unionens højtstående repræsentant for udenrigsanliggender og sikkerhedspolitik med titlen "Global Gateway" (JOIN(2021)0030),</w:t>
      </w:r>
    </w:p>
    <w:p w14:paraId="76729317" w14:textId="77777777" w:rsidR="00CC01C7" w:rsidRPr="00075CE7" w:rsidRDefault="00CC01C7" w:rsidP="00CC01C7">
      <w:pPr>
        <w:pStyle w:val="NormalHanging"/>
      </w:pPr>
      <w:r w:rsidRPr="00075CE7">
        <w:t>–</w:t>
      </w:r>
      <w:r w:rsidRPr="00075CE7">
        <w:tab/>
        <w:t>der henviser til den fælles meddelelse af 2. oktober 2024 fra Kommissionen og Unionens højtstående repræsentant for udenrigsanliggender og sikkerhedspolitik med titlen "Opbygning af bæredygtige internationale partnerskaber som et Team Europe-initiativ" (JOIN(2024)0025),</w:t>
      </w:r>
    </w:p>
    <w:p w14:paraId="2481C7F4" w14:textId="77777777" w:rsidR="00CC01C7" w:rsidRPr="00075CE7" w:rsidRDefault="00CC01C7" w:rsidP="00CC01C7">
      <w:pPr>
        <w:pStyle w:val="NormalHanging12a"/>
        <w:rPr>
          <w:bCs/>
          <w:iCs/>
        </w:rPr>
      </w:pPr>
      <w:r w:rsidRPr="00075CE7">
        <w:t>–</w:t>
      </w:r>
      <w:r w:rsidRPr="00075CE7">
        <w:tab/>
        <w:t>der henviser til EU-handlingsplanen om menneskerettigheder og demokrati 2020-2024,</w:t>
      </w:r>
    </w:p>
    <w:p w14:paraId="21E09304" w14:textId="77777777" w:rsidR="00CC01C7" w:rsidRPr="00075CE7" w:rsidRDefault="00CC01C7" w:rsidP="00CC01C7">
      <w:pPr>
        <w:pStyle w:val="NormalHanging12a"/>
        <w:rPr>
          <w:bCs/>
          <w:iCs/>
        </w:rPr>
      </w:pPr>
      <w:r w:rsidRPr="00075CE7">
        <w:t>–</w:t>
      </w:r>
      <w:r w:rsidRPr="00075CE7">
        <w:tab/>
        <w:t>der henviser til den europæiske søjle for sociale rettigheder og dens betydning for inkluderende, bæredygtig og retfærdig økonomisk udvikling,</w:t>
      </w:r>
    </w:p>
    <w:p w14:paraId="3F74BCD8" w14:textId="77777777" w:rsidR="00CC01C7" w:rsidRPr="00075CE7" w:rsidRDefault="00CC01C7" w:rsidP="00CC01C7">
      <w:pPr>
        <w:pStyle w:val="NormalHanging12a"/>
        <w:rPr>
          <w:bCs/>
          <w:iCs/>
        </w:rPr>
      </w:pPr>
      <w:r w:rsidRPr="00075CE7">
        <w:t>–</w:t>
      </w:r>
      <w:r w:rsidRPr="00075CE7">
        <w:tab/>
        <w:t>der henviser til EU's globale sundhedsstrategi,</w:t>
      </w:r>
    </w:p>
    <w:p w14:paraId="7C7D93BD" w14:textId="77777777" w:rsidR="00CC01C7" w:rsidRPr="00075CE7" w:rsidRDefault="00CC01C7" w:rsidP="00CC01C7">
      <w:pPr>
        <w:pStyle w:val="NormalHanging"/>
      </w:pPr>
      <w:r w:rsidRPr="00075CE7">
        <w:t>–</w:t>
      </w:r>
      <w:r w:rsidRPr="00075CE7">
        <w:tab/>
        <w:t>der henviser til Rådets afgørelse af 26. juli 2010 om, hvordan Tjenesten for EU's Optræden Udadtil skal tilrettelægges og fungere</w:t>
      </w:r>
      <w:r w:rsidRPr="00075CE7">
        <w:rPr>
          <w:rStyle w:val="FootnoteReference"/>
        </w:rPr>
        <w:footnoteReference w:id="4"/>
      </w:r>
      <w:r w:rsidRPr="00075CE7">
        <w:t>,</w:t>
      </w:r>
    </w:p>
    <w:p w14:paraId="7899C1BA" w14:textId="77777777" w:rsidR="00CC01C7" w:rsidRPr="00075CE7" w:rsidRDefault="00CC01C7" w:rsidP="00CC01C7">
      <w:pPr>
        <w:pStyle w:val="NormalHanging"/>
      </w:pPr>
      <w:r w:rsidRPr="00075CE7">
        <w:t>–</w:t>
      </w:r>
      <w:r w:rsidRPr="00075CE7">
        <w:tab/>
        <w:t>der henviser til Rådets note af 28. oktober 2022 om samarbejdsordninger for Global Gateway-forvaltning,</w:t>
      </w:r>
    </w:p>
    <w:p w14:paraId="3DA9F761" w14:textId="77777777" w:rsidR="00CC01C7" w:rsidRPr="00075CE7" w:rsidRDefault="00CC01C7" w:rsidP="00CC01C7">
      <w:pPr>
        <w:pStyle w:val="NormalHanging"/>
      </w:pPr>
      <w:r w:rsidRPr="00075CE7">
        <w:t>–</w:t>
      </w:r>
      <w:r w:rsidRPr="00075CE7">
        <w:tab/>
        <w:t>der henviser til Rådets konklusioner af 21. juni 2024 om midtvejsevalueringen af instrumentet NDICI – et globalt Europa og af 21. november 2023 om Team Europe-tilgangen,</w:t>
      </w:r>
    </w:p>
    <w:p w14:paraId="3C8412FD" w14:textId="77777777" w:rsidR="00CC01C7" w:rsidRPr="00075CE7" w:rsidRDefault="00CC01C7" w:rsidP="00CC01C7">
      <w:pPr>
        <w:pStyle w:val="NormalHanging12a"/>
        <w:rPr>
          <w:bCs/>
          <w:iCs/>
        </w:rPr>
      </w:pPr>
      <w:r w:rsidRPr="00075CE7">
        <w:t>–</w:t>
      </w:r>
      <w:r w:rsidRPr="00075CE7">
        <w:tab/>
        <w:t xml:space="preserve">der henviser til Rådets konklusioner af 20. oktober 2025 om gennemførelsen af EU's strategi for samarbejde i den </w:t>
      </w:r>
      <w:proofErr w:type="spellStart"/>
      <w:r w:rsidRPr="00075CE7">
        <w:t>indopacifiske</w:t>
      </w:r>
      <w:proofErr w:type="spellEnd"/>
      <w:r w:rsidRPr="00075CE7">
        <w:t xml:space="preserve"> region,</w:t>
      </w:r>
    </w:p>
    <w:p w14:paraId="31D94A14" w14:textId="77777777" w:rsidR="00CC01C7" w:rsidRPr="00075CE7" w:rsidRDefault="00CC01C7" w:rsidP="00CC01C7">
      <w:pPr>
        <w:pStyle w:val="NormalHanging"/>
      </w:pPr>
      <w:r w:rsidRPr="00075CE7">
        <w:t>–</w:t>
      </w:r>
      <w:r w:rsidRPr="00075CE7">
        <w:tab/>
        <w:t>der henviser til Kommissionens forslag af 16. juli 2025 til Europa-Parlamentets og Rådets forordning om oprettelse af et globalt Europa (COM(2025)0551),</w:t>
      </w:r>
    </w:p>
    <w:p w14:paraId="77FBB6C1" w14:textId="77777777" w:rsidR="00CC01C7" w:rsidRPr="00075CE7" w:rsidRDefault="00CC01C7" w:rsidP="00CC01C7">
      <w:pPr>
        <w:pStyle w:val="NormalHanging12a"/>
        <w:rPr>
          <w:bCs/>
          <w:iCs/>
        </w:rPr>
      </w:pPr>
      <w:r w:rsidRPr="00075CE7">
        <w:t>–</w:t>
      </w:r>
      <w:r w:rsidRPr="00075CE7">
        <w:tab/>
        <w:t>der henviser til Den Europæiske Revisionsrets udtalelse 03/2024 til Kommissionens evaluering af garantien for foranstaltninger udadtil, og som blev offentliggjort den 12. december 2024,</w:t>
      </w:r>
    </w:p>
    <w:p w14:paraId="0E9F13FC" w14:textId="77777777" w:rsidR="00CC01C7" w:rsidRPr="00075CE7" w:rsidRDefault="00CC01C7" w:rsidP="00CC01C7">
      <w:pPr>
        <w:pStyle w:val="NormalHanging12a"/>
        <w:rPr>
          <w:bCs/>
          <w:iCs/>
        </w:rPr>
      </w:pPr>
      <w:r w:rsidRPr="00075CE7">
        <w:t>–</w:t>
      </w:r>
      <w:r w:rsidRPr="00075CE7">
        <w:tab/>
        <w:t>der henviser til Den Europæiske Revisionsrets særberetning 17/2025 af 16. september 2025 med titlen "EU's handelsbistand til de mindst udviklede lande – Der tages hånd om behovene, men EU-finansieringen er ikke på rette vej til at opfylde 2030-målet",</w:t>
      </w:r>
    </w:p>
    <w:p w14:paraId="07CE666B" w14:textId="77777777" w:rsidR="00CC01C7" w:rsidRPr="00075CE7" w:rsidRDefault="00CC01C7" w:rsidP="00CC01C7">
      <w:pPr>
        <w:pStyle w:val="NormalHanging12a"/>
        <w:rPr>
          <w:bCs/>
          <w:iCs/>
        </w:rPr>
      </w:pPr>
      <w:r w:rsidRPr="00075CE7">
        <w:t>–</w:t>
      </w:r>
      <w:r w:rsidRPr="00075CE7">
        <w:tab/>
        <w:t>der henviser til FN's konvention om rettigheder for personer med handicap (CRPD), som trådte i kraft for EU den 22. januar 2011 i henhold til Rådets afgørelse 2010/48/EF af 26. november 2009,</w:t>
      </w:r>
    </w:p>
    <w:p w14:paraId="143BCF5F" w14:textId="7BF25F9F" w:rsidR="00CC01C7" w:rsidRPr="00075CE7" w:rsidRDefault="00CC01C7" w:rsidP="00CC01C7">
      <w:pPr>
        <w:pStyle w:val="NormalHanging"/>
      </w:pPr>
      <w:r w:rsidRPr="00075CE7">
        <w:t>–</w:t>
      </w:r>
      <w:r w:rsidRPr="00075CE7">
        <w:tab/>
        <w:t>der henviser til FN's resolution 70/1 af 25. september 20</w:t>
      </w:r>
      <w:r w:rsidR="00A37DF2">
        <w:t>1</w:t>
      </w:r>
      <w:r w:rsidRPr="00075CE7">
        <w:t>5 med titlen "</w:t>
      </w:r>
      <w:proofErr w:type="spellStart"/>
      <w:r w:rsidRPr="00075CE7">
        <w:t>Transforming</w:t>
      </w:r>
      <w:proofErr w:type="spellEnd"/>
      <w:r w:rsidRPr="00075CE7">
        <w:t xml:space="preserve"> </w:t>
      </w:r>
      <w:proofErr w:type="spellStart"/>
      <w:r w:rsidRPr="00075CE7">
        <w:t>our</w:t>
      </w:r>
      <w:proofErr w:type="spellEnd"/>
      <w:r w:rsidRPr="00075CE7">
        <w:t xml:space="preserve"> World: The 2030 Agenda for </w:t>
      </w:r>
      <w:proofErr w:type="spellStart"/>
      <w:r w:rsidRPr="00075CE7">
        <w:t>Sustainable</w:t>
      </w:r>
      <w:proofErr w:type="spellEnd"/>
      <w:r w:rsidRPr="00075CE7">
        <w:t xml:space="preserve"> Development" (2030 Agenda) (Ændring af vores samfund: 2030-dagsordenen for bæredygtig udvikling) (2030-dagsordenen), </w:t>
      </w:r>
      <w:r w:rsidRPr="00075CE7">
        <w:lastRenderedPageBreak/>
        <w:t>som blev vedtaget på FN-topmødet om bæredygtig udvikling i New York og fastsætter verdensmålene for bæredygtig udvikling,</w:t>
      </w:r>
    </w:p>
    <w:p w14:paraId="558F2157" w14:textId="77777777" w:rsidR="00CC01C7" w:rsidRPr="00075CE7" w:rsidRDefault="00CC01C7" w:rsidP="00CC01C7">
      <w:pPr>
        <w:pStyle w:val="NormalHanging12a"/>
        <w:rPr>
          <w:bCs/>
          <w:iCs/>
        </w:rPr>
      </w:pPr>
      <w:r w:rsidRPr="00075CE7">
        <w:t>–</w:t>
      </w:r>
      <w:r w:rsidRPr="00075CE7">
        <w:tab/>
        <w:t xml:space="preserve">der henviser til </w:t>
      </w:r>
      <w:proofErr w:type="spellStart"/>
      <w:r w:rsidRPr="00075CE7">
        <w:t>Parisaftalen</w:t>
      </w:r>
      <w:proofErr w:type="spellEnd"/>
      <w:r w:rsidRPr="00075CE7">
        <w:t>, der blev vedtaget den 12. december 2015 inden for rammerne af De Forenede Nationers rammekonvention om klimaændringer, navnlig dens bestemmelser vedrørende tilpasning, modstandsdygtighed og støtte til de mest sårbare lande,</w:t>
      </w:r>
    </w:p>
    <w:p w14:paraId="6EFED86D" w14:textId="77777777" w:rsidR="00CC01C7" w:rsidRPr="00075CE7" w:rsidRDefault="00CC01C7" w:rsidP="00CC01C7">
      <w:pPr>
        <w:pStyle w:val="NormalHanging12a"/>
        <w:rPr>
          <w:bCs/>
          <w:iCs/>
        </w:rPr>
      </w:pPr>
      <w:r w:rsidRPr="00075CE7">
        <w:t>–</w:t>
      </w:r>
      <w:r w:rsidRPr="00075CE7">
        <w:tab/>
        <w:t>der henviser til konklusionerne fra det andet verdenstopmøde om social udvikling, der blev afholdt i Doha fra den 4. til den 6. november 2025, og som bekræftede den centrale betydning af social udvikling, universel social beskyttelse samt bekæmpelsen af fattigdom og ulighed som hjørnestene i bæredygtig udvikling,</w:t>
      </w:r>
    </w:p>
    <w:p w14:paraId="41C1B4ED" w14:textId="77777777" w:rsidR="00CC01C7" w:rsidRPr="00075CE7" w:rsidRDefault="00CC01C7" w:rsidP="00CC01C7">
      <w:pPr>
        <w:pStyle w:val="NormalHanging12a"/>
        <w:rPr>
          <w:bCs/>
          <w:iCs/>
        </w:rPr>
      </w:pPr>
      <w:r w:rsidRPr="00075CE7">
        <w:t>–</w:t>
      </w:r>
      <w:r w:rsidRPr="00075CE7">
        <w:tab/>
        <w:t>der henviser til De Forenede Nationers ramme for bæredygtigt udviklingssamarbejde som det primære planlægnings- og gennemførelsesinstrument på landeniveau for FN's udviklingsaktiviteter,</w:t>
      </w:r>
    </w:p>
    <w:p w14:paraId="3F46AE28" w14:textId="77777777" w:rsidR="00CC01C7" w:rsidRPr="00075CE7" w:rsidRDefault="00CC01C7" w:rsidP="00CC01C7">
      <w:pPr>
        <w:pStyle w:val="NormalHanging12a"/>
        <w:rPr>
          <w:bCs/>
          <w:iCs/>
        </w:rPr>
      </w:pPr>
      <w:r w:rsidRPr="00075CE7">
        <w:t>–</w:t>
      </w:r>
      <w:r w:rsidRPr="00075CE7">
        <w:tab/>
        <w:t>der henviser til Addis Abeba-handlingsplanen om udviklingsfinansiering, som blev vedtaget på den tredje internationale konference om udviklingsfinansiering, der blev afholdt i Addis Abeba, Etiopien, fra den 13. til den 16. juli 2015, og til Sevillaforpligtelsens slutdokument, der blev vedtaget på den fjerde internationale konference om udviklingsfinansiering, der blev afholdt i Sevilla, Spanien, fra den 30. juni til den 3. juli 2025,</w:t>
      </w:r>
    </w:p>
    <w:p w14:paraId="15940801" w14:textId="77777777" w:rsidR="00CC01C7" w:rsidRPr="00075CE7" w:rsidRDefault="00CC01C7" w:rsidP="00CC01C7">
      <w:pPr>
        <w:pStyle w:val="NormalHanging12a"/>
        <w:rPr>
          <w:bCs/>
          <w:iCs/>
        </w:rPr>
      </w:pPr>
      <w:r w:rsidRPr="00075CE7">
        <w:t>–</w:t>
      </w:r>
      <w:r w:rsidRPr="00075CE7">
        <w:tab/>
        <w:t>der henviser til udkastet til aftalememorandum mellem EU og Den Sydafrikanske Republik om et partnerskab for ren handel og investering, der blev undertegnet den 20. november 2025,</w:t>
      </w:r>
    </w:p>
    <w:p w14:paraId="6B03CF2D" w14:textId="77777777" w:rsidR="00CC01C7" w:rsidRPr="00075CE7" w:rsidRDefault="00CC01C7" w:rsidP="00CC01C7">
      <w:pPr>
        <w:pStyle w:val="NormalHanging12a"/>
        <w:rPr>
          <w:bCs/>
          <w:iCs/>
        </w:rPr>
      </w:pPr>
      <w:r w:rsidRPr="00075CE7">
        <w:t>–</w:t>
      </w:r>
      <w:r w:rsidRPr="00075CE7">
        <w:tab/>
        <w:t>der henviser til det aftalememorandum mellem EU og Den Sydafrikanske Republik, som etablerer et strategisk partnerskab for bæredygtige mineral- og metalværdikæder, der blev undertegnet den 20. november 2025,</w:t>
      </w:r>
    </w:p>
    <w:p w14:paraId="0C2FCFC3" w14:textId="77777777" w:rsidR="00CC01C7" w:rsidRPr="00075CE7" w:rsidRDefault="00CC01C7" w:rsidP="00CC01C7">
      <w:pPr>
        <w:pStyle w:val="NormalHanging12a"/>
        <w:rPr>
          <w:bCs/>
          <w:iCs/>
        </w:rPr>
      </w:pPr>
      <w:r w:rsidRPr="00075CE7">
        <w:t>–</w:t>
      </w:r>
      <w:r w:rsidRPr="00075CE7">
        <w:tab/>
        <w:t xml:space="preserve">der henviser til sin beslutning af 21. januar 2021 om </w:t>
      </w:r>
      <w:proofErr w:type="spellStart"/>
      <w:r w:rsidRPr="00075CE7">
        <w:t>konnektivitet</w:t>
      </w:r>
      <w:proofErr w:type="spellEnd"/>
      <w:r w:rsidRPr="00075CE7">
        <w:t xml:space="preserve"> og forbindelserne mellem EU og Asien</w:t>
      </w:r>
      <w:r w:rsidRPr="00075CE7">
        <w:rPr>
          <w:rStyle w:val="FootnoteReference"/>
          <w:bCs/>
          <w:iCs/>
        </w:rPr>
        <w:footnoteReference w:id="5"/>
      </w:r>
      <w:r w:rsidRPr="00075CE7">
        <w:t>,</w:t>
      </w:r>
    </w:p>
    <w:p w14:paraId="21421A39" w14:textId="77777777" w:rsidR="00CC01C7" w:rsidRPr="00075CE7" w:rsidRDefault="00CC01C7" w:rsidP="00CC01C7">
      <w:pPr>
        <w:pStyle w:val="NormalHanging"/>
      </w:pPr>
      <w:r w:rsidRPr="00075CE7">
        <w:t>–</w:t>
      </w:r>
      <w:r w:rsidRPr="00075CE7">
        <w:tab/>
        <w:t>der henviser til sin beslutning af 24. november 2022 om den fremtidige europæiske finansielle udviklingsstruktur</w:t>
      </w:r>
      <w:r w:rsidRPr="00075CE7">
        <w:rPr>
          <w:rStyle w:val="FootnoteReference"/>
        </w:rPr>
        <w:footnoteReference w:id="6"/>
      </w:r>
      <w:r w:rsidRPr="00075CE7">
        <w:t>,</w:t>
      </w:r>
    </w:p>
    <w:p w14:paraId="7FF4C0E3" w14:textId="77777777" w:rsidR="00CC01C7" w:rsidRPr="00075CE7" w:rsidRDefault="00CC01C7" w:rsidP="00CC01C7">
      <w:pPr>
        <w:pStyle w:val="NormalHanging"/>
      </w:pPr>
      <w:r w:rsidRPr="00075CE7">
        <w:t>–</w:t>
      </w:r>
      <w:r w:rsidRPr="00075CE7">
        <w:tab/>
        <w:t>der henviser til sin beslutning af 12. december 2023 om gennemførelse af instrumentet for naboskab, udviklingssamarbejde og internationalt samarbejde (NDICI) – et globalt Europa</w:t>
      </w:r>
      <w:r w:rsidRPr="00075CE7">
        <w:rPr>
          <w:rStyle w:val="FootnoteReference"/>
        </w:rPr>
        <w:footnoteReference w:id="7"/>
      </w:r>
      <w:r w:rsidRPr="00075CE7">
        <w:t>,</w:t>
      </w:r>
    </w:p>
    <w:p w14:paraId="6B98CFE7" w14:textId="77777777" w:rsidR="00CC01C7" w:rsidRPr="00075CE7" w:rsidRDefault="00CC01C7" w:rsidP="00CC01C7">
      <w:pPr>
        <w:pStyle w:val="NormalHanging"/>
      </w:pPr>
      <w:r w:rsidRPr="00075CE7">
        <w:t>–</w:t>
      </w:r>
      <w:r w:rsidRPr="00075CE7">
        <w:tab/>
        <w:t>der henviser til sin beslutning af 17. januar 2024 om sikkerheds- og forsvarsmæssige konsekvenser af Kinas indflydelse på kritisk infrastruktur i Den Europæiske Union</w:t>
      </w:r>
      <w:r w:rsidRPr="00075CE7">
        <w:rPr>
          <w:rStyle w:val="FootnoteReference"/>
        </w:rPr>
        <w:footnoteReference w:id="8"/>
      </w:r>
      <w:r w:rsidRPr="00075CE7">
        <w:t>,</w:t>
      </w:r>
    </w:p>
    <w:p w14:paraId="606CD278" w14:textId="77777777" w:rsidR="00CC01C7" w:rsidRPr="00075CE7" w:rsidRDefault="00CC01C7" w:rsidP="00CC01C7">
      <w:pPr>
        <w:pStyle w:val="NormalHanging"/>
      </w:pPr>
      <w:r w:rsidRPr="00075CE7">
        <w:lastRenderedPageBreak/>
        <w:t>–</w:t>
      </w:r>
      <w:r w:rsidRPr="00075CE7">
        <w:tab/>
        <w:t>der henviser til sin beslutning af 17. januar 2024 om udarbejdelse af en omfattende europæisk havnestrategi</w:t>
      </w:r>
      <w:r w:rsidRPr="00075CE7">
        <w:rPr>
          <w:rStyle w:val="FootnoteReference"/>
        </w:rPr>
        <w:footnoteReference w:id="9"/>
      </w:r>
      <w:r w:rsidRPr="00075CE7">
        <w:t>,</w:t>
      </w:r>
    </w:p>
    <w:p w14:paraId="49D321AE" w14:textId="77777777" w:rsidR="00CC01C7" w:rsidRPr="00075CE7" w:rsidRDefault="00CC01C7" w:rsidP="00CC01C7">
      <w:pPr>
        <w:pStyle w:val="NormalHanging"/>
      </w:pPr>
      <w:r w:rsidRPr="00075CE7">
        <w:t>–</w:t>
      </w:r>
      <w:r w:rsidRPr="00075CE7">
        <w:tab/>
        <w:t>der henviser til sin beslutning af 2. april 2025 om gennemførelsen af den fælles udenrigs- og sikkerhedspolitik – årlig betænkning 2024</w:t>
      </w:r>
      <w:r w:rsidRPr="00075CE7">
        <w:rPr>
          <w:rStyle w:val="FootnoteReference"/>
        </w:rPr>
        <w:footnoteReference w:id="10"/>
      </w:r>
      <w:r w:rsidRPr="00075CE7">
        <w:t>,</w:t>
      </w:r>
    </w:p>
    <w:p w14:paraId="43BFF31E" w14:textId="77777777" w:rsidR="00CC01C7" w:rsidRPr="00075CE7" w:rsidRDefault="00CC01C7" w:rsidP="00CC01C7">
      <w:pPr>
        <w:pStyle w:val="NormalHanging"/>
      </w:pPr>
      <w:r w:rsidRPr="00075CE7">
        <w:t>–</w:t>
      </w:r>
      <w:r w:rsidRPr="00075CE7">
        <w:tab/>
        <w:t>der henviser til sin beslutning af 2. april 2025 om menneskerettigheder og demokrati i verden og Den Europæiske Unions politik på området – årlig betænkning 2024</w:t>
      </w:r>
      <w:r w:rsidRPr="00075CE7">
        <w:rPr>
          <w:rStyle w:val="FootnoteReference"/>
        </w:rPr>
        <w:footnoteReference w:id="11"/>
      </w:r>
      <w:r w:rsidRPr="00075CE7">
        <w:t>,</w:t>
      </w:r>
    </w:p>
    <w:p w14:paraId="35DE96BF" w14:textId="77777777" w:rsidR="00CC01C7" w:rsidRPr="00075CE7" w:rsidRDefault="00CC01C7" w:rsidP="00CC01C7">
      <w:pPr>
        <w:pStyle w:val="NormalHanging"/>
      </w:pPr>
      <w:r w:rsidRPr="00075CE7">
        <w:t>–</w:t>
      </w:r>
      <w:r w:rsidRPr="00075CE7">
        <w:tab/>
        <w:t>der henviser til sin beslutning af 6. maj 2025 om kontrol med Den Europæiske Investeringsbanks finansielle aktiviteter – årsberetning 2023</w:t>
      </w:r>
      <w:r w:rsidRPr="00075CE7">
        <w:rPr>
          <w:rStyle w:val="FootnoteReference"/>
        </w:rPr>
        <w:footnoteReference w:id="12"/>
      </w:r>
      <w:r w:rsidRPr="00075CE7">
        <w:t>,</w:t>
      </w:r>
    </w:p>
    <w:p w14:paraId="3749F6DA" w14:textId="77777777" w:rsidR="00CC01C7" w:rsidRPr="00075CE7" w:rsidRDefault="00CC01C7" w:rsidP="00CC01C7">
      <w:pPr>
        <w:pStyle w:val="NormalHanging"/>
      </w:pPr>
      <w:r w:rsidRPr="00075CE7">
        <w:t>–</w:t>
      </w:r>
      <w:r w:rsidRPr="00075CE7">
        <w:tab/>
        <w:t>der henviser til sin afgørelse af 7. maj 2025 om decharge for gennemførelsen af Den Europæiske Unions almindelige budget for regnskabsåret 2023, Sektion III – Kommissionen, forvaltningsorganerne og 9., 10. og 11. Europæiske Udviklingsfond</w:t>
      </w:r>
      <w:r w:rsidRPr="00075CE7">
        <w:rPr>
          <w:rStyle w:val="FootnoteReference"/>
        </w:rPr>
        <w:footnoteReference w:id="13"/>
      </w:r>
      <w:r w:rsidRPr="00075CE7">
        <w:t>,</w:t>
      </w:r>
    </w:p>
    <w:p w14:paraId="2B8FDE64" w14:textId="77777777" w:rsidR="00CC01C7" w:rsidRPr="00075CE7" w:rsidRDefault="00CC01C7" w:rsidP="00CC01C7">
      <w:pPr>
        <w:pStyle w:val="NormalHanging"/>
      </w:pPr>
      <w:r w:rsidRPr="00075CE7">
        <w:t>–</w:t>
      </w:r>
      <w:r w:rsidRPr="00075CE7">
        <w:tab/>
        <w:t>der henviser til sin beslutning af 9. juli 2025 om gennemførelse og opfyldelse af verdensmålene for bæredygtig udvikling med henblik på Politisk Forum på Højt Niveau 2025</w:t>
      </w:r>
      <w:r w:rsidRPr="00075CE7">
        <w:rPr>
          <w:rStyle w:val="FootnoteReference"/>
        </w:rPr>
        <w:footnoteReference w:id="14"/>
      </w:r>
      <w:r w:rsidRPr="00075CE7">
        <w:t>,</w:t>
      </w:r>
    </w:p>
    <w:p w14:paraId="495369F6" w14:textId="77777777" w:rsidR="00CC01C7" w:rsidRPr="00075CE7" w:rsidRDefault="00CC01C7" w:rsidP="00CC01C7">
      <w:pPr>
        <w:pStyle w:val="NormalHanging"/>
      </w:pPr>
      <w:r w:rsidRPr="00075CE7">
        <w:t>–</w:t>
      </w:r>
      <w:r w:rsidRPr="00075CE7">
        <w:tab/>
        <w:t>der henviser til forretningsordenens artikel 55,</w:t>
      </w:r>
    </w:p>
    <w:p w14:paraId="2014CEB9" w14:textId="77777777" w:rsidR="00CC01C7" w:rsidRPr="00075CE7" w:rsidRDefault="00CC01C7" w:rsidP="00CC01C7">
      <w:pPr>
        <w:pStyle w:val="NormalHanging"/>
      </w:pPr>
      <w:r w:rsidRPr="00075CE7">
        <w:t>–</w:t>
      </w:r>
      <w:r w:rsidRPr="00075CE7">
        <w:tab/>
        <w:t>der henviser til de fælles drøftelser mellem Udenrigsudvalget og Udviklingsudvalget, jf. forretningsordenens artikel 59,</w:t>
      </w:r>
    </w:p>
    <w:p w14:paraId="594B4634" w14:textId="77777777" w:rsidR="00CC01C7" w:rsidRPr="00075CE7" w:rsidRDefault="00CC01C7" w:rsidP="00CC01C7">
      <w:pPr>
        <w:pStyle w:val="NormalHanging"/>
      </w:pPr>
      <w:r w:rsidRPr="00075CE7">
        <w:t>–</w:t>
      </w:r>
      <w:r w:rsidRPr="00075CE7">
        <w:tab/>
        <w:t>der henviser til udtalelse fra Udvalget om International Handel,</w:t>
      </w:r>
    </w:p>
    <w:p w14:paraId="37D11F2B" w14:textId="77777777" w:rsidR="00CC01C7" w:rsidRPr="00075CE7" w:rsidRDefault="00CC01C7" w:rsidP="00CC01C7">
      <w:pPr>
        <w:pStyle w:val="NormalHanging"/>
      </w:pPr>
      <w:r w:rsidRPr="00075CE7">
        <w:t>–</w:t>
      </w:r>
      <w:r w:rsidRPr="00075CE7">
        <w:tab/>
        <w:t>der henviser til betænkning fra Udenrigsudvalget og Udviklingsudvalget (A10-0045/2026),</w:t>
      </w:r>
    </w:p>
    <w:p w14:paraId="6CA58C23" w14:textId="77777777" w:rsidR="00CC01C7" w:rsidRPr="00075CE7" w:rsidRDefault="00CC01C7" w:rsidP="00CC01C7">
      <w:pPr>
        <w:pStyle w:val="NormalHanging12a"/>
      </w:pPr>
      <w:r w:rsidRPr="00075CE7">
        <w:t>A.</w:t>
      </w:r>
      <w:r w:rsidRPr="00075CE7">
        <w:tab/>
        <w:t xml:space="preserve">der henviser til, at Global Gateway-strategien blev oprettet den 1. december 2021 med det formål at blive EU’s flagskibsramme for bæredygtig </w:t>
      </w:r>
      <w:proofErr w:type="spellStart"/>
      <w:r w:rsidRPr="00075CE7">
        <w:t>konnektivitet</w:t>
      </w:r>
      <w:proofErr w:type="spellEnd"/>
      <w:r w:rsidRPr="00075CE7">
        <w:t xml:space="preserve"> og globale investeringer og som et alternativ til Kinas "ét bælte, én vej"-initiativ og for tilpasse sig det internationale samfunds generelle målsætning om at mobilisere den private sektors deltagelse for at give udviklingsfinansiering et løft fra "milliarder til billioner" med henblik på at imødegå de mest omkostningstunge aspekter af verdensmålene for bæredygtig udvikling; der henviser til, at der er tale om en strategi og et politisk initiativ og ikke i sig selv et instrument eller en forordning; der henviser til, at Global Gateway for så vidt angår dens retlige ramme og finansiering bygger på den finansielle struktur for EU's optræden udadtil, særlig EU's politik og budget for udviklingssamarbejde og specifikt instrumentet NDICI – et globalt Europa;</w:t>
      </w:r>
    </w:p>
    <w:p w14:paraId="25FDFA8D" w14:textId="77777777" w:rsidR="00CC01C7" w:rsidRPr="00075CE7" w:rsidRDefault="00CC01C7" w:rsidP="00CC01C7">
      <w:pPr>
        <w:pStyle w:val="NormalHanging12a"/>
      </w:pPr>
      <w:r w:rsidRPr="00075CE7">
        <w:t>B.</w:t>
      </w:r>
      <w:r w:rsidRPr="00075CE7">
        <w:tab/>
        <w:t xml:space="preserve">der henviser til, at Global Gateway-strategien i en situation med øget geopolitisk rivalisering og usikkerhed, hvis den anvendes og formidles korrekt, vil øge EU's geopolitiske vægt og synlighed på den globale scene ved at fremme intelligente, rene og sikre forbindelser mellem EU og dets partnere inden for digitale teknologier, energi og </w:t>
      </w:r>
      <w:r w:rsidRPr="00075CE7">
        <w:lastRenderedPageBreak/>
        <w:t>transport og styrke sundheds-, uddannelses- og forskningssystemerne på verdensplan inden for rammerne af 2030-dagsordenen og de relevante verdensmål for bæredygtig udvikling samt genoprette Europas industrielle konkurrenceevne, mindske dets afhængighed i kritiske sektorer og opveje Kinas voksende indflydelse;</w:t>
      </w:r>
    </w:p>
    <w:p w14:paraId="1B81B2FD" w14:textId="77777777" w:rsidR="00CC01C7" w:rsidRPr="00075CE7" w:rsidRDefault="00CC01C7" w:rsidP="00CC01C7">
      <w:pPr>
        <w:pStyle w:val="NormalHanging12a"/>
      </w:pPr>
      <w:r w:rsidRPr="00075CE7">
        <w:t>C.</w:t>
      </w:r>
      <w:r w:rsidRPr="00075CE7">
        <w:tab/>
        <w:t>der henviser til, at regionerne i EU's yderste periferi og oversøiske lande og territorier (</w:t>
      </w:r>
      <w:proofErr w:type="spellStart"/>
      <w:r w:rsidRPr="00075CE7">
        <w:t>OLT'er</w:t>
      </w:r>
      <w:proofErr w:type="spellEnd"/>
      <w:r w:rsidRPr="00075CE7">
        <w:t xml:space="preserve">) er beliggende i nærheden af strategiske områder for udviklingen af Global Gateway-projekter; der henviser til, at udviklingen af disse områder har en positiv indvirkning på sikkerheden og velstanden i regionerne i den yderste periferi og </w:t>
      </w:r>
      <w:proofErr w:type="spellStart"/>
      <w:r w:rsidRPr="00075CE7">
        <w:t>OLT’erne</w:t>
      </w:r>
      <w:proofErr w:type="spellEnd"/>
      <w:r w:rsidRPr="00075CE7">
        <w:t>;</w:t>
      </w:r>
    </w:p>
    <w:p w14:paraId="59BC5D7D" w14:textId="77777777" w:rsidR="00CC01C7" w:rsidRPr="00075CE7" w:rsidRDefault="00CC01C7" w:rsidP="00CC01C7">
      <w:pPr>
        <w:pStyle w:val="NormalHanging12a"/>
      </w:pPr>
      <w:r w:rsidRPr="00075CE7">
        <w:t>D.</w:t>
      </w:r>
      <w:r w:rsidRPr="00075CE7">
        <w:tab/>
        <w:t>der henviser til, at EU-finansiering under Global Gateway ikke må gavne enheder, der undergraver europæiske sikkerhedsmæssige og økonomiske interesser, herunder virksomheder, der er omfattet af EU's sanktioner, statsejede eller statskontrollerede virksomheder fra systemiske rivaler eller operatører, der er involveret i omgåelse af sanktioner, overførsel af produkter med dobbelt anvendelse til Rusland eller andre fjendtlige aktiviteter; der henviser til, at deltagelse i Global Gateway-projekter bør være betinget af fuld overholdelse af EU's restriktive foranstaltninger og af troværdige bestræbelser på at forhindre omgåelse;</w:t>
      </w:r>
    </w:p>
    <w:p w14:paraId="2A5B6C7D" w14:textId="77777777" w:rsidR="00CC01C7" w:rsidRPr="00075CE7" w:rsidRDefault="00CC01C7" w:rsidP="00CC01C7">
      <w:pPr>
        <w:pStyle w:val="NormalHanging12a"/>
      </w:pPr>
      <w:r w:rsidRPr="00075CE7">
        <w:t>E.</w:t>
      </w:r>
      <w:r w:rsidRPr="00075CE7">
        <w:tab/>
        <w:t>der henviser til, at geopolitisk indflydelse og evnen til at indgå langsigtede partnerskaber til gensidig fordel i vid udstrækning afhænger af økonomisk styrke, markedsadgang og institutionel kapacitet samt gensidigt aftalte køreplaner; der henviser til, at Global Gateway-partnerskab og -investeringer bør bygge på gensidighed og påviselige, konkrete gensidige fordele og interesser; der henviser til, at overgangen fra donor-modtager-relationer til partnerskaber med gensidigt fordelagtige investeringer vil kræve nye løsninger tilpasset den specifikke kontekst;</w:t>
      </w:r>
    </w:p>
    <w:p w14:paraId="105DB65A" w14:textId="77777777" w:rsidR="00CC01C7" w:rsidRPr="00075CE7" w:rsidRDefault="00CC01C7" w:rsidP="00CC01C7">
      <w:pPr>
        <w:pStyle w:val="NormalHanging12a"/>
      </w:pPr>
      <w:r w:rsidRPr="00075CE7">
        <w:t>F.</w:t>
      </w:r>
      <w:r w:rsidRPr="00075CE7">
        <w:tab/>
        <w:t>der henviser til, at indbyrdes afhængighed inden for det digitale område, energi og forsyningskæder både skaber muligheder og medfører sårbarhed for EU; der henviser til, at effektiv inddragelse af den private sektor og gennemførelse af projekter, tilstrækkelig finansiering og stærk koordinering med partnere, herunder civilsamfundet, bidrager til EU's troværdighed som global aktør;</w:t>
      </w:r>
    </w:p>
    <w:p w14:paraId="76296459" w14:textId="77777777" w:rsidR="00CC01C7" w:rsidRPr="00075CE7" w:rsidRDefault="00CC01C7" w:rsidP="00CC01C7">
      <w:pPr>
        <w:pStyle w:val="NormalHanging12a"/>
      </w:pPr>
      <w:r w:rsidRPr="00075CE7">
        <w:t>G.</w:t>
      </w:r>
      <w:r w:rsidRPr="00075CE7">
        <w:tab/>
        <w:t>der henviser til, at det er i EU's interesse at fremme social, økonomisk, menneskelig og miljømæssig udvikling, herunder gennem partnerskaber med civilsamfundet, styrket diplomati og erhvervssamarbejde;</w:t>
      </w:r>
    </w:p>
    <w:p w14:paraId="2CFB9961" w14:textId="77777777" w:rsidR="00CC01C7" w:rsidRPr="00075CE7" w:rsidRDefault="00CC01C7" w:rsidP="00CC01C7">
      <w:pPr>
        <w:pStyle w:val="NormalHanging12a"/>
      </w:pPr>
      <w:r w:rsidRPr="00075CE7">
        <w:t>H.</w:t>
      </w:r>
      <w:r w:rsidRPr="00075CE7">
        <w:tab/>
        <w:t>der henviser til, at det primære mål med EU's udviklingssamarbejde som fastsat i artikel 208 i TEUF er at nedbringe og på lang sigt udrydde fattigdom, hvilket kræver investering i og samarbejde om bl.a. uddannelse, jobskabelse, sundhed og social beskyttelse for at sikre opfyldelsen af 2030-dagsordenen og verdensmålene for bæredygtig udvikling, samtidig med at EU's geopolitiske interesser beskyttes og fremmes;</w:t>
      </w:r>
    </w:p>
    <w:p w14:paraId="4B37D935" w14:textId="77777777" w:rsidR="00CC01C7" w:rsidRPr="00075CE7" w:rsidRDefault="00CC01C7" w:rsidP="00CC01C7">
      <w:pPr>
        <w:pStyle w:val="NormalHanging12a"/>
      </w:pPr>
      <w:r w:rsidRPr="00075CE7">
        <w:t>I.</w:t>
      </w:r>
      <w:r w:rsidRPr="00075CE7">
        <w:tab/>
        <w:t>der henviser til, at NDICI – et globalt Europa har fastlagt klare kvantitative mål for menneskelig udvikling, ligestilling mellem kønnene og klimaindsatsen; der henviser til, at Global Gateway forpligter til at opretholde høje standarder for menneskerettigheder, sociale rettigheder og arbejdstagerrettigheder og gennemsigtighed, skabe ligeværdige partnerskaber frem for afhængighedsforhold samt tilbyde en demokratisk investeringsdagsorden;</w:t>
      </w:r>
    </w:p>
    <w:p w14:paraId="38949E38" w14:textId="77777777" w:rsidR="00CC01C7" w:rsidRPr="00075CE7" w:rsidRDefault="00CC01C7" w:rsidP="00CC01C7">
      <w:pPr>
        <w:pStyle w:val="NormalHanging12a"/>
      </w:pPr>
      <w:r w:rsidRPr="00075CE7">
        <w:lastRenderedPageBreak/>
        <w:t>J.</w:t>
      </w:r>
      <w:r w:rsidRPr="00075CE7">
        <w:tab/>
        <w:t>der henviser til, at bæredygtige, værdibaserede investeringer i partnerlande bidrager til global stabilitet og sikkerhed; der henviser til, at 23 % af verdens befolkning lever under skrøbelige forhold; der henviser til, at det fortsat er i EU's strategiske interesse at anvende specifikke instrumenter til at engagere sig i skrøbelige og konfliktramte stater, herunder gennem Global Gateway; der henviser til, at offentlig-private partnerskaber og infrastrukturprojekter i sådanne lande kan være vellykkede og have en betydelig positiv indvirkning, hvis de udformes korrekt;</w:t>
      </w:r>
    </w:p>
    <w:p w14:paraId="3886ADA0" w14:textId="77777777" w:rsidR="00CC01C7" w:rsidRPr="00075CE7" w:rsidRDefault="00CC01C7" w:rsidP="00CC01C7">
      <w:pPr>
        <w:pStyle w:val="NormalHanging12a"/>
      </w:pPr>
      <w:r w:rsidRPr="00075CE7">
        <w:t>K.</w:t>
      </w:r>
      <w:r w:rsidRPr="00075CE7">
        <w:tab/>
        <w:t>der henviser til, at investeringsunderskuddet i forhold til verdensmålene for bæredygtig udvikling i udviklingslandene nu er på 4 billioner USD årligt; der henviser til, at den private sektors engagement i verdensmålene for bæredygtig udvikling giver mulighed for at øge omfanget af udviklingsforanstaltninger og bæredygtigheden heraf ved at skabe anstændige arbejdspladser, stimulere økonomisk vækst og udrydde fattigdom;</w:t>
      </w:r>
    </w:p>
    <w:p w14:paraId="21BFA074" w14:textId="77777777" w:rsidR="00CC01C7" w:rsidRPr="00075CE7" w:rsidRDefault="00CC01C7" w:rsidP="00CC01C7">
      <w:pPr>
        <w:pStyle w:val="NormalHanging12a"/>
      </w:pPr>
      <w:r w:rsidRPr="00075CE7">
        <w:t>L.</w:t>
      </w:r>
      <w:r w:rsidRPr="00075CE7">
        <w:tab/>
        <w:t>der henviser til, at EU og dets medlemsstater har forpligtet sig til at anvende 0,7 % af deres bruttonationalindkomst til officiel udviklingsbistand, der har til formål at fremme økonomisk udvikling og velfærd i udviklingslande; der henviser til, at geopolitiske hensyn ikke må tilsidesætte principperne for udviklingseffektivitet eller forvride partnerlandenes prioriteter;</w:t>
      </w:r>
    </w:p>
    <w:p w14:paraId="4F7B4700" w14:textId="77777777" w:rsidR="00CC01C7" w:rsidRPr="00075CE7" w:rsidRDefault="00CC01C7" w:rsidP="00CC01C7">
      <w:pPr>
        <w:pStyle w:val="NormalHanging12a"/>
      </w:pPr>
      <w:r w:rsidRPr="00075CE7">
        <w:t>M.</w:t>
      </w:r>
      <w:r w:rsidRPr="00075CE7">
        <w:tab/>
        <w:t>der henviser til, at der ikke kan opnås varige resultater uden et tilsagn fra partnerlandene om at styrke den demokratiske udvikling på lang sigt;</w:t>
      </w:r>
    </w:p>
    <w:p w14:paraId="475FA211" w14:textId="77777777" w:rsidR="00CC01C7" w:rsidRPr="00075CE7" w:rsidRDefault="00CC01C7" w:rsidP="00CC01C7">
      <w:pPr>
        <w:pStyle w:val="NormalHanging12a"/>
      </w:pPr>
      <w:r w:rsidRPr="00075CE7">
        <w:t>N.</w:t>
      </w:r>
      <w:r w:rsidRPr="00075CE7">
        <w:tab/>
        <w:t>der henviser til, at Global Gateways succes afhænger af Team Europe-tilgangen, som i de seneste tre år har bestræbt sig på at udvise ejerskab, engagement, og et EU, der taler med én stemme i verden; der henviser til, at Team Europe-konceptet kan forbedres yderligere med hensyn til fælles programmering, udformning af projekter, styring, beslutningstagning og inddragelse af interessenter;</w:t>
      </w:r>
    </w:p>
    <w:p w14:paraId="3AD94290" w14:textId="77777777" w:rsidR="00CC01C7" w:rsidRPr="00075CE7" w:rsidRDefault="00CC01C7" w:rsidP="00CC01C7">
      <w:pPr>
        <w:pStyle w:val="NormalHanging12a"/>
      </w:pPr>
      <w:r w:rsidRPr="00075CE7">
        <w:t>O.</w:t>
      </w:r>
      <w:r w:rsidRPr="00075CE7">
        <w:tab/>
        <w:t>der henviser til, at nogle af Global Gateways flagskibsprojekter allerede er udpeget som prioriteter under G7-partnerskabet for global infrastruktur og globale investeringer;</w:t>
      </w:r>
    </w:p>
    <w:p w14:paraId="3BDB66BA" w14:textId="77777777" w:rsidR="00CC01C7" w:rsidRPr="00075CE7" w:rsidRDefault="00CC01C7" w:rsidP="00CC01C7">
      <w:pPr>
        <w:pStyle w:val="NormalHanging12a"/>
      </w:pPr>
      <w:r w:rsidRPr="00075CE7">
        <w:t>P.</w:t>
      </w:r>
      <w:r w:rsidRPr="00075CE7">
        <w:tab/>
        <w:t>der henviser til, at nogle medlemsstater har udarbejdet nationale partnerskabsplaner; der henviser til, at medlemsstaterne opfordres til at udveksle bedste praksis;</w:t>
      </w:r>
    </w:p>
    <w:p w14:paraId="6B00D44B" w14:textId="77777777" w:rsidR="00CC01C7" w:rsidRPr="00075CE7" w:rsidRDefault="00CC01C7" w:rsidP="00CC01C7">
      <w:pPr>
        <w:pStyle w:val="NormalHanging12a"/>
      </w:pPr>
      <w:r w:rsidRPr="00075CE7">
        <w:t>Q.</w:t>
      </w:r>
      <w:r w:rsidRPr="00075CE7">
        <w:tab/>
        <w:t>der henviser til, at Parlamentet har hilst Global Gateway velkommen som en samordnet EU-reaktion på globale udfordringer, samtidig med at det har påpeget mangler i strategiens forvaltning, herunder tilpasning til partnerlandenes prioriteter, indvirkning, inddragelse af interessenter og gennemsigtighed samt mangel på regelmæssig rapportering om virkningen af flagskibsinitiativer; der henviser til, at Global Gateway-beslutningsprocessen ikke er fastsat ved lov, men er underlagt Kommissionens interne procedurer og Rådets afgørelser;</w:t>
      </w:r>
    </w:p>
    <w:p w14:paraId="19DD4293" w14:textId="77777777" w:rsidR="00CC01C7" w:rsidRPr="00075CE7" w:rsidRDefault="00CC01C7" w:rsidP="00CC01C7">
      <w:pPr>
        <w:pStyle w:val="NormalHanging12a"/>
      </w:pPr>
      <w:r w:rsidRPr="00075CE7">
        <w:t>R.</w:t>
      </w:r>
      <w:r w:rsidRPr="00075CE7">
        <w:tab/>
        <w:t>der henviser til, at Parlamentet bør udøve sin fulde indflydelse i sin rolle med hensyn til demokratisk kontrol i Global Gateway-politikken og -forvaltningen samt med hensyn til at sikre ansvarlighed i projektevaluering;</w:t>
      </w:r>
    </w:p>
    <w:p w14:paraId="584FC8A8" w14:textId="77777777" w:rsidR="00CC01C7" w:rsidRPr="00075CE7" w:rsidRDefault="00CC01C7" w:rsidP="00CC01C7">
      <w:pPr>
        <w:pStyle w:val="NormalHanging12a"/>
        <w:rPr>
          <w:bCs/>
          <w:iCs/>
        </w:rPr>
      </w:pPr>
      <w:r w:rsidRPr="00075CE7">
        <w:t>S.</w:t>
      </w:r>
      <w:r w:rsidRPr="00075CE7">
        <w:tab/>
        <w:t>der henviser til, at valgte organer i modtagerlandene, herunder parlamenter, samt civilsamfundet og uafhængige eksperter under den nuværende Global Gateway-strategi ikke har en aktiv rolle i beslutningstagningen eller overvågningen og sikringen af ansvarlighed;</w:t>
      </w:r>
    </w:p>
    <w:p w14:paraId="07D1CB46" w14:textId="77777777" w:rsidR="00CC01C7" w:rsidRPr="00075CE7" w:rsidRDefault="00CC01C7" w:rsidP="00CC01C7">
      <w:pPr>
        <w:pStyle w:val="NormalHanging12a"/>
        <w:rPr>
          <w:bCs/>
          <w:iCs/>
        </w:rPr>
      </w:pPr>
      <w:r w:rsidRPr="00075CE7">
        <w:lastRenderedPageBreak/>
        <w:t>T.</w:t>
      </w:r>
      <w:r w:rsidRPr="00075CE7">
        <w:tab/>
        <w:t>der henviser til, at der er begrænset offentlig adgang til oplysninger om Global Gateway-projekter;</w:t>
      </w:r>
    </w:p>
    <w:p w14:paraId="166FE1AC" w14:textId="77777777" w:rsidR="00CC01C7" w:rsidRPr="00075CE7" w:rsidRDefault="00CC01C7" w:rsidP="00CC01C7">
      <w:pPr>
        <w:pStyle w:val="NormalHanging12a"/>
        <w:rPr>
          <w:bCs/>
          <w:iCs/>
        </w:rPr>
      </w:pPr>
      <w:r w:rsidRPr="00075CE7">
        <w:t>U.</w:t>
      </w:r>
      <w:r w:rsidRPr="00075CE7">
        <w:tab/>
        <w:t>der henviser til, at mål og bedre overvågnings- og evalueringsværktøjer kan bidrage til at vurdere projekternes bidrag til udviklingsmålene og forebygge skadelige virkninger i modtagerlandene;</w:t>
      </w:r>
    </w:p>
    <w:p w14:paraId="5D314186" w14:textId="77777777" w:rsidR="00CC01C7" w:rsidRPr="00075CE7" w:rsidRDefault="00CC01C7" w:rsidP="00CC01C7">
      <w:pPr>
        <w:pStyle w:val="Normal12a"/>
        <w:keepNext/>
      </w:pPr>
      <w:r w:rsidRPr="00075CE7">
        <w:rPr>
          <w:b/>
          <w:i/>
        </w:rPr>
        <w:t>Status, strategiske mål og vision</w:t>
      </w:r>
    </w:p>
    <w:p w14:paraId="45AB9ACE" w14:textId="77777777" w:rsidR="00CC01C7" w:rsidRPr="00075CE7" w:rsidRDefault="00CC01C7" w:rsidP="00CC01C7">
      <w:pPr>
        <w:pStyle w:val="NormalHanging12a"/>
        <w:keepNext/>
      </w:pPr>
      <w:r w:rsidRPr="00075CE7">
        <w:t>1.</w:t>
      </w:r>
      <w:r w:rsidRPr="00075CE7">
        <w:tab/>
        <w:t>minder om, at Global Gateway-initiativet er et strategisk geopolitisk koncept, som integrerer udenrigs-, økonomi- og udviklingssamarbejdspolitikker, herunder EU's engagement i klimabeskyttelse og -tilpasning, den digitale omstilling og sundheds-, forsknings-, uddannelses- og transportsektorerne, for at etablere langsigtede, strategiske og gensidigt fordelagtige partnerskaber med særligt henblik på at opbygge og sikre bæredygtige forsyningskæder og modstandsdygtighed i både EU og partnerlandene, navnlig gennem en øget inddragelse af den private sektor; understreger, at Global Gateway-initiativet bør blive en langsigtet strategi baseret på en model på tværs af ministerier og myndigheder; glæder sig i den forbindelse over skiftet væk fra donor-modtager-modellen til partnerskaber på lige fod; understreger, at der bør fokuseres på intelligente investeringer i infrastruktur af høj kvalitet under overholdelse af høje sociale og miljømæssige standarder og i overensstemmelse med EU's interesser og værdier, herunder retsstatsprincippet, menneskerettighederne og relevante internationale normer og standarder; understreger, at koordinering med internationale institutioner, inddragelse af den private sektor og skræddersyet strategisk kommunikation, herunder i modtagerlande, er vigtige for, at instrumentet kan nå det ønskede omfang;</w:t>
      </w:r>
    </w:p>
    <w:p w14:paraId="635EA49B" w14:textId="77777777" w:rsidR="00CC01C7" w:rsidRPr="00075CE7" w:rsidRDefault="00CC01C7" w:rsidP="00CC01C7">
      <w:pPr>
        <w:pStyle w:val="NormalHanging12a"/>
      </w:pPr>
      <w:r w:rsidRPr="00075CE7">
        <w:t>2.</w:t>
      </w:r>
      <w:r w:rsidRPr="00075CE7">
        <w:tab/>
        <w:t>understreger, at nye geostrategiske udfordringer såsom den igangværende russiske angrebskrig mod Ukraine samt Kinas og Ruslands voksende indflydelse og gennemslagskraft, afviklingen af De Forenede Staters statslige bistandsorganisation (USAID) og stadig større nedskæringer i den officielle udviklingsbistand, herunder i flere EU-medlemsstater, har skabt betydelige finansieringshuller i leveringen af væsentlige offentlige tjenester; understreger, at EU's udenrigs- og sikkerhedspolitiske aktører og udviklingsaktører skal udnytte de knappe ressourcer bedre og koordinere deres indsats bedre for at øge løftestangseffekten, EU's tilstedeværelse, indflydelse og synlighed på verdensplan ved hjælp af gensidigt fordelagtige investeringer, fremme bæredygtig og inklusiv vækst i partnerlandene, forbedre ligestillingen og lokalsamfundenes eksistensgrundlag og gøre fremskridt med hensyn til at nå verdensmålene for bæredygtig udvikling;</w:t>
      </w:r>
    </w:p>
    <w:p w14:paraId="40DDAAFF" w14:textId="77777777" w:rsidR="00CC01C7" w:rsidRPr="00075CE7" w:rsidRDefault="00CC01C7" w:rsidP="00CC01C7">
      <w:pPr>
        <w:pStyle w:val="NormalHanging12a"/>
        <w:rPr>
          <w:bCs/>
          <w:iCs/>
        </w:rPr>
      </w:pPr>
      <w:r w:rsidRPr="00075CE7">
        <w:t>3.</w:t>
      </w:r>
      <w:r w:rsidRPr="00075CE7">
        <w:tab/>
        <w:t>forstår, at Global Gateway har potentiale til at ledsage, lette og styrke bæredygtige europæiske investeringer globalt, hvilket giver partnerlandene mulighed for at udvikle deres industrier og skabe lokal merværdi og anstændige arbejdspladser, og give disse lande adgang til førende markeder i EU; understreger, at de langsigtede partnerskaber, som EU tilbyder under Global Gateway, kan skabe et reelt alternativt tilbud til partnerlandene med hensyn til deres udviklingsmæssige og økonomiske mål, samtidig med at de også bidrager til EU's overordnede mål om konkurrenceevne, modstandsdygtighed, diversificering og strategisk autonomi samt til at nå de i fællesskab aftalte internationale mål;</w:t>
      </w:r>
    </w:p>
    <w:p w14:paraId="12F5C691" w14:textId="77777777" w:rsidR="00CC01C7" w:rsidRPr="00075CE7" w:rsidRDefault="00CC01C7" w:rsidP="00CC01C7">
      <w:pPr>
        <w:pStyle w:val="NormalHanging12a"/>
        <w:rPr>
          <w:bCs/>
          <w:iCs/>
        </w:rPr>
      </w:pPr>
      <w:r w:rsidRPr="00075CE7">
        <w:t>4.</w:t>
      </w:r>
      <w:r w:rsidRPr="00075CE7">
        <w:tab/>
        <w:t xml:space="preserve">noterer sig formanden for Kommissionens politiske vilje til at opskalere Global Gateway i valgperioden 2024-2029; bemærker, at Rådet har godkendt over 250 flagskibsprojekter siden 2022; bemærker </w:t>
      </w:r>
      <w:proofErr w:type="gramStart"/>
      <w:r w:rsidRPr="00075CE7">
        <w:t>endvidere</w:t>
      </w:r>
      <w:proofErr w:type="gramEnd"/>
      <w:r w:rsidRPr="00075CE7">
        <w:t xml:space="preserve">, at der ifølge Kommissionen var </w:t>
      </w:r>
      <w:r w:rsidRPr="00075CE7">
        <w:lastRenderedPageBreak/>
        <w:t>blevet mobiliseret 306 mia. EUR ved udgangen af 2024; beklager den manglende klarhed og gennemsigtighed med hensyn til finansieringsresultaterne og den måde, hvorpå beløbet på 306 mia. EUR blev nået;</w:t>
      </w:r>
    </w:p>
    <w:p w14:paraId="79CF588D" w14:textId="77777777" w:rsidR="00CC01C7" w:rsidRPr="00075CE7" w:rsidRDefault="00CC01C7" w:rsidP="00CC01C7">
      <w:pPr>
        <w:pStyle w:val="NormalHanging12a"/>
      </w:pPr>
      <w:r w:rsidRPr="00075CE7">
        <w:t>5.</w:t>
      </w:r>
      <w:r w:rsidRPr="00075CE7">
        <w:tab/>
        <w:t>bemærker, at projektudvælgelsen har fulgt en alt for centraliseret top-</w:t>
      </w:r>
      <w:proofErr w:type="spellStart"/>
      <w:r w:rsidRPr="00075CE7">
        <w:t>down</w:t>
      </w:r>
      <w:proofErr w:type="spellEnd"/>
      <w:r w:rsidRPr="00075CE7">
        <w:t xml:space="preserve">-tilgang uden tilstrækkelig inddragelse af interessenter; bemærker, at der stadig er uklarhed omkring konceptet og kriterierne for Global Gateway-projekter for både medlemsstater og partnerlande; understreger betydningen af at fremme en model, hvor efterspørgslen i partnerlandene matches med tilbud fra europæiske virksomheder i overensstemmelse med EU's udenrigs-, økonomi- og udviklingsmål og internationale forpligtelser, navnlig 2030-dagsordenen og </w:t>
      </w:r>
      <w:proofErr w:type="spellStart"/>
      <w:r w:rsidRPr="00075CE7">
        <w:t>Parisaftalen</w:t>
      </w:r>
      <w:proofErr w:type="spellEnd"/>
      <w:r w:rsidRPr="00075CE7">
        <w:t>;</w:t>
      </w:r>
    </w:p>
    <w:p w14:paraId="22851C0D" w14:textId="77777777" w:rsidR="00CC01C7" w:rsidRPr="00075CE7" w:rsidRDefault="00CC01C7" w:rsidP="00CC01C7">
      <w:pPr>
        <w:pStyle w:val="NormalHanging12a"/>
        <w:rPr>
          <w:bCs/>
          <w:iCs/>
        </w:rPr>
      </w:pPr>
      <w:r w:rsidRPr="00075CE7">
        <w:t>6.</w:t>
      </w:r>
      <w:r w:rsidRPr="00075CE7">
        <w:tab/>
        <w:t xml:space="preserve">noterer sig det forhold, at Global Gateway-strategien bygger på forordningen om NDICI – et globalt Europa; noterer sig </w:t>
      </w:r>
      <w:proofErr w:type="gramStart"/>
      <w:r w:rsidRPr="00075CE7">
        <w:t>endvidere</w:t>
      </w:r>
      <w:proofErr w:type="gramEnd"/>
      <w:r w:rsidRPr="00075CE7">
        <w:t xml:space="preserve"> Kommissionens forslag til det nye instrument for et globalt Europa og bemærker, at den ikke benyttede lejligheden til at medtage nogen væsentlige kodificerende bestemmelser om Global Gateway; erklærer, at Parlamentet som medlovgiver er villig til at fremsætte klare forslag;</w:t>
      </w:r>
    </w:p>
    <w:p w14:paraId="6791D7E4" w14:textId="77777777" w:rsidR="00CC01C7" w:rsidRPr="00075CE7" w:rsidRDefault="00CC01C7" w:rsidP="00CC01C7">
      <w:pPr>
        <w:pStyle w:val="NormalHanging12a"/>
        <w:rPr>
          <w:bCs/>
          <w:iCs/>
        </w:rPr>
      </w:pPr>
      <w:r w:rsidRPr="00075CE7">
        <w:t>7.</w:t>
      </w:r>
      <w:r w:rsidRPr="00075CE7">
        <w:tab/>
        <w:t>understreger, at Global Gateway fortsat skal være forankret i det primære mål med EU's udviklingssamarbejde, nemlig at nedbringe og på sigt udrydde fattigdom;</w:t>
      </w:r>
    </w:p>
    <w:p w14:paraId="6114365E" w14:textId="77777777" w:rsidR="00CC01C7" w:rsidRPr="00075CE7" w:rsidRDefault="00CC01C7" w:rsidP="00CC01C7">
      <w:pPr>
        <w:pStyle w:val="NormalHanging12a"/>
        <w:rPr>
          <w:bCs/>
          <w:iCs/>
        </w:rPr>
      </w:pPr>
      <w:r w:rsidRPr="00075CE7">
        <w:t>8.</w:t>
      </w:r>
      <w:r w:rsidRPr="00075CE7">
        <w:tab/>
        <w:t>understreger, at det er afgørende at sikre en balance mellem officiel udviklingsbistand og finansieringsmidler fra ikkeofficiel udviklingsbistand og opfordrer samtidig Kommissionen til at styrke koordineringen med ikke-udviklingsinstrumenter og -politikker; anmoder Kommissionen om at angive, om Global Gateway-projekter opfylder kriterierne for officiel udviklingsbistand;</w:t>
      </w:r>
    </w:p>
    <w:p w14:paraId="5F76AD9B" w14:textId="77777777" w:rsidR="00CC01C7" w:rsidRPr="00075CE7" w:rsidRDefault="00CC01C7" w:rsidP="00CC01C7">
      <w:pPr>
        <w:pStyle w:val="NormalHanging12a"/>
        <w:rPr>
          <w:bCs/>
          <w:iCs/>
        </w:rPr>
      </w:pPr>
      <w:r w:rsidRPr="00075CE7">
        <w:t>9.</w:t>
      </w:r>
      <w:r w:rsidRPr="00075CE7">
        <w:tab/>
        <w:t xml:space="preserve">opfordrer Kommissionen til at fastlægge klare og gennemsigtige metoder til vurdering af udviklingsvirkningen af Global Gateway-interventioner, der finansieres af EU's officielle udviklingsbistand og involverer aktører i EU's private sektor, og deres støtteberettigelse med hensyn til kriterierne fra Organisationen for Økonomisk Samarbejde og Udviklings Komité for Udviklingsbistand; understreger, at sådanne metoder bør suppleres med vurderinger af strategisk relevans under hensyntagen til pålidelig </w:t>
      </w:r>
      <w:proofErr w:type="spellStart"/>
      <w:r w:rsidRPr="00075CE7">
        <w:t>konnektivitet</w:t>
      </w:r>
      <w:proofErr w:type="spellEnd"/>
      <w:r w:rsidRPr="00075CE7">
        <w:t xml:space="preserve"> og </w:t>
      </w:r>
      <w:proofErr w:type="spellStart"/>
      <w:r w:rsidRPr="00075CE7">
        <w:t>ligesindethed</w:t>
      </w:r>
      <w:proofErr w:type="spellEnd"/>
      <w:r w:rsidRPr="00075CE7">
        <w:t>, modstandsdygtighed og projekternes langsigtede bæredygtighed, og opfordrer til regelmæssig rapportering til Parlamentet på en måde, der afspejler Global Gateways dobbelte udviklingsmål og geopolitiske mål;</w:t>
      </w:r>
    </w:p>
    <w:p w14:paraId="66EEFE01" w14:textId="77777777" w:rsidR="00CC01C7" w:rsidRPr="00075CE7" w:rsidRDefault="00CC01C7" w:rsidP="00CC01C7">
      <w:pPr>
        <w:pStyle w:val="NormalHanging12a"/>
        <w:rPr>
          <w:bCs/>
          <w:iCs/>
        </w:rPr>
      </w:pPr>
      <w:r w:rsidRPr="00075CE7">
        <w:t>10.</w:t>
      </w:r>
      <w:r w:rsidRPr="00075CE7">
        <w:tab/>
        <w:t>fremhæver betydningen af en mere systematisk overvågning og evaluering af Global Gateway-projekternes virkninger for at øge initiativets ansvarlighed, gennemsigtighed og effektivitet;</w:t>
      </w:r>
    </w:p>
    <w:p w14:paraId="79935F60" w14:textId="77777777" w:rsidR="00CC01C7" w:rsidRPr="00075CE7" w:rsidRDefault="00CC01C7" w:rsidP="00CC01C7">
      <w:pPr>
        <w:pStyle w:val="NormalHanging12a"/>
        <w:rPr>
          <w:bCs/>
          <w:iCs/>
        </w:rPr>
      </w:pPr>
      <w:r w:rsidRPr="00075CE7">
        <w:t>11.</w:t>
      </w:r>
      <w:r w:rsidRPr="00075CE7">
        <w:tab/>
        <w:t>fremhæver, at investeringer i styrkelse af kvinders indflydelse og sociale kapital ikke kun er i overensstemmelse med EU's værdier, men også økonomisk rentable; understreger vigtigheden af ​​at anvende en kønsorienteret tilgang i Global Gateway-programmeringen for at sikre, at investeringer bidrager til ligestilling mellem kønnene;</w:t>
      </w:r>
    </w:p>
    <w:p w14:paraId="25BEDF1C" w14:textId="77777777" w:rsidR="00CC01C7" w:rsidRPr="00075CE7" w:rsidRDefault="00CC01C7" w:rsidP="00CC01C7">
      <w:pPr>
        <w:pStyle w:val="NormalHanging12a"/>
      </w:pPr>
      <w:r w:rsidRPr="00075CE7">
        <w:t>12.</w:t>
      </w:r>
      <w:r w:rsidRPr="00075CE7">
        <w:tab/>
        <w:t>beklager, at den præference, der er fastsat i artikel 12, stk. 2, i forordningen om NDICI – et globalt Europa for fælles programmering og gennemførelse mellem Kommissionen og medlemsstaterne, ikke er blevet anvendt med succes og er blevet erstattet af et løsere Team Europe-samarbejde; anmoder om, at denne fælles programmering integreres i det fremtidige instrument for et globalt Europa og gennemføres på passende vis i overensstemmelse med Global Gateway-interessenternes gentagne anmodninger;</w:t>
      </w:r>
    </w:p>
    <w:p w14:paraId="26820B1E" w14:textId="77777777" w:rsidR="00CC01C7" w:rsidRPr="00075CE7" w:rsidRDefault="00CC01C7" w:rsidP="00CC01C7">
      <w:pPr>
        <w:pStyle w:val="NormalHanging12a"/>
      </w:pPr>
      <w:r w:rsidRPr="00075CE7">
        <w:lastRenderedPageBreak/>
        <w:t>13.</w:t>
      </w:r>
      <w:r w:rsidRPr="00075CE7">
        <w:tab/>
        <w:t>opfordrer medlemsstaterne til at foretage en omfattende vurdering af Team Europe-rammen, herunder Team Europe-initiativer, med oplysninger om den nuværende status for deres fremskridt, de involverede aktører, deres finansiering og de vigtigste udviklingsresultater;</w:t>
      </w:r>
    </w:p>
    <w:p w14:paraId="65F13E7C" w14:textId="77777777" w:rsidR="00CC01C7" w:rsidRPr="00075CE7" w:rsidRDefault="00CC01C7" w:rsidP="00CC01C7">
      <w:pPr>
        <w:pStyle w:val="Normal12a"/>
      </w:pPr>
      <w:r w:rsidRPr="00075CE7">
        <w:rPr>
          <w:b/>
          <w:i/>
        </w:rPr>
        <w:t xml:space="preserve">Den geopolitiske betydning af Global Gateway </w:t>
      </w:r>
    </w:p>
    <w:p w14:paraId="72F70AE9" w14:textId="77777777" w:rsidR="00CC01C7" w:rsidRPr="00075CE7" w:rsidRDefault="00CC01C7" w:rsidP="00CC01C7">
      <w:pPr>
        <w:pStyle w:val="NormalHanging12a"/>
        <w:rPr>
          <w:bCs/>
          <w:iCs/>
        </w:rPr>
      </w:pPr>
      <w:r w:rsidRPr="00075CE7">
        <w:t>14.</w:t>
      </w:r>
      <w:r w:rsidRPr="00075CE7">
        <w:tab/>
        <w:t xml:space="preserve">opfordrer EU til at styrke sin strategiske position, sine partnerskaber og sin globale troværdighed ved gennem Global Gateway at tilbyde et bæredygtigt, gennemsigtigt og demokratisk alternativ til konkurrerende modeller og infrastrukturinitiativer, der er i overensstemmelse med EU's grundlæggende værdier; opfordrer endvidere Kommissionen til effektivt og hurtigt at fremme Global Gateway som et bæredygtigt alternativ til de aggressive initiativer fra rivaler såsom Kina og Rusland, hvis støtte ofte har vist sig at have alvorlige negative indvirkninger på lang sigt, herunder en enorm gældsafhængighed; </w:t>
      </w:r>
    </w:p>
    <w:p w14:paraId="0A6A941E" w14:textId="77777777" w:rsidR="00CC01C7" w:rsidRPr="00075CE7" w:rsidRDefault="00CC01C7" w:rsidP="00CC01C7">
      <w:pPr>
        <w:pStyle w:val="NormalHanging12a"/>
        <w:rPr>
          <w:bCs/>
          <w:iCs/>
        </w:rPr>
      </w:pPr>
      <w:r w:rsidRPr="00075CE7">
        <w:t>15.</w:t>
      </w:r>
      <w:r w:rsidRPr="00075CE7">
        <w:tab/>
        <w:t xml:space="preserve">understreger betydningen af Global Gateways unikke 360-graders tilgang, der supplerer investeringer med støtte til styrkelse af retsstatsprincippet i partnerlande, herunder retsvæsenets uafhængighed og foranstaltninger til bekæmpelse af korruption, samt til ansvarlige og demokratiske institutioner, hvorved det sikres, at EU-finansierede projekter har en reel indvirkning og er i overensstemmelse med EU's grundlæggende værdier og verdensmålene for bæredygtig udvikling og med opbygningen af gunstige lovgivningsmæssige rammer i overensstemmelse med internationale standarder og miljømæssige, sociale og forvaltningsmæssige rammer; </w:t>
      </w:r>
    </w:p>
    <w:p w14:paraId="35C105F6" w14:textId="77777777" w:rsidR="00CC01C7" w:rsidRPr="00075CE7" w:rsidRDefault="00CC01C7" w:rsidP="00CC01C7">
      <w:pPr>
        <w:pStyle w:val="NormalHanging12a"/>
        <w:rPr>
          <w:bCs/>
          <w:iCs/>
        </w:rPr>
      </w:pPr>
      <w:r w:rsidRPr="00075CE7">
        <w:t>16.</w:t>
      </w:r>
      <w:r w:rsidRPr="00075CE7">
        <w:tab/>
        <w:t>understreger, at effektiviteten af Global Gateway beror på strategiens reaktionsevne over for partnerlandenes reelle prioriteter; opfordrer Kommissionen, Tjenesten for EU's Optræden Udadtil og medlemsstaterne til at sikre, at Global Gateway-initiativer er så inkluderende og ansvarlige som muligt, udformes i fællesskab med lokale interessenter og tilpasses partnerlandenes nationale og regionale udviklingsstrategier i overensstemmelse med princippet om landenes ejerskab; understreger behovet for at forbinde politikdialog, investering, udviklingssamarbejde og diplomatisk handling med henblik på at sikre strategisk samhørighed og varig virkning;</w:t>
      </w:r>
    </w:p>
    <w:p w14:paraId="490E77A6" w14:textId="77777777" w:rsidR="00CC01C7" w:rsidRPr="00075CE7" w:rsidRDefault="00CC01C7" w:rsidP="00CC01C7">
      <w:pPr>
        <w:pStyle w:val="NormalHanging12a"/>
        <w:rPr>
          <w:bCs/>
          <w:iCs/>
        </w:rPr>
      </w:pPr>
      <w:r w:rsidRPr="00075CE7">
        <w:t>17.</w:t>
      </w:r>
      <w:r w:rsidRPr="00075CE7">
        <w:tab/>
        <w:t xml:space="preserve">opfordrer Kommissionen til at udforme Global Gateway-projekter, </w:t>
      </w:r>
      <w:proofErr w:type="gramStart"/>
      <w:r w:rsidRPr="00075CE7">
        <w:t>således at</w:t>
      </w:r>
      <w:proofErr w:type="gramEnd"/>
      <w:r w:rsidRPr="00075CE7">
        <w:t xml:space="preserve"> de sikrer stærk komplementaritet og overensstemmelse med initiativer, der fremmer en regelbaseret international orden og multilateralisme over for blokdannelse og øgede spændinger;</w:t>
      </w:r>
    </w:p>
    <w:p w14:paraId="4B10E782" w14:textId="77777777" w:rsidR="00CC01C7" w:rsidRPr="00075CE7" w:rsidRDefault="00CC01C7" w:rsidP="00CC01C7">
      <w:pPr>
        <w:pStyle w:val="NormalHanging12a"/>
        <w:rPr>
          <w:bCs/>
          <w:iCs/>
        </w:rPr>
      </w:pPr>
      <w:r w:rsidRPr="00075CE7">
        <w:t>18.</w:t>
      </w:r>
      <w:r w:rsidRPr="00075CE7">
        <w:tab/>
        <w:t>opfordrer til en dybere koordinering med ligesindede partnere, der er villige til at opretholde ovennævnte principper og søge at diversificere deres forbindelser og imødekomme udviklingsbehov, der går videre end transaktionsaftaler, samtidig med at de er forenelige med EU's strategiske interesser, herunder dem, det forsvarer i G7, G20 og FN, med henblik på at maksimere den kollektive indvirkning og sikre sammenhængende standarder, finansiering og projektgennemførelse i et konkurrencepræget geopolitisk miljø;</w:t>
      </w:r>
    </w:p>
    <w:p w14:paraId="628E35A6" w14:textId="77777777" w:rsidR="00CC01C7" w:rsidRPr="00075CE7" w:rsidRDefault="00CC01C7" w:rsidP="00CC01C7">
      <w:pPr>
        <w:pStyle w:val="NormalHanging12a"/>
        <w:rPr>
          <w:bCs/>
          <w:iCs/>
        </w:rPr>
      </w:pPr>
      <w:r w:rsidRPr="00075CE7">
        <w:t>19.</w:t>
      </w:r>
      <w:r w:rsidRPr="00075CE7">
        <w:tab/>
        <w:t>er bekymret over rapporter om, at en række Global Gateway-projekter gennemføres af kinesiske virksomheder i direkte strid med initiativets målsætning om at tilbyde et alternativ til "ét bælte, én vej"-initiativet og skabe reel national værdi i partnerlandene; opfordrer derfor til, at der straks foretages en undersøgelse af alle kinesiske virksomheders involvering i Global Gateway;</w:t>
      </w:r>
    </w:p>
    <w:p w14:paraId="04AD0FD4" w14:textId="77777777" w:rsidR="00CC01C7" w:rsidRPr="00075CE7" w:rsidRDefault="00CC01C7" w:rsidP="00CC01C7">
      <w:pPr>
        <w:pStyle w:val="NormalHanging12a"/>
        <w:rPr>
          <w:bCs/>
          <w:iCs/>
        </w:rPr>
      </w:pPr>
      <w:r w:rsidRPr="00075CE7">
        <w:lastRenderedPageBreak/>
        <w:t>20.</w:t>
      </w:r>
      <w:r w:rsidRPr="00075CE7">
        <w:tab/>
        <w:t>minder om, at det grundlæggende princip om udviklingsvenlig politikkohærens, der er fastsat i artikel 208, stk. 1, i TEUF, forpligter EU og medlemsstaterne til at tage højde for målsætningerne for udviklingssamarbejde i alle politikker, som med sandsynlighed vil påvirke udviklingslandene;</w:t>
      </w:r>
    </w:p>
    <w:p w14:paraId="7E44E86A" w14:textId="77777777" w:rsidR="00CC01C7" w:rsidRPr="00075CE7" w:rsidRDefault="00CC01C7" w:rsidP="00CC01C7">
      <w:pPr>
        <w:pStyle w:val="NormalHanging12a"/>
        <w:rPr>
          <w:bCs/>
          <w:iCs/>
        </w:rPr>
      </w:pPr>
      <w:r w:rsidRPr="00075CE7">
        <w:t>21.</w:t>
      </w:r>
      <w:r w:rsidRPr="00075CE7">
        <w:tab/>
        <w:t xml:space="preserve">opfordrer til en mere effektiv tilpasning mellem Global Gateway og EU's fælles udenrigs- og sikkerhedspolitik og verdensmålene for bæredygtig udvikling; opfordrer EU til i højere grad at gøre brug af sin normative styrke ved at gøre demokrati, retsstatsprincippet, menneskerettigheder og bæredygtig udvikling til hjørnesten i alle Global Gateway-projekter og samtidig sikre </w:t>
      </w:r>
      <w:proofErr w:type="spellStart"/>
      <w:r w:rsidRPr="00075CE7">
        <w:t>additionalitet</w:t>
      </w:r>
      <w:proofErr w:type="spellEnd"/>
      <w:r w:rsidRPr="00075CE7">
        <w:t>;</w:t>
      </w:r>
    </w:p>
    <w:p w14:paraId="349537C0" w14:textId="77777777" w:rsidR="00CC01C7" w:rsidRPr="00075CE7" w:rsidRDefault="00CC01C7" w:rsidP="00CC01C7">
      <w:pPr>
        <w:pStyle w:val="NormalHanging12a"/>
        <w:rPr>
          <w:bCs/>
          <w:iCs/>
        </w:rPr>
      </w:pPr>
      <w:r w:rsidRPr="00075CE7">
        <w:t>22.</w:t>
      </w:r>
      <w:r w:rsidRPr="00075CE7">
        <w:tab/>
        <w:t xml:space="preserve">understreger, at en styrkelse af stabiliteten og sikkerheden i partnerlandene bidrager til at fremme økonomiske muligheder, modstandsdygtighed og langsigtet bæredygtig udvikling og dermed tackle de grundlæggende årsager til irregulær migration; </w:t>
      </w:r>
    </w:p>
    <w:p w14:paraId="5B88835C" w14:textId="77777777" w:rsidR="00CC01C7" w:rsidRPr="00075CE7" w:rsidRDefault="00CC01C7" w:rsidP="00CC01C7">
      <w:pPr>
        <w:pStyle w:val="NormalHanging12a"/>
        <w:rPr>
          <w:bCs/>
          <w:iCs/>
        </w:rPr>
      </w:pPr>
      <w:r w:rsidRPr="00075CE7">
        <w:t>23.</w:t>
      </w:r>
      <w:r w:rsidRPr="00075CE7">
        <w:tab/>
        <w:t>fremhæver, at integrationen af dagsordenen for politikkohærens for bæredygtig udvikling i EU's Global Gateway er afgørende for en fælles tilgang til bæredygtig og geoøkonomisk udvikling;</w:t>
      </w:r>
    </w:p>
    <w:p w14:paraId="1F244C9F" w14:textId="77777777" w:rsidR="00CC01C7" w:rsidRPr="00075CE7" w:rsidRDefault="00CC01C7" w:rsidP="00CC01C7">
      <w:pPr>
        <w:pStyle w:val="NormalHanging12a"/>
      </w:pPr>
      <w:r w:rsidRPr="00075CE7">
        <w:t>24.</w:t>
      </w:r>
      <w:r w:rsidRPr="00075CE7">
        <w:tab/>
        <w:t xml:space="preserve">opfordrer til, at investeringer i energi, kritiske råstoffer og den grønne omstilling prioriteres for at mindske EU's afhængighed af udenlandske rivaler, herunder i vedvarende energinet, korridorer for ren brint og bæredygtig transport, og dermed styrke både den globale bæredygtige udvikling og EU's energiuafhængighed; opfordrer </w:t>
      </w:r>
      <w:proofErr w:type="gramStart"/>
      <w:r w:rsidRPr="00075CE7">
        <w:t>endvidere</w:t>
      </w:r>
      <w:proofErr w:type="gramEnd"/>
      <w:r w:rsidRPr="00075CE7">
        <w:t xml:space="preserve"> til øget digital suverænitet og pålidelig </w:t>
      </w:r>
      <w:proofErr w:type="spellStart"/>
      <w:r w:rsidRPr="00075CE7">
        <w:t>konnektivitet</w:t>
      </w:r>
      <w:proofErr w:type="spellEnd"/>
      <w:r w:rsidRPr="00075CE7">
        <w:t>, samtidig med at demokratiske digitale standarder fremmes på globalt plan;</w:t>
      </w:r>
    </w:p>
    <w:p w14:paraId="4E9C2E54" w14:textId="77777777" w:rsidR="00CC01C7" w:rsidRPr="00075CE7" w:rsidRDefault="00CC01C7" w:rsidP="00CC01C7">
      <w:pPr>
        <w:pStyle w:val="NormalHanging12a"/>
        <w:rPr>
          <w:bCs/>
          <w:iCs/>
        </w:rPr>
      </w:pPr>
      <w:r w:rsidRPr="00075CE7">
        <w:t>25.</w:t>
      </w:r>
      <w:r w:rsidRPr="00075CE7">
        <w:tab/>
        <w:t>fremhæver behovet for, at Global Gateway-investeringer bringes i overensstemmelse med EU’s eksisterende due diligence-procedurer og er åbne og gavnlige for lokale og regionale markedsaktører og civilsamfundet og bidrager til at lukke infrastruktur- og ulighedskløfter, herunder dem, der vedrører digital fattigdom og energifattigdom, navnlig i landdistrikter og perifere områder, og sikrer, at de fordele, der er forbundet med vedvarende energi og mineralproduktion, såsom indtægter og arbejdspladser, mærkes af lokalsamfund og producentlande; opfordrer til, at partnerlandene kortlægger disse kløfter i samråd med lokale virksomheder, lokalsamfund og civilsamfundsaktører; fremhæver, at disse projekter skal ledsages af lokal værdiskabelse og overholde principperne om universel tilgængelighed og udformning for alle for at sikre, at infrastrukturen ikke skaber nye hindringer, og tilskynder til fuld inklusion af personer med handicap i de mest sårbare miljøer;</w:t>
      </w:r>
    </w:p>
    <w:p w14:paraId="58AA19B1" w14:textId="77777777" w:rsidR="00CC01C7" w:rsidRPr="00075CE7" w:rsidRDefault="00CC01C7" w:rsidP="00CC01C7">
      <w:pPr>
        <w:pStyle w:val="NormalHanging12a"/>
        <w:rPr>
          <w:bCs/>
          <w:iCs/>
        </w:rPr>
      </w:pPr>
      <w:r w:rsidRPr="00075CE7">
        <w:t>26.</w:t>
      </w:r>
      <w:r w:rsidRPr="00075CE7">
        <w:tab/>
        <w:t>understreger, at Global Gateway-energiprojekter bør udformes med tilstrækkelig fleksibilitet til at reagere på skiftende teknologiske og markedsmæssige behov i partnerlandene; opfordrer Kommissionen til at medtage mekanismer til regelmæssig revision og, hvor det er relevant, omfordeling eller tilpasning af investeringer for at sikre, at projekterne forbliver relevante, omkostningseffektive og tilpasset partnerlandenes skiftende energibehov;</w:t>
      </w:r>
    </w:p>
    <w:p w14:paraId="10A87897" w14:textId="77777777" w:rsidR="00CC01C7" w:rsidRPr="00075CE7" w:rsidRDefault="00CC01C7" w:rsidP="00CC01C7">
      <w:pPr>
        <w:pStyle w:val="NormalHanging12a"/>
        <w:rPr>
          <w:bCs/>
          <w:iCs/>
        </w:rPr>
      </w:pPr>
      <w:r w:rsidRPr="00075CE7">
        <w:t>27.</w:t>
      </w:r>
      <w:r w:rsidRPr="00075CE7">
        <w:tab/>
        <w:t xml:space="preserve">understreger, at investeringer i grøn energi under Global Gateway skal være konfliktfølsomme og baseret på principperne om retfærdig og gennemsigtig ressourceforvaltning, navnlig når udvinding af kritiske råstoffer er involveret; opfordrer til overvågning af potentielle skadelige indvirkninger på miljøet og menneskerettighederne og af risikoen for at forværre ulighed og konflikter, herunder i skrøbelige sammenhænge; understreger navnlig, at dette vedrører store </w:t>
      </w:r>
      <w:r w:rsidRPr="00075CE7">
        <w:lastRenderedPageBreak/>
        <w:t>infrastrukturprojekter såsom hybride kraftværker, brintprojekter, udvinding af litium, datacentre, havneudvidelser, lufthavne og transportkorridorer;</w:t>
      </w:r>
    </w:p>
    <w:p w14:paraId="2A26F1CD" w14:textId="77777777" w:rsidR="00CC01C7" w:rsidRPr="00075CE7" w:rsidRDefault="00CC01C7" w:rsidP="00CC01C7">
      <w:pPr>
        <w:pStyle w:val="NormalHanging12a"/>
        <w:rPr>
          <w:bCs/>
          <w:iCs/>
        </w:rPr>
      </w:pPr>
      <w:r w:rsidRPr="00075CE7">
        <w:t>28.</w:t>
      </w:r>
      <w:r w:rsidRPr="00075CE7">
        <w:tab/>
        <w:t>understreger, at voksende vandusikkerhed er begyndt at udgøre en stor trussel mod de økonomiske vækstperspektiver i partnerlandene, og foreslår, at Global Gateway omfatter vandprojekter og -politikker; anerkender, at bæredygtig økonomisk udvikling også afhænger af god tilstand i vandområder, og opfordrer til systematisk integration af en "blå dimension" i Global Gateway-investeringer, som understøtter vandsikkerhed, modstandsdygtighed over for klimaændringer og langsigtet socioøkonomisk udvikling;</w:t>
      </w:r>
    </w:p>
    <w:p w14:paraId="3317211C" w14:textId="77777777" w:rsidR="00CC01C7" w:rsidRPr="00075CE7" w:rsidRDefault="00CC01C7" w:rsidP="00CC01C7">
      <w:pPr>
        <w:pStyle w:val="NormalHanging12a"/>
        <w:rPr>
          <w:bCs/>
          <w:iCs/>
        </w:rPr>
      </w:pPr>
      <w:r w:rsidRPr="00075CE7">
        <w:t>29.</w:t>
      </w:r>
      <w:r w:rsidRPr="00075CE7">
        <w:tab/>
        <w:t>understreger det potentiale, som Global Gateway giver for indsatsen for at modvirke klimaændringer med investeringer, der kan bidrage til at skabe emissionskreditter af høj kvalitet i partnerlande og levere gensidigt fordelagtige resultater;</w:t>
      </w:r>
    </w:p>
    <w:p w14:paraId="195E0EA2" w14:textId="77777777" w:rsidR="00CC01C7" w:rsidRPr="00075CE7" w:rsidRDefault="00CC01C7" w:rsidP="00CC01C7">
      <w:pPr>
        <w:pStyle w:val="NormalHanging12a"/>
        <w:rPr>
          <w:bCs/>
          <w:iCs/>
        </w:rPr>
      </w:pPr>
      <w:r w:rsidRPr="00075CE7">
        <w:t>30.</w:t>
      </w:r>
      <w:r w:rsidRPr="00075CE7">
        <w:tab/>
        <w:t>opfordrer til en præcisering af, i hvilket omfang Global Gateway fortsat fuldt ud er en del af partnerskabet for global infrastruktur og globale investeringer, et fælles G7-tilsagn om at støtte offentlige og private investeringer i bæredygtig, inklusiv modstandsdygtig og højkvalitetsinfrastruktur;</w:t>
      </w:r>
    </w:p>
    <w:p w14:paraId="48642010" w14:textId="77777777" w:rsidR="00CC01C7" w:rsidRPr="00075CE7" w:rsidRDefault="00CC01C7" w:rsidP="00CC01C7">
      <w:pPr>
        <w:pStyle w:val="NormalHanging12a"/>
        <w:rPr>
          <w:bCs/>
          <w:iCs/>
        </w:rPr>
      </w:pPr>
      <w:r w:rsidRPr="00075CE7">
        <w:t>31.</w:t>
      </w:r>
      <w:r w:rsidRPr="00075CE7">
        <w:tab/>
        <w:t xml:space="preserve">opfordrer til et tættere samarbejde med ligesindede partnere med henblik på at opbygge et modstandsdygtigt net af pålidelig </w:t>
      </w:r>
      <w:proofErr w:type="spellStart"/>
      <w:r w:rsidRPr="00075CE7">
        <w:t>konnektivitet</w:t>
      </w:r>
      <w:proofErr w:type="spellEnd"/>
      <w:r w:rsidRPr="00075CE7">
        <w:t>, navnlig, men ikke udelukkende, partnere såsom Det Forenede Kongerige, Canada, Japan, Australien, New Zealand, Republikken Korea, Indien og Taiwan;</w:t>
      </w:r>
    </w:p>
    <w:p w14:paraId="442EDD07" w14:textId="77777777" w:rsidR="00CC01C7" w:rsidRPr="00075CE7" w:rsidRDefault="00CC01C7" w:rsidP="00CC01C7">
      <w:pPr>
        <w:pStyle w:val="NormalHanging12a"/>
      </w:pPr>
      <w:r w:rsidRPr="00075CE7">
        <w:t>32.</w:t>
      </w:r>
      <w:r w:rsidRPr="00075CE7">
        <w:tab/>
        <w:t>fremhæver behovet for fortsat samarbejde og koordinering med FN og dets agenturer, hvilket har potentiale til at forbedre EU's globale tilstedeværelse, og hvordan det opfattes i udlandet; opfordrer derfor Kommissionen til sammen med medlemsstaterne gennem Team Europe og alle andre relevante, ligesindede Global Gateway-partnere at bygge videre på FN's lokale viden, tekniske ekspertise og rolle med hensyn til at skabe et gunstigt miljø, sikre lokalt ejerskab, fremme inklusiv og bæredygtig udvikling og støtte partnerlandene i opbygningen af modstandsdygtige systemer for sundhed, uddannelse og social beskyttelse;</w:t>
      </w:r>
    </w:p>
    <w:p w14:paraId="54E23FDE" w14:textId="77777777" w:rsidR="00CC01C7" w:rsidRPr="00075CE7" w:rsidRDefault="00CC01C7" w:rsidP="00CC01C7">
      <w:pPr>
        <w:pStyle w:val="Normal12a"/>
      </w:pPr>
      <w:r w:rsidRPr="00075CE7">
        <w:rPr>
          <w:b/>
          <w:i/>
        </w:rPr>
        <w:t>Udviklingssamarbejde</w:t>
      </w:r>
    </w:p>
    <w:p w14:paraId="06B8F7D3" w14:textId="77777777" w:rsidR="00CC01C7" w:rsidRPr="00075CE7" w:rsidRDefault="00CC01C7" w:rsidP="00CC01C7">
      <w:pPr>
        <w:pStyle w:val="NormalHanging12a"/>
      </w:pPr>
      <w:r w:rsidRPr="00075CE7">
        <w:t>33.</w:t>
      </w:r>
      <w:r w:rsidRPr="00075CE7">
        <w:tab/>
        <w:t>understreger, at EU og dets medlemsstater fortsat er de største leverandører af officiel udviklingsbistand på verdensplan; understreger, at EU også har et stort økonomisk aktiv i sin evne til at give adgang til et attraktivt indre marked, samtidig med at det er i stand til at forstå og respektere de lokale forhold og imødekomme behovene for menneskelig udvikling, miljøbeskyttelse og lokal, anstændig jobskabelse;</w:t>
      </w:r>
    </w:p>
    <w:p w14:paraId="01081AC5" w14:textId="77777777" w:rsidR="00CC01C7" w:rsidRPr="00075CE7" w:rsidRDefault="00CC01C7" w:rsidP="00CC01C7">
      <w:pPr>
        <w:pStyle w:val="NormalHanging12a"/>
      </w:pPr>
      <w:r w:rsidRPr="00075CE7">
        <w:t>34.</w:t>
      </w:r>
      <w:r w:rsidRPr="00075CE7">
        <w:tab/>
        <w:t>fremhæver Global Gateways potentiale som et virkningsfuldt redskab til at mobilisere de midler, der er nødvendige for at nå FN's verdensmål for bæredygtig udvikling, og for at imødekomme mange partnerlandes interesse i private investeringer og den globale integration af lokale værdikæder;</w:t>
      </w:r>
    </w:p>
    <w:p w14:paraId="2EF7A520" w14:textId="77777777" w:rsidR="00CC01C7" w:rsidRPr="00075CE7" w:rsidRDefault="00CC01C7" w:rsidP="00CC01C7">
      <w:pPr>
        <w:pStyle w:val="NormalHanging12a"/>
      </w:pPr>
      <w:r w:rsidRPr="00075CE7">
        <w:t>35.</w:t>
      </w:r>
      <w:r w:rsidRPr="00075CE7">
        <w:tab/>
        <w:t xml:space="preserve">understreger, at EU's udviklingssamarbejde fortsat skal yde støtte til partnerlande i sammenhænge, hvor Global Gateway ikke er et passende svar på deres behov; understreger, at skrøbelige og konfliktramte sammenhænge kræver særlig opmærksomhed og skræddersyede investeringsformer såsom tilskud og en samordnet indsats blandt humanitære aktører, udviklingsaktører og fredsaktører, herunder i de mindst udviklede lande, som supplerer eller rækker ud over Global Gateway, med </w:t>
      </w:r>
      <w:r w:rsidRPr="00075CE7">
        <w:lastRenderedPageBreak/>
        <w:t>særligt fokus på at samarbejde med og styrke lokale aktører; opfordrer til en ambitiøs strategi med en menneskecentreret tilgang til skrøbelige kontekster med henblik på at gennemføre fredsopbygning gennem sammenhængen mellem humanitær bistand, udvikling og fred; understreger i denne forbindelse, at traditionel officiel udviklingsbistand ikke bør omdirigeres derfra, hvor der er størst behov for den, og at den fortsat skal være et vigtigt redskab til at støtte sektorer såsom sundhedspleje, uddannelse, lokale mindre landbrug, fødevaresikkerhed, ernæring, vand, passende boliger og social beskyttelse, som er forudsætninger for stabile, inkluderende og velstående samfund, mens EU bør forbedre overvågningen for at sikre, at officiel udviklingsbistand ikke omdirigeres til kriminelle eller korrupte formål; understreger, at offentlig-private partnerskaber kan supplere, men ikke må erstatte officiel udviklingsbistand til menneskelig udvikling;</w:t>
      </w:r>
    </w:p>
    <w:p w14:paraId="6D8680E2" w14:textId="77777777" w:rsidR="00CC01C7" w:rsidRPr="00075CE7" w:rsidRDefault="00CC01C7" w:rsidP="00CC01C7">
      <w:pPr>
        <w:pStyle w:val="NormalHanging12a"/>
      </w:pPr>
      <w:r w:rsidRPr="00075CE7">
        <w:t>36.</w:t>
      </w:r>
      <w:r w:rsidRPr="00075CE7">
        <w:tab/>
        <w:t>opfordrer til fortsat støtte gennem Global Gateway-projekter til styrkelse af det globale beredskab over for sundhedstrusler ved at investere i udviklingen af forebyggelses-, beredskabs- og indsatskapacitet og bæredygtige lokale produktions- og kapacitetsopbygningsinitiativer i partnerlande;</w:t>
      </w:r>
    </w:p>
    <w:p w14:paraId="5C0B55A6" w14:textId="77777777" w:rsidR="00CC01C7" w:rsidRPr="00075CE7" w:rsidRDefault="00CC01C7" w:rsidP="00CC01C7">
      <w:pPr>
        <w:pStyle w:val="NormalHanging12a"/>
      </w:pPr>
      <w:r w:rsidRPr="00075CE7">
        <w:t>37.</w:t>
      </w:r>
      <w:r w:rsidRPr="00075CE7">
        <w:tab/>
        <w:t>anerkender, at et betydeligt antal Global Gateway-partnerlande er stærkt afhængige af landbruget som en primær kilde til indkomst, beskæftigelse og fødevaresikkerhed; opfordrer Kommissionen til at sikre, at fremtidige strategiske revisioner og gennemførelsesvurderinger af Global Gateway tager hensyn til landbrugssektorens specifikke behov og udviklingspotentiale i partnerlandene; erkender, at solid offentlig finansiering, der er støttet af vedvarende donorforpligtelser, er afgørende for at opnå holistiske og bæredygtige resultater inden for menneskelig udvikling; bekræfter, at privat investering og innovativ finansiering kan spille vigtige supplerende roller ved siden af, men ikke i stedet for solid offentlig finansiering;</w:t>
      </w:r>
    </w:p>
    <w:p w14:paraId="39E1A6FC" w14:textId="77777777" w:rsidR="00CC01C7" w:rsidRPr="00075CE7" w:rsidRDefault="00CC01C7" w:rsidP="00CC01C7">
      <w:pPr>
        <w:pStyle w:val="NormalHanging12a"/>
        <w:rPr>
          <w:bCs/>
          <w:iCs/>
        </w:rPr>
      </w:pPr>
      <w:r w:rsidRPr="00075CE7">
        <w:t>38.</w:t>
      </w:r>
      <w:r w:rsidRPr="00075CE7">
        <w:tab/>
        <w:t>understreger, at 360-graderstilgangen også indebærer støtte til udvikling af uddannelse, ligestilling og inklusion, navnlig med hensyn til unge og ligestilling mellem kønnene; bemærker, at dette kræver omfattende politiske indgreb og kapacitetsopbygning; understreger, at EU gennem denne tilgang kan skabe lige vilkår for europæiske virksomheder, navnlig over for udenlandske investorer, samtidig med at kravene til lokalt indhold overholdes, partnerlandenes udviklingsbehov støttes og Team Europes synlighed øges;</w:t>
      </w:r>
    </w:p>
    <w:p w14:paraId="20CFD7AF" w14:textId="77777777" w:rsidR="00CC01C7" w:rsidRPr="00075CE7" w:rsidRDefault="00CC01C7" w:rsidP="00CC01C7">
      <w:pPr>
        <w:pStyle w:val="NormalHanging12a"/>
        <w:rPr>
          <w:bCs/>
          <w:iCs/>
        </w:rPr>
      </w:pPr>
      <w:r w:rsidRPr="00075CE7">
        <w:t>39.</w:t>
      </w:r>
      <w:r w:rsidRPr="00075CE7">
        <w:tab/>
        <w:t>understreger behovet for Global Gateway-projekter for at integrere børns rettigheder som en del af Unionens grundlæggende principper og sikre beskyttelse mod udnyttelse og børnearbejde samt for programmer, der forbedrer adgangen til uddannelse, sundhed og social beskyttelse; opfordrer til en konsolideret indsats for at forbedre investeringsklimaet på lokalt og nationalt plan i partnerlandene, herunder kapacitetsopbygning, der skal understøtte reformer på områder som investeringsfremme, offentlige udbud, konkurrencepolitik og det overordnede erhvervsklima, og støtte til stærke regnskabssystemer; understreger, at opbygning af en stabil økonomisk infrastruktur og en pålidelig fungerende stat og forøgelse af den lokale produktionskapacitet er vigtige faktorer for den langsigtede udryddelse af fattigdom; minder om, at lokale virksomheder ofte står over for monetære og likviditetsmæssige udfordringer på grund af ustabile valutakurser og deres valutaers begrænsede konvertibilitet, hvilket kan begrænse deres deltagelse i internationale projekter og undergrave deres finansielle stabilitet;</w:t>
      </w:r>
    </w:p>
    <w:p w14:paraId="609208A6" w14:textId="77777777" w:rsidR="00CC01C7" w:rsidRPr="00075CE7" w:rsidRDefault="00CC01C7" w:rsidP="00CC01C7">
      <w:pPr>
        <w:pStyle w:val="NormalHanging12a"/>
        <w:rPr>
          <w:bCs/>
          <w:iCs/>
        </w:rPr>
      </w:pPr>
      <w:r w:rsidRPr="00075CE7">
        <w:lastRenderedPageBreak/>
        <w:t>40.</w:t>
      </w:r>
      <w:r w:rsidRPr="00075CE7">
        <w:tab/>
        <w:t xml:space="preserve">understreger betydningen af akademisk og videnskabeligt samarbejde som en søjle i Global Gateways digitale dagsorden og innovationsdagsorden; opfordrer Kommissionen til at udnytte Horisont Europa, Erasmus+ og globale udvekslingsprogrammer i synergi med Global Gateway-projekter for at give talentfulde studerende mulighed for at studere i Europa og øge den lokale ekspertise i partnerlandene og til at fremme forskningssamarbejde, </w:t>
      </w:r>
      <w:proofErr w:type="spellStart"/>
      <w:r w:rsidRPr="00075CE7">
        <w:t>videnudveksling</w:t>
      </w:r>
      <w:proofErr w:type="spellEnd"/>
      <w:r w:rsidRPr="00075CE7">
        <w:t xml:space="preserve"> og udvikling af digitale færdigheder; understreger, at en sådan tilgang vil styrke uddannelses- og forskningskapaciteten globalt og sikre, at investeringer i </w:t>
      </w:r>
      <w:proofErr w:type="spellStart"/>
      <w:r w:rsidRPr="00075CE7">
        <w:t>konnektivitet</w:t>
      </w:r>
      <w:proofErr w:type="spellEnd"/>
      <w:r w:rsidRPr="00075CE7">
        <w:t xml:space="preserve"> ledsages af udvikling af menneskelig kapital og teknologioverførsel;</w:t>
      </w:r>
    </w:p>
    <w:p w14:paraId="5D62AB5C" w14:textId="77777777" w:rsidR="00CC01C7" w:rsidRPr="00075CE7" w:rsidRDefault="00CC01C7" w:rsidP="00CC01C7">
      <w:pPr>
        <w:pStyle w:val="NormalHanging12a"/>
        <w:rPr>
          <w:bCs/>
          <w:iCs/>
        </w:rPr>
      </w:pPr>
      <w:r w:rsidRPr="00075CE7">
        <w:t>41.</w:t>
      </w:r>
      <w:r w:rsidRPr="00075CE7">
        <w:tab/>
        <w:t>opfordrer EU til at bruge sin politiske og økonomiske vægt til at fremme en global dagsorden for retfærdighed og langsigtet bæredygtighed; understreger, at Global Gateway-investeringer skal bidrage med at mindske uligheder, støtte menneskelig udvikling og fremme inklusive og retfærdige systemer, der inddrager og når ud til de fattigste 40 % af befolkningen samt dem, der er mest udsatte for udstødelse, herunder personer med handicap, kvinder, piger og fordrevne befolkningsgrupper; fremhæver, at udviklingssamarbejdet bør styrke partnerlandenes finansielle systemer; understreger, at sådanne bestræbelser bør være baseret på Global Gateways 360-graders tilgang og overvåges;</w:t>
      </w:r>
    </w:p>
    <w:p w14:paraId="2D54C735" w14:textId="77777777" w:rsidR="00CC01C7" w:rsidRPr="00075CE7" w:rsidRDefault="00CC01C7" w:rsidP="00CC01C7">
      <w:pPr>
        <w:pStyle w:val="NormalHanging12a"/>
        <w:rPr>
          <w:bCs/>
          <w:iCs/>
        </w:rPr>
      </w:pPr>
      <w:r w:rsidRPr="00075CE7">
        <w:t>42.</w:t>
      </w:r>
      <w:r w:rsidRPr="00075CE7">
        <w:tab/>
        <w:t>mener, at investeringer bør fremme anstændige, tilgængelige og bæredygtige job med særligt fokus på inklusion af sårbare grupper på arbejdsmarkedet; understreger endvidere, at investeringer bør støttes af erhvervsuddannelse og færdigheder, viden- og teknologioverførsel med relaterede lokale uddannelsesinstitutioner og uddannelsescentre og gennem læreruddannelse, grundlæggende læring, tilgængelig infrastruktur og tilpasset undervisningsmateriale, samtidig med at det sikres, at programmerne er tilpasset den socioøkonomiske kontekst i hvert partnerland, og at de styrker landets produktionsstruktur;</w:t>
      </w:r>
    </w:p>
    <w:p w14:paraId="286B0D7A" w14:textId="77777777" w:rsidR="00CC01C7" w:rsidRPr="00075CE7" w:rsidRDefault="00CC01C7" w:rsidP="00CC01C7">
      <w:pPr>
        <w:pStyle w:val="NormalHanging12a"/>
        <w:rPr>
          <w:bCs/>
          <w:iCs/>
        </w:rPr>
      </w:pPr>
      <w:r w:rsidRPr="00075CE7">
        <w:t>43.</w:t>
      </w:r>
      <w:r w:rsidRPr="00075CE7">
        <w:tab/>
        <w:t xml:space="preserve">bemærker, at mange partnere mangler de finansielle ressourcer til store infrastrukturprojekter; understreger i denne henseende, at Global Gateway sætter stærkt fokus på infrastrukturudvikling og kapacitetsopbygning for at fungere som katalysator for bæredygtig vækst og regional integration samt </w:t>
      </w:r>
      <w:proofErr w:type="spellStart"/>
      <w:r w:rsidRPr="00075CE7">
        <w:t>konnektivitet</w:t>
      </w:r>
      <w:proofErr w:type="spellEnd"/>
      <w:r w:rsidRPr="00075CE7">
        <w:t xml:space="preserve"> med EU; bemærker, at Global Gateway-flagskibsprojekterne for 2023, 2024 og 2025 har haft særligt fokus på infrastruktur, idet mindre end 10 % vedrørte uddannelse og forskning, og lidt over 10 % fokuserede på sundhedssektoren; fremhæver, at højere investeringsniveauer inden for sundhed, uddannelse og forskning kan give et højere økonomisk og socialt afkast end investeringer i infrastruktur;</w:t>
      </w:r>
    </w:p>
    <w:p w14:paraId="2DF0D744" w14:textId="77777777" w:rsidR="00CC01C7" w:rsidRPr="00075CE7" w:rsidRDefault="00CC01C7" w:rsidP="00CC01C7">
      <w:pPr>
        <w:pStyle w:val="NormalHanging12a"/>
      </w:pPr>
      <w:r w:rsidRPr="00075CE7">
        <w:t>44.</w:t>
      </w:r>
      <w:r w:rsidRPr="00075CE7">
        <w:tab/>
        <w:t xml:space="preserve">påpeger, at mange udviklingslande, navnlig i Afrika syd for Sahara, står over for en høj offentlig gæld, hvilket hæmmer deres evne til at investere og levere sociale og grundlæggende tjenesteydelser; bemærker, at Kina er den største bilaterale kreditor for mange udviklingslande, og at landets udlånspraksis har bidraget til stigende gældsniveauer; bemærker, at Global Gateway-projekter findes i adskillige stærkt </w:t>
      </w:r>
      <w:proofErr w:type="spellStart"/>
      <w:r w:rsidRPr="00075CE7">
        <w:t>gældstyngede</w:t>
      </w:r>
      <w:proofErr w:type="spellEnd"/>
      <w:r w:rsidRPr="00075CE7">
        <w:t xml:space="preserve"> fattige lande; understreger, at Global Gateway-projekter bør undgå at forværre gælden eller skabe nye "gældsfælder"; opfordrer EU og dets medlemsstater til at mindske og lette gældsbyrden for udviklingslande, især dem i det globale syd, ved at støtte global gældslettelse og gældsomlægning under hensyntagen til FN's Konference om Handel og Udviklings principper om fremme af ansvarlig statslig långivning og låntagning samt OECD's principper for gældsbæredygtighed; bemærker, at det nuværende kreditvurderingssystem i uforholdsmæssig grad gavner landene i det globale nord i forhold til landene i det globale syd; opfordrer Kommissionen til at tage hensyn </w:t>
      </w:r>
      <w:r w:rsidRPr="00075CE7">
        <w:lastRenderedPageBreak/>
        <w:t>til disse højere opfattede risici og låneomkostninger; insisterer på, at Global Gateway bør tilbyde retfærdige omstillings- og investeringsaftaler, aftaler om gæld-for-natur eller gæld-for-klima; bemærker, at der i henhold til Parisaftalens artikel 6, stk. 4, bør tages højde for Global Gateway-projekter vedrørende grøn omstilling for deres bidrag til internationale kreditter af høj kvalitet;</w:t>
      </w:r>
    </w:p>
    <w:p w14:paraId="0B7F0C4B" w14:textId="77777777" w:rsidR="00CC01C7" w:rsidRPr="00075CE7" w:rsidRDefault="00CC01C7" w:rsidP="00CC01C7">
      <w:pPr>
        <w:pStyle w:val="NormalHanging12a"/>
        <w:rPr>
          <w:bCs/>
          <w:iCs/>
        </w:rPr>
      </w:pPr>
      <w:r w:rsidRPr="00075CE7">
        <w:t>45.</w:t>
      </w:r>
      <w:r w:rsidRPr="00075CE7">
        <w:tab/>
        <w:t>fremhæver, at adgang til finansiering fortsat er en central udfordring for mange udviklingslande; glæder sig over initiativer, der har til formål at støtte udviklingslande i at overvinde hindringer for adgang til finansiering; anerkender betydningen af tilskud til at frigøre andre former for finansiering;</w:t>
      </w:r>
    </w:p>
    <w:p w14:paraId="240762C1" w14:textId="77777777" w:rsidR="00CC01C7" w:rsidRPr="00075CE7" w:rsidRDefault="00CC01C7" w:rsidP="00CC01C7">
      <w:pPr>
        <w:pStyle w:val="NormalHanging12a"/>
        <w:rPr>
          <w:bCs/>
          <w:iCs/>
        </w:rPr>
      </w:pPr>
      <w:r w:rsidRPr="00075CE7">
        <w:t>46.</w:t>
      </w:r>
      <w:r w:rsidRPr="00075CE7">
        <w:tab/>
        <w:t>opfordrer indtrængende Kommissionen til at etablere de nødvendige mekanismer til at sikre, at alle partnere, der deltager i Global Gateway-projekter, fuldt ud overholder EU-lovgivningen og relevante internationale standarder inden for bekæmpelse af bestikkelse, bekæmpelse af korruption og finansiel integritet, herunder integritetskontroller, risikovurderings- og forvaltningsværktøjer og overvågningssystemer til at forebygge, opdage og bekæmpe korruption, ulovlige finansielle strømme og andre former for uetisk adfærd;</w:t>
      </w:r>
    </w:p>
    <w:p w14:paraId="4A6440DB" w14:textId="77777777" w:rsidR="00CC01C7" w:rsidRPr="00075CE7" w:rsidRDefault="00CC01C7" w:rsidP="00CC01C7">
      <w:pPr>
        <w:pStyle w:val="NormalHanging12a"/>
      </w:pPr>
      <w:r w:rsidRPr="00075CE7">
        <w:t>47.</w:t>
      </w:r>
      <w:r w:rsidRPr="00075CE7">
        <w:tab/>
        <w:t>understreger behovet for tidlig, inkluderende og passende høring af partnerlandene inden for rammerne af Global Gateway-forvaltningen, inden der iværksættes projekter for at sikre overholdelse af principperne om udviklingseffektivitet, herunder lokalt ejerskab;</w:t>
      </w:r>
    </w:p>
    <w:p w14:paraId="0318FAFD" w14:textId="77777777" w:rsidR="00CC01C7" w:rsidRPr="00075CE7" w:rsidRDefault="00CC01C7" w:rsidP="00CC01C7">
      <w:pPr>
        <w:pStyle w:val="NormalHanging12a"/>
      </w:pPr>
      <w:r w:rsidRPr="00075CE7">
        <w:t>48.</w:t>
      </w:r>
      <w:r w:rsidRPr="00075CE7">
        <w:tab/>
        <w:t>opfordrer Kommissionen til at træffe de nødvendige foranstaltninger til at lette deltagelsen af små og mellemstore virksomheder (SMV'er), herunder kooperativer og socialøkonomiske virksomheder, i Global Gateway, herunder ved at etablere strømlinede processer og særlige finansielle vinduer, målrettet opsøgende arbejde, forenklet adgang til udbud og støttemekanismer for at forbedre deres internationale konkurrenceevne; fremhæver SMV'ernes betydning for lokal jobskabelse, lokalt ejerskab og værditilvækst og anmoder om, at der tages behørigt hensyn til deres særlige karakteristika, f.eks. med hensyn til størrelsen og den finansielle volumen af de projekter, de er i stand til at gennemføre, og kapaciteten til at opfylde rapporteringsforpligtelserne; understreger, at europæiske SMV'er sammen med partnerlandenes SMV'er er vigtige gennemførelsespartnere for Global Gateway; understreger, at Global Gateway bør skabe gensidige fordele ved at skabe bæredygtige værdikæder, innovation og kvalitetsjob i EU;</w:t>
      </w:r>
    </w:p>
    <w:p w14:paraId="70615ED3" w14:textId="77777777" w:rsidR="00CC01C7" w:rsidRPr="00075CE7" w:rsidRDefault="00CC01C7" w:rsidP="00CC01C7">
      <w:pPr>
        <w:pStyle w:val="NormalHanging12a"/>
        <w:rPr>
          <w:bCs/>
          <w:iCs/>
        </w:rPr>
      </w:pPr>
      <w:r w:rsidRPr="00075CE7">
        <w:t>49.</w:t>
      </w:r>
      <w:r w:rsidRPr="00075CE7">
        <w:tab/>
        <w:t>anmoder Kommissionen om at inddrage de lokale og regionale myndigheder mere effektivt og på et tidligere tidspunkt i projektudformningen, beslutningstagningen og finansieringen; fremhæver deres dobbeltrolle som implementeringspartnere og modtagere; minder om, at mange beslutninger vedrørende gennemførelsen af ​​projekter træffes på subnationalt plan, hvor borgernes interesser og behov bør tages nøje i betragtning;</w:t>
      </w:r>
    </w:p>
    <w:p w14:paraId="627FB738" w14:textId="77777777" w:rsidR="00CC01C7" w:rsidRPr="00075CE7" w:rsidRDefault="00CC01C7" w:rsidP="00CC01C7">
      <w:pPr>
        <w:pStyle w:val="Normal12a"/>
      </w:pPr>
      <w:r w:rsidRPr="00075CE7">
        <w:rPr>
          <w:b/>
          <w:i/>
        </w:rPr>
        <w:t xml:space="preserve">Forvaltning </w:t>
      </w:r>
    </w:p>
    <w:p w14:paraId="58A4C5C5" w14:textId="77777777" w:rsidR="00CC01C7" w:rsidRPr="00075CE7" w:rsidRDefault="00CC01C7" w:rsidP="00CC01C7">
      <w:pPr>
        <w:pStyle w:val="NormalHanging12a"/>
        <w:rPr>
          <w:bCs/>
          <w:iCs/>
        </w:rPr>
      </w:pPr>
      <w:r w:rsidRPr="00075CE7">
        <w:t>50.</w:t>
      </w:r>
      <w:r w:rsidRPr="00075CE7">
        <w:tab/>
        <w:t>anbefaler en revision af forvaltningsstrukturen for Global Gateway og kræver en mere meningsfuld inddragelse af Parlamentet på lige fod med medlemsstaterne;</w:t>
      </w:r>
    </w:p>
    <w:p w14:paraId="4443FC05" w14:textId="77777777" w:rsidR="00CC01C7" w:rsidRPr="00075CE7" w:rsidRDefault="00CC01C7" w:rsidP="00CC01C7">
      <w:pPr>
        <w:pStyle w:val="NormalHanging12a"/>
      </w:pPr>
      <w:r w:rsidRPr="00075CE7">
        <w:t>51.</w:t>
      </w:r>
      <w:r w:rsidRPr="00075CE7">
        <w:tab/>
        <w:t xml:space="preserve">beklager, at Global Gateway-styringsudvalget, trods planer om årlige møder, indtil videre kun har mødtes to gange, nemlig i december 2022 og oktober 2025, og med </w:t>
      </w:r>
      <w:r w:rsidRPr="00075CE7">
        <w:lastRenderedPageBreak/>
        <w:t>begrænset mulighed for indgående analyse og drøftelse eller fastlæggelse af retningen for fremtidige foranstaltninger og projekter; opfordrer Kommissionen til at sikre deltagelse på højt plan;</w:t>
      </w:r>
    </w:p>
    <w:p w14:paraId="7F282367" w14:textId="77777777" w:rsidR="00CC01C7" w:rsidRPr="00075CE7" w:rsidRDefault="00CC01C7" w:rsidP="00CC01C7">
      <w:pPr>
        <w:pStyle w:val="NormalHanging12a"/>
      </w:pPr>
      <w:r w:rsidRPr="00075CE7">
        <w:t>52.</w:t>
      </w:r>
      <w:r w:rsidRPr="00075CE7">
        <w:tab/>
        <w:t>bemærker, at styringsudvalget bør fungere som supplement til det fremtidige investeringsudvalg for et globalt Europa, og anmoder Kommissionen om at præcisere og afgrænse deres respektive mandater;</w:t>
      </w:r>
    </w:p>
    <w:p w14:paraId="41E33395" w14:textId="77777777" w:rsidR="00CC01C7" w:rsidRPr="00075CE7" w:rsidRDefault="00CC01C7" w:rsidP="00CC01C7">
      <w:pPr>
        <w:pStyle w:val="NormalHanging12a"/>
      </w:pPr>
      <w:r w:rsidRPr="00075CE7">
        <w:t>53.</w:t>
      </w:r>
      <w:r w:rsidRPr="00075CE7">
        <w:tab/>
        <w:t>anmoder om, at metoden til udvælgelse af flagskibsprojekter baseres på objektive og kvalitative kriterier, samtidig med at man undgår en skadelig spredning af projekter, maksimerer den samlede virkning og sikrer målbar succes; opfordrer Kommissionen til at præcisere merværdien af Global Gateway-flagskibsprojekter i forhold til ikkeflagskibsprojekter;</w:t>
      </w:r>
    </w:p>
    <w:p w14:paraId="443EBD0F" w14:textId="77777777" w:rsidR="00CC01C7" w:rsidRPr="00075CE7" w:rsidRDefault="00CC01C7" w:rsidP="00CC01C7">
      <w:pPr>
        <w:pStyle w:val="NormalHanging12a"/>
      </w:pPr>
      <w:r w:rsidRPr="00075CE7">
        <w:t>54.</w:t>
      </w:r>
      <w:r w:rsidRPr="00075CE7">
        <w:tab/>
        <w:t>anbefaler, at flagskibsprojekter udformes som økosystemer, hvor virksomheder i partnerlandene og i EU kan operere effektivt og trives; insisterer på at fremme "europæisk indhold" i flagskibsprojekter og på tidlig inddragelse af partnerlandene samt på klart at angive fordelene ved sådanne projekter i partnerlandene; opfordrer alle interessenter til at indgå i et langsigtet samarbejde, da investeringer, navnlig inden for infrastruktur, energi og minedrift er stærkt afhængige af langsigtet engagement og planlægningssikkerhed;</w:t>
      </w:r>
    </w:p>
    <w:p w14:paraId="35E7D1CD" w14:textId="77777777" w:rsidR="00CC01C7" w:rsidRPr="00075CE7" w:rsidRDefault="00CC01C7" w:rsidP="00CC01C7">
      <w:pPr>
        <w:pStyle w:val="NormalHanging12a"/>
      </w:pPr>
      <w:r w:rsidRPr="00075CE7">
        <w:t>55.</w:t>
      </w:r>
      <w:r w:rsidRPr="00075CE7">
        <w:tab/>
        <w:t>opfordrer Global Gateway-styringsudvalget til at overveje rapporter fra interessenterne og systematisk trække på statistisk dokumentation, der skal deles rettidigt og på en brugervenlig måde med medlemsstaterne og Parlamentet for at danne grundlag for politisk styring, forbedre koordineringen og om nødvendigt tilpasse den fremtidige programmering;</w:t>
      </w:r>
    </w:p>
    <w:p w14:paraId="196867C9" w14:textId="77777777" w:rsidR="00CC01C7" w:rsidRPr="00075CE7" w:rsidRDefault="00CC01C7" w:rsidP="00CC01C7">
      <w:pPr>
        <w:pStyle w:val="NormalHanging12a"/>
      </w:pPr>
      <w:r w:rsidRPr="00075CE7">
        <w:t>56.</w:t>
      </w:r>
      <w:r w:rsidRPr="00075CE7">
        <w:tab/>
        <w:t>foreslår, at Global Gateway-styringsudvalget bliver det centrale operationelle organ for gennemførelsen af Global Gateway, navnlig i forbindelse med fastlæggelsen af kriterierne for flagskibsprojekter, for udvælgelsen af flagskibsprojekter og for at sikre disse passende rammebetingelser og finansiering; anmoder om, at projekter og partnerskaber, der betragtes som "strategiske" i andre sammenhænge, tilpasses og bringes i overensstemmelse med flagskibsprojekter under Global Gateway; understreger, at styringsudvalgets sammensætning skal ændres til at omfatte deltagere, der er kompetente på operationelt plan, og at hyppigheden af dets møder skal øges, og at dets dagsordener skal være orienteret mod beslutningstagning; foreslår, at de rådgivende organer gennemgår den samme proces for "operationalisering";</w:t>
      </w:r>
    </w:p>
    <w:p w14:paraId="55625A57" w14:textId="77777777" w:rsidR="00CC01C7" w:rsidRPr="00075CE7" w:rsidRDefault="00CC01C7" w:rsidP="00CC01C7">
      <w:pPr>
        <w:pStyle w:val="NormalHanging12a"/>
        <w:rPr>
          <w:bCs/>
          <w:iCs/>
        </w:rPr>
      </w:pPr>
      <w:r w:rsidRPr="00075CE7">
        <w:t>57.</w:t>
      </w:r>
      <w:r w:rsidRPr="00075CE7">
        <w:tab/>
        <w:t>er af den opfattelse, at tilgangen til Global Gateway bør ændres fra en top-</w:t>
      </w:r>
      <w:proofErr w:type="spellStart"/>
      <w:r w:rsidRPr="00075CE7">
        <w:t>down</w:t>
      </w:r>
      <w:proofErr w:type="spellEnd"/>
      <w:r w:rsidRPr="00075CE7">
        <w:t>-tilgang til en efterspørgselsstyret tilgang; minder om, at en stærkere inddragelse af den europæiske private sektor er kernen i Global Gateway; foreslår derfor at sikre regelmæssig og gennemsigtig deltagelse af repræsentanter for den europæiske private sektor for at hjælpe med at udforme og videreudvikle Global Gateway; minder endvidere om, at Global Gateway-initiativet bør være partnerskabsbaseret og respektere og være afstemt nationale og lokale udviklingsplaner; opfordrer indtrængende til, at EU-delegationer og repræsentanter for partnerlandene, herunder repræsentanter for lokale myndigheder, civilsamfundet og erhvervslivet, indbydes til styringsudvalgets møder på ad hoc-basis;</w:t>
      </w:r>
    </w:p>
    <w:p w14:paraId="3930B105" w14:textId="77777777" w:rsidR="00CC01C7" w:rsidRPr="00075CE7" w:rsidRDefault="00CC01C7" w:rsidP="00CC01C7">
      <w:pPr>
        <w:pStyle w:val="NormalHanging12a"/>
        <w:rPr>
          <w:bCs/>
          <w:iCs/>
        </w:rPr>
      </w:pPr>
      <w:r w:rsidRPr="00075CE7">
        <w:t>58.</w:t>
      </w:r>
      <w:r w:rsidRPr="00075CE7">
        <w:tab/>
        <w:t xml:space="preserve">understreger EU-delegationernes afgørende rolle i koordineringen med lokale interessenter, kortlægningen af potentielle investeringsmuligheder, opbygningen af </w:t>
      </w:r>
      <w:r w:rsidRPr="00075CE7">
        <w:lastRenderedPageBreak/>
        <w:t>indgående viden om EU's konkurrenter og eksisterende mangler samt støtten til lokale partnere med henblik på at afstemme deres projektansøgninger efter både lokale prioriteter og EU's prioriteter, og opfordrer derfor til, at EU-delegationerne tilføres tilstrækkelige menneskelige, finansielle og tekniske ressourcer, herunder gennem målrettede uddannelsesprogrammer, så de kan udføre disse opgaver; er stærkt imod enhver plan om at skære ned på personalet i EU-delegationerne i partnerlandene;</w:t>
      </w:r>
    </w:p>
    <w:p w14:paraId="1C03D87F" w14:textId="77777777" w:rsidR="00CC01C7" w:rsidRPr="00075CE7" w:rsidRDefault="00CC01C7" w:rsidP="00CC01C7">
      <w:pPr>
        <w:pStyle w:val="NormalHanging12a"/>
        <w:rPr>
          <w:bCs/>
          <w:iCs/>
        </w:rPr>
      </w:pPr>
      <w:r w:rsidRPr="00075CE7">
        <w:t>59.</w:t>
      </w:r>
      <w:r w:rsidRPr="00075CE7">
        <w:tab/>
        <w:t>opfordrer Kommissionen og alle involverede interessenter til at sikre meningsfuld høring og deltagelse af Global Gateway-rådgivningsplatformen for civilsamfundet og lokale myndigheder og af lokale civilsamfundsorganisationer, marginaliserede grupper og fagforeninger, kvindeorganisationer og organisationer for personer med handicap samt lokale SMV'er og oprindelige folk, og til at skabe betingelserne for, at disse aktører kan spille deres demokratiske rolle og partnerskabsrolle ud over at give et gummistempel, herunder ved at sikre passende tidsrammer for, hyppighed af og opfølgning på resultatet af disse møder; bemærker, at platformen bør spille en supplerende rolle i forvaltningen af Global Gateway og bidrage meningsfuldt til udvælgelsen, udformningen og gennemførelsen af projekter og dermed forbedre legitimiteten og den lokale accept af Global Gateway-projekter;</w:t>
      </w:r>
    </w:p>
    <w:p w14:paraId="5A954525" w14:textId="77777777" w:rsidR="00CC01C7" w:rsidRPr="00075CE7" w:rsidRDefault="00CC01C7" w:rsidP="00CC01C7">
      <w:pPr>
        <w:pStyle w:val="NormalHanging12a"/>
      </w:pPr>
      <w:r w:rsidRPr="00075CE7">
        <w:t>60.</w:t>
      </w:r>
      <w:r w:rsidRPr="00075CE7">
        <w:tab/>
        <w:t>understreger behovet for hyppigere og mere operationelle høringer af erhvervsrådgivningsgruppen, herunder med erhvervsrepræsentanter fra det globale syd, med henblik på beslutningstagning og konkrete resultater; insisterer på, at potentielle interessekonflikter skal håndteres, herunder gennem krav om finansiel gennemsigtighed; foreslår, at medlemmerne af erhvervsrådgivningsgruppen erklærer deres engagement i Global Gateway-projekter; insisterer på betydningen af inddragelse af europæiske og lokale SMV'er i erhvervsrådgivningsgruppen;</w:t>
      </w:r>
    </w:p>
    <w:p w14:paraId="2B8A8172" w14:textId="77777777" w:rsidR="00CC01C7" w:rsidRPr="00075CE7" w:rsidRDefault="00CC01C7" w:rsidP="00CC01C7">
      <w:pPr>
        <w:pStyle w:val="NormalHanging12a"/>
        <w:rPr>
          <w:bCs/>
          <w:iCs/>
        </w:rPr>
      </w:pPr>
      <w:r w:rsidRPr="00075CE7">
        <w:t>61.</w:t>
      </w:r>
      <w:r w:rsidRPr="00075CE7">
        <w:tab/>
        <w:t>minder om Parlamentets stærke rolle i udformningen af EU's økonomiske, klimamæssige, digitale, handelsmæssige og konkurrencemæssige politikker; fremhæver, at den nuværende forvaltning af Global Gateway endnu ikke har gjort det muligt for Parlamentet at udøve sine kontrolopgaver eller bidrage til parlamentarisk diplomati;</w:t>
      </w:r>
    </w:p>
    <w:p w14:paraId="7B94C68E" w14:textId="77777777" w:rsidR="00CC01C7" w:rsidRPr="00075CE7" w:rsidRDefault="00CC01C7" w:rsidP="00CC01C7">
      <w:pPr>
        <w:pStyle w:val="NormalHanging12a"/>
        <w:rPr>
          <w:bCs/>
          <w:iCs/>
        </w:rPr>
      </w:pPr>
      <w:r w:rsidRPr="00075CE7">
        <w:t>62.</w:t>
      </w:r>
      <w:r w:rsidRPr="00075CE7">
        <w:tab/>
        <w:t>mener, at en stærkere inddragelse af Parlamentet som EU’s eneste direkte demokratisk valgte institution er afgørende for at sikre Global Gateways demokratiske legitimitet, gennemsigtighed og politiske sammenhæng og for at øge dens synlighed; understreger Parlamentets afgørende kontrol- og strategiske styringsrolle, herunder øget parlamentarisk tilsyn med projektudpegninger, -udvælgelse og -gennemførelse samt systematisk evaluering af resultater og indvirkning; fremhæver, at Europa-Parlamentet skal spille en central rolle med hensyn til at sikre, at Global Gateway-investeringer gør effektiv brug af ressourcer og er i fuld overensstemmelse med EU's værdier, udviklingsmål og bæredygtighedsstandarder;</w:t>
      </w:r>
    </w:p>
    <w:p w14:paraId="1592351E" w14:textId="77777777" w:rsidR="00CC01C7" w:rsidRPr="00075CE7" w:rsidRDefault="00CC01C7" w:rsidP="00CC01C7">
      <w:pPr>
        <w:pStyle w:val="NormalHanging12a"/>
        <w:rPr>
          <w:bCs/>
          <w:iCs/>
        </w:rPr>
      </w:pPr>
      <w:r w:rsidRPr="00075CE7">
        <w:t>63.</w:t>
      </w:r>
      <w:r w:rsidRPr="00075CE7">
        <w:tab/>
        <w:t>opfordrer Kommissionen til at forelægge Parlamentet regelmæssige statusrapporter om gennemførelsen af Global Gateway-projekter og en regelmæssig og struktureret strategisk gennemgang af gennemførelsen af Global Gateway foretaget af Parlamentets kompetente udvalg for at sikre, at målsætningerne, prioriteterne og det geografiske fokus herfor fortsat er relevante, sammenhængende og forenelige med målene for Unionens optræden udadtil og udviklingsprioriteterne og den skiftende geopolitiske kontekst;</w:t>
      </w:r>
    </w:p>
    <w:p w14:paraId="250C795F" w14:textId="77777777" w:rsidR="00CC01C7" w:rsidRPr="00075CE7" w:rsidRDefault="00CC01C7" w:rsidP="00CC01C7">
      <w:pPr>
        <w:pStyle w:val="NormalHanging12a"/>
        <w:rPr>
          <w:bCs/>
          <w:iCs/>
        </w:rPr>
      </w:pPr>
      <w:r w:rsidRPr="00075CE7">
        <w:t>64.</w:t>
      </w:r>
      <w:r w:rsidRPr="00075CE7">
        <w:tab/>
        <w:t xml:space="preserve">understreger desuden – idet Global Gateway i stigende grad ejes af medlemsstaterne – værdien af at strømline kontrol- og tilsynssamarbejdet mellem Europa-Parlamentet og </w:t>
      </w:r>
      <w:r w:rsidRPr="00075CE7">
        <w:lastRenderedPageBreak/>
        <w:t>de nationale parlamenter for at afspejle Team Europe-tilgangen; forpligter sig til at sikre passende høring, deltagelse og repræsentation, herunder i det i fremtiden mere operationelle styringsudvalg; opfordrer til inddragelse af partnerlandenes parlamenter, herunder gennem regelmæssig udveksling af oplysninger og via eksisterende multilaterale forsamlinger;</w:t>
      </w:r>
    </w:p>
    <w:p w14:paraId="6A98F133" w14:textId="77777777" w:rsidR="00CC01C7" w:rsidRPr="00075CE7" w:rsidRDefault="00CC01C7" w:rsidP="00CC01C7">
      <w:pPr>
        <w:pStyle w:val="NormalHanging12a"/>
      </w:pPr>
      <w:r w:rsidRPr="00075CE7">
        <w:t>65.</w:t>
      </w:r>
      <w:r w:rsidRPr="00075CE7">
        <w:tab/>
        <w:t>noterer sig det nyligt oprettede Global Gateway-investeringsknudepunkt og glæder sig over den planlagte strømlining af projektansøgninger; understreger, at ansøgningsprocessen og koordineringen med Team Europe på nationalt plan skal være gennemsigtig; bemærker imidlertid med bekymring den manglende repræsentation fra partnerlandene, navnlig fra civilsamfundet; understreger, at bedre information om Global Gateway-muligheder også er nødvendig for europæiske virksomheder, navnlig SMV'er, og opfordrer indtrængende til, at knudepunktet gennemføres på en måde, der letter SMV'ers adgang; opfordrer endvidere til en klar, offentlig, ajourført og lettilgængelig angivelse af alle planlagte, igangværende og afsluttede udbud og projekter samt til finansieringsmuligheder, idet der lægges særlig vægt på SMV'er og virksomheder fra mindre medlemsstater, der ofte mangler faste repræsentationer i partnerlande og er mindre tilbøjelige til at have ressourcer fra den offentlige forvaltning til at skabe veje til investeringer i den private sektor; foreslår at etablere en matchende platform for potentielle forretningspartnere og aftagere;</w:t>
      </w:r>
    </w:p>
    <w:p w14:paraId="086A1A81" w14:textId="77777777" w:rsidR="00CC01C7" w:rsidRPr="00075CE7" w:rsidRDefault="00CC01C7" w:rsidP="00CC01C7">
      <w:pPr>
        <w:pStyle w:val="NormalHanging12a"/>
      </w:pPr>
      <w:r w:rsidRPr="00075CE7">
        <w:t>66.</w:t>
      </w:r>
      <w:r w:rsidRPr="00075CE7">
        <w:tab/>
        <w:t>påpeger, at projekter skal være økonomisk rentable eller støtte levering af offentlige goder, og at Global Gateway-projekternes levedygtighed afhænger af sammenhængende retlige rammer og politikker såsom handelsaftaler, skattepolitikker, aftagningsaftaler, emissionshandelssystemer og kulstofgrænsetilpasningsmekanismer; opfordrer Kommissionen til bedre at tilpasse Global Gateway-initiativet til sin interne politiske dagsorden og initiativer såsom dagsordenen for konkurrenceevnen, den europæiske grønne pagt og det digitale årti;</w:t>
      </w:r>
    </w:p>
    <w:p w14:paraId="69878CB2" w14:textId="77777777" w:rsidR="00CC01C7" w:rsidRPr="00075CE7" w:rsidRDefault="00CC01C7" w:rsidP="00CC01C7">
      <w:pPr>
        <w:pStyle w:val="NormalHanging12a"/>
      </w:pPr>
      <w:r w:rsidRPr="00075CE7">
        <w:t>67.</w:t>
      </w:r>
      <w:r w:rsidRPr="00075CE7">
        <w:tab/>
        <w:t>anbefaler, at Kommissionen ved udvælgelsen af projekter prioriterer dem, der har betydelig strategisk betydning;</w:t>
      </w:r>
    </w:p>
    <w:p w14:paraId="102D6D99" w14:textId="77777777" w:rsidR="00CC01C7" w:rsidRPr="00075CE7" w:rsidRDefault="00CC01C7" w:rsidP="00CC01C7">
      <w:pPr>
        <w:pStyle w:val="NormalHanging12a"/>
      </w:pPr>
      <w:r w:rsidRPr="00075CE7">
        <w:t>68.</w:t>
      </w:r>
      <w:r w:rsidRPr="00075CE7">
        <w:tab/>
        <w:t xml:space="preserve">fremhæver betydningen af grænseoverskridende Global Gateway-projekter for at styrke handel og udvikling med centrale partnere og støtte en dybere regional økonomisk integration i partnerlandene; understreger, at infrastrukturudvikling, hvor det er muligt, bør bidrage til intraregional handelsintegration, navnlig blandt de sydlige nabolande, og de afrikanske, latinamerikanske og sydøstasiatiske økonomier; understreger den strategiske betydning af det afrikanske kontinentale frihandelsområde med hensyn til at tackle regional fragmentering og opfordrer til, at Global Gateway på en målrettet måde bidrager til at fjerne udvalgte hindringer og flaskehalse, der har bremset dets gennemførelse; understreger betydningen af at støtte den gradvise udvikling af intraregionale værdikæder og regional </w:t>
      </w:r>
      <w:proofErr w:type="spellStart"/>
      <w:r w:rsidRPr="00075CE7">
        <w:t>konnektivitet</w:t>
      </w:r>
      <w:proofErr w:type="spellEnd"/>
      <w:r w:rsidRPr="00075CE7">
        <w:t>, herunder gennem dialog og teknisk bistand med henblik på at mindske lovgivningsmæssige udfordringer og ikketoldmæssige hindringer;</w:t>
      </w:r>
    </w:p>
    <w:p w14:paraId="39D22D65" w14:textId="77777777" w:rsidR="00CC01C7" w:rsidRPr="00075CE7" w:rsidRDefault="00CC01C7" w:rsidP="00CC01C7">
      <w:pPr>
        <w:pStyle w:val="NormalHanging12a"/>
      </w:pPr>
      <w:r w:rsidRPr="00075CE7">
        <w:t>69.</w:t>
      </w:r>
      <w:r w:rsidRPr="00075CE7">
        <w:tab/>
        <w:t xml:space="preserve">fremhæver den strategiske værdi af rene handels- og investeringspartnerskaber, der følger en handelsdrevet og programdrevet logik, som supplerer Global Gateways projektbaserede tilgang og samtidig muliggør bedre regional integration og bidrager til det globale mål om at nå verdensmålene for bæredygtig udvikling; understreger, at det er afgørende at kombinere markedsadgang med EU's finansierings- og støtteværktøjer såsom et globalt Europa og Global Gateway; tilskynder Kommissionen til at undersøge, hvordan rene handels- og investeringspartnerskaber, der styrkes gennem Global </w:t>
      </w:r>
      <w:r w:rsidRPr="00075CE7">
        <w:lastRenderedPageBreak/>
        <w:t>Gateway, kan bidrage til at reducere ikketoldmæssige hindringer for partnerlande, herunder gennem målrettede undtagelser fra udvalgt EU-lovgivning eller gennem ækvivalensanerkendelse; opfordrer Kommissionen til at fremme bred inddragelse af interessenter fra virksomheder, navnlig SMV'er, og fagforeninger, civilsamfund og lokalsamfund; understreger sin villighed til at styrke samarbejde mellem parlamenter for på behørig vis at kunne føre kontrol med den løbende gennemførelse og for at bidrage til at bygge et partnerskab mellem mennesker som grundlag for yderligere gensidig succes;</w:t>
      </w:r>
    </w:p>
    <w:p w14:paraId="4F2458FA" w14:textId="77777777" w:rsidR="00CC01C7" w:rsidRPr="00075CE7" w:rsidRDefault="00CC01C7" w:rsidP="00CC01C7">
      <w:pPr>
        <w:pStyle w:val="NormalHanging12a"/>
        <w:rPr>
          <w:bCs/>
          <w:iCs/>
        </w:rPr>
      </w:pPr>
      <w:r w:rsidRPr="00075CE7">
        <w:t>70.</w:t>
      </w:r>
      <w:r w:rsidRPr="00075CE7">
        <w:tab/>
        <w:t>opfordrer til en betydelig forbedring af gennemsigtigheden, den demokratiske ansvarlighed og oplysning, robuste overvågnings- og evalueringsmekanismer og regelmæssig rapportering;</w:t>
      </w:r>
    </w:p>
    <w:p w14:paraId="40764E21" w14:textId="77777777" w:rsidR="00CC01C7" w:rsidRPr="00075CE7" w:rsidRDefault="00CC01C7" w:rsidP="00CC01C7">
      <w:pPr>
        <w:pStyle w:val="NormalHanging12a"/>
        <w:rPr>
          <w:bCs/>
          <w:iCs/>
        </w:rPr>
      </w:pPr>
      <w:r w:rsidRPr="00075CE7">
        <w:t>71.</w:t>
      </w:r>
      <w:r w:rsidRPr="00075CE7">
        <w:tab/>
        <w:t xml:space="preserve">opfordrer til en effektiv måling af Global Gateway-projekters indvirkning lokalt, herunder deres sociale, miljømæssige og økonomiske resultater såsom deres bidrag til fattigdomsudryddelse samt deres finansielle og økonomiske bæredygtighed, ved hjælp af indikatorer knyttet til jobskabelse, </w:t>
      </w:r>
      <w:proofErr w:type="spellStart"/>
      <w:r w:rsidRPr="00075CE7">
        <w:t>videnoverførsel</w:t>
      </w:r>
      <w:proofErr w:type="spellEnd"/>
      <w:r w:rsidRPr="00075CE7">
        <w:t>, social inklusion og ligestilling mellem kønnene i overensstemmelse med globale mål vedrørende social og menneskelig kapital såsom verdensmålene for bæredygtig udvikling og kønshandlingsplan III;</w:t>
      </w:r>
    </w:p>
    <w:p w14:paraId="15A023A1" w14:textId="77777777" w:rsidR="00CC01C7" w:rsidRPr="00075CE7" w:rsidRDefault="00CC01C7" w:rsidP="00CC01C7">
      <w:pPr>
        <w:pStyle w:val="NormalHanging12a"/>
        <w:rPr>
          <w:bCs/>
          <w:iCs/>
        </w:rPr>
      </w:pPr>
      <w:r w:rsidRPr="00075CE7">
        <w:t>72.</w:t>
      </w:r>
      <w:r w:rsidRPr="00075CE7">
        <w:tab/>
        <w:t>anmoder endvidere Kommissionen om at fremlægge dokumentation for fordelene ved Global Gateway-projekter for lokale virksomheder, navnlig SMV'er, bæredygtige og inkluderende virksomheder såsom kooperativer og sociale virksomheder, lokalsamfund og arbejdsstyrken i partnerlande; opfordrer Kommissionen til at overvåge og evaluere projekternes indvirkning og offentliggøre denne dokumentation for at sikre, at Global Gateway-projekterne på forhånd og efterfølgende overholder menneskerettighedsforpligtelserne og har positive virkninger for den lokale økonomi og positive afsmittende virkninger for bredere dele af samfundet; noterer sig bekymringer fra studier og undersøgelser af eksterne investeringer, der undertiden har fundet begrænset dokumentation for lokale fordele, herunder for SMV'er og lokalsamfund i partnerlande;</w:t>
      </w:r>
    </w:p>
    <w:p w14:paraId="3B839096" w14:textId="77777777" w:rsidR="00CC01C7" w:rsidRPr="00075CE7" w:rsidRDefault="00CC01C7" w:rsidP="00CC01C7">
      <w:pPr>
        <w:pStyle w:val="NormalHanging12a"/>
        <w:rPr>
          <w:bCs/>
          <w:iCs/>
        </w:rPr>
      </w:pPr>
      <w:r w:rsidRPr="00075CE7">
        <w:t>73.</w:t>
      </w:r>
      <w:r w:rsidRPr="00075CE7">
        <w:tab/>
        <w:t>opfordrer Kommissionen til at udvikle nye instrumenter baseret på en evidensbaseret ramme til overvågning og vurdering af fordelingen og virkningen af interventioner i partnerlande, navnlig på områder som jobkvalitet og -kvantitet, inkluderende uddannelse, sundhed, levestandarder, indvirkning på de mest sårbare grupper, ulighed og social samhørighed, klimatilpasning og miljøbeskyttelse samt udvikling af lokale virksomheder, herunder SMV'er, da dette vil bidrage til at optimere og udvide den lokale virkning af de nuværende EU-interventioner og partnerskaber og støtte udformningen af fremtidige projekter med varige virkninger i partnerlande; glæder sig over ulighedsmarkøren og den fordelingsmæssige konsekvensanalyse som nyttige værktøjer til at overvåge virkningen af Global Gateway-projekter; anmoder om, at dataene opdeles efter køn og alder for at spore kvinders og pigers inklusion og fordele; understreger, at en sådan empirisk tilgang forbedrer gennemsigtigheden i udgifterne og styrker Parlamentets tilsynsrolle som en del af budgetmyndigheden;</w:t>
      </w:r>
    </w:p>
    <w:p w14:paraId="414E8DB4" w14:textId="77777777" w:rsidR="00CC01C7" w:rsidRPr="00075CE7" w:rsidRDefault="00CC01C7" w:rsidP="00CC01C7">
      <w:pPr>
        <w:pStyle w:val="NormalHanging12a"/>
        <w:rPr>
          <w:bCs/>
          <w:iCs/>
        </w:rPr>
      </w:pPr>
      <w:r w:rsidRPr="00075CE7">
        <w:t>74.</w:t>
      </w:r>
      <w:r w:rsidRPr="00075CE7">
        <w:tab/>
        <w:t xml:space="preserve">anbefaler at overvåge, i hvilket omfang europæiske og lokale virksomheder inddrages og med hvilken succes; anbefaler </w:t>
      </w:r>
      <w:proofErr w:type="gramStart"/>
      <w:r w:rsidRPr="00075CE7">
        <w:t>endvidere</w:t>
      </w:r>
      <w:proofErr w:type="gramEnd"/>
      <w:r w:rsidRPr="00075CE7">
        <w:t xml:space="preserve"> at overvåge etableringen af forsynings- og værdikæder, innovationsgevinster, modstandsdygtighed og økonomisk merværdi i både partnerlande og EU;</w:t>
      </w:r>
    </w:p>
    <w:p w14:paraId="7D9F099B" w14:textId="77777777" w:rsidR="00CC01C7" w:rsidRPr="00075CE7" w:rsidRDefault="00CC01C7" w:rsidP="00CC01C7">
      <w:pPr>
        <w:pStyle w:val="NormalHanging12a"/>
        <w:rPr>
          <w:bCs/>
          <w:iCs/>
        </w:rPr>
      </w:pPr>
      <w:r w:rsidRPr="00075CE7">
        <w:lastRenderedPageBreak/>
        <w:t>75.</w:t>
      </w:r>
      <w:r w:rsidRPr="00075CE7">
        <w:tab/>
        <w:t>opfordrer Kommissionen til regelmæssigt at offentliggøre standardiserede, detaljerede og sammenlignelige statistikker for gennemførelsen af Global Gateway, der bl.a. viser andelen af offentlige udbud og kontrakter, der tildeles virksomheder i og uden for EU, omfanget og den sektorielle fordeling af private investeringer, som er mobiliseret fra hver medlemsstat, og de vigtigste økonomiske og sociale fordele, der skabes, og til at fremlægge dokumentation for løftestangseffekten af EU-garantier, finansielle instrumenter og blandet finansiering; understreger, at sådanne data er vigtige for at vurdere det reelle omfang af "europæisk indhold" i Global Gateway-projekter og for at sikre, at EU's skatteydere får valuta for pengene; understreger endvidere, at sådanne gennemsigtighedsforanstaltninger vil gøre det muligt at vurdere, om et projekt opfylder sit erklærede mål om at mobilisere betydelig privat kapital til bæredygtige og strategiske projekter;</w:t>
      </w:r>
    </w:p>
    <w:p w14:paraId="594069A1" w14:textId="77777777" w:rsidR="00CC01C7" w:rsidRPr="00075CE7" w:rsidRDefault="00CC01C7" w:rsidP="00CC01C7">
      <w:pPr>
        <w:pStyle w:val="NormalHanging12a"/>
        <w:rPr>
          <w:bCs/>
          <w:iCs/>
        </w:rPr>
      </w:pPr>
      <w:r w:rsidRPr="00075CE7">
        <w:t>76.</w:t>
      </w:r>
      <w:r w:rsidRPr="00075CE7">
        <w:tab/>
        <w:t>gentager behovet for en fælles, offentligt tilgængelig metode til beregning af mobiliserede investeringer under Global Gateway, herunder en klar sondring mellem EU-budgetfinansiering, bidrag fra medlemsstaterne, løftestangseffekt for den private sektor og omdøbte allerede eksisterende projekter; opfordrer Kommissionen til at offentliggøre årlige reviderede tal;</w:t>
      </w:r>
    </w:p>
    <w:p w14:paraId="17213C1A" w14:textId="77777777" w:rsidR="00CC01C7" w:rsidRPr="00075CE7" w:rsidRDefault="00CC01C7" w:rsidP="00CC01C7">
      <w:pPr>
        <w:pStyle w:val="NormalHanging12a"/>
      </w:pPr>
      <w:r w:rsidRPr="00075CE7">
        <w:t>77.</w:t>
      </w:r>
      <w:r w:rsidRPr="00075CE7">
        <w:tab/>
        <w:t>glæder sig over de seneste forbedringer af oplysningerne om Global Gateway på Kommissionens websteder, men understreger behovet for mere detaljerede oplysninger om Global Gateway-projekter, udvælgelseskriterier, finansieringskilder, forudgående konsekvensanalyser, deltagelse af interessenter, gennemførelsespartnere, lokal merværdi og forventede såvel som målte resultater, herunder med hensyn til handelsvirkninger og fremskridt med hensyn til at nå verdensmålene for bæredygtig udvikling; mener, at gennemsigtighed og effektiv kommunikation er afgørende for at sikre forudsigelighed, fremme tillid mellem partnerlandene, sikre opbakning, skabe momentum og tydeliggøre Global Gateways merværdi; noterer sig Kommissionens forslag til en ny sporings- og resultatramme, som bør bidrage til at strømline overvågning og rapportering på grundlag af centrale resultatindikatorer; påpeger, at begrænset kendskab til Global Gateway-initiativet i mange partnerlande fortsat er en væsentlig hindring for dets succes; opfordrer derfor til mere synlighed, et stærkere narrativ og en sammenhængende kommunikationsstrategi;</w:t>
      </w:r>
    </w:p>
    <w:p w14:paraId="710B7986" w14:textId="77777777" w:rsidR="00CC01C7" w:rsidRPr="00075CE7" w:rsidRDefault="00CC01C7" w:rsidP="00CC01C7">
      <w:pPr>
        <w:pStyle w:val="NormalHanging12a"/>
      </w:pPr>
      <w:r w:rsidRPr="00075CE7">
        <w:t>78.</w:t>
      </w:r>
      <w:r w:rsidRPr="00075CE7">
        <w:tab/>
        <w:t xml:space="preserve">beklager, at Global Gateway-kvalitetsmærket stadig mangler anerkendelse og synlighed, navnlig blandt partnerlande; opfordrer derfor til en velfinansieret, klar og koordineret kommunikationsstrategi, som omfatter flersproget kommunikation med fokus på EU's og partnerlandenes interesser og resultater for lokale interessenter som Europas positive tilbud; </w:t>
      </w:r>
    </w:p>
    <w:p w14:paraId="6041FFD7" w14:textId="77777777" w:rsidR="00CC01C7" w:rsidRPr="00075CE7" w:rsidRDefault="00CC01C7" w:rsidP="00CC01C7">
      <w:pPr>
        <w:pStyle w:val="NormalHanging12a"/>
      </w:pPr>
      <w:r w:rsidRPr="00075CE7">
        <w:t>79.</w:t>
      </w:r>
      <w:r w:rsidRPr="00075CE7">
        <w:tab/>
        <w:t xml:space="preserve">opfordrer indtrængende Kommissionen til at forbedre gennemsigtigheden i gennemførelsen af Den Europæiske Fond for Bæredygtig Udvikling Plus ved at offentliggøre detaljerede, regelmæssigt ajourførte oplysninger om garantiaftaler, undertegnede og udbetalte investeringer, gennemførelsespartnere og støttemodtagere som anbefalet af Den Europæiske Revisionsret; </w:t>
      </w:r>
    </w:p>
    <w:p w14:paraId="5F00C62D" w14:textId="77777777" w:rsidR="00CC01C7" w:rsidRPr="00075CE7" w:rsidRDefault="00CC01C7" w:rsidP="00CC01C7">
      <w:pPr>
        <w:pStyle w:val="NormalHanging12a"/>
      </w:pPr>
      <w:r w:rsidRPr="00075CE7">
        <w:t>80.</w:t>
      </w:r>
      <w:r w:rsidRPr="00075CE7">
        <w:tab/>
        <w:t xml:space="preserve">opfordrer til, at Global Gateway kodificeres og integreres i forordningen om et globalt Europa, der skal vedtages inden den næste flerårige finansielle ramme for 2028-2034; er af den opfattelse, at der er et presserende behov for en sådan forbedring for at sikre retssikkerheden og mandatets gennemsigtighed; understreger Parlamentets vejledende principper i denne henseende, nemlig Global Gateway-styringsudvalgets centrale operationelle rolle i forbindelse med fastlæggelse og udvælgelse af projekter, en </w:t>
      </w:r>
      <w:r w:rsidRPr="00075CE7">
        <w:lastRenderedPageBreak/>
        <w:t xml:space="preserve">ændring fra en tilgang drevet af Kommission til en </w:t>
      </w:r>
      <w:proofErr w:type="spellStart"/>
      <w:r w:rsidRPr="00075CE7">
        <w:t>bottom</w:t>
      </w:r>
      <w:proofErr w:type="spellEnd"/>
      <w:r w:rsidRPr="00075CE7">
        <w:t>-up-tilgang med fokus på en transformativ bæredygtig dagsorden i fælles interesse og stærkere inddragelse af erhvervssektorer, partnere og Parlamentet samt øget ansvarlighed;</w:t>
      </w:r>
    </w:p>
    <w:p w14:paraId="3BBF9BD7" w14:textId="77777777" w:rsidR="00CC01C7" w:rsidRPr="00075CE7" w:rsidRDefault="00CC01C7" w:rsidP="00CC01C7">
      <w:pPr>
        <w:pStyle w:val="Normal12a"/>
      </w:pPr>
      <w:r w:rsidRPr="00075CE7">
        <w:rPr>
          <w:b/>
          <w:i/>
        </w:rPr>
        <w:t>Fremtidig finansiering og fremtidige udbud</w:t>
      </w:r>
    </w:p>
    <w:p w14:paraId="40CA6BBC" w14:textId="77777777" w:rsidR="00CC01C7" w:rsidRDefault="00CC01C7" w:rsidP="00CC01C7">
      <w:pPr>
        <w:pStyle w:val="NormalHanging12a"/>
      </w:pPr>
      <w:r w:rsidRPr="00075CE7">
        <w:t>81.</w:t>
      </w:r>
      <w:r w:rsidRPr="00075CE7">
        <w:tab/>
        <w:t xml:space="preserve">understreger, at de finansielle instrumenter, der er til rådighed på nationalt og europæisk plan for Global Gateway-projekter, skal tilpasses for at tage hensyn til den strategiske kontekst, forsyningskædens nødvendighed, sektorens særlige karakteristika og det konkurrenceprægede miljø og omdannes til en værktøjskasse, der gør det muligt at skabe gensidigt fordelagtige partnerskaber og lige vilkår for europæiske virksomheder i partnerlande; understreger, at det er af afgørende betydning at sikre en balance mellem officiel udviklingsbistand og ikkeofficiel udviklingsbistand; minder Kommissionen om det nuværende krav om, at mindst 93 % af udgifterne under NDICI – et globalt Europa skal opfylde kriterierne for officiel udviklingsbistand; </w:t>
      </w:r>
    </w:p>
    <w:p w14:paraId="1AE908C5" w14:textId="4FD7F962" w:rsidR="003E2D19" w:rsidRPr="00075CE7" w:rsidRDefault="003E2D19" w:rsidP="00CC01C7">
      <w:pPr>
        <w:pStyle w:val="NormalHanging12a"/>
      </w:pPr>
      <w:r>
        <w:t>82.</w:t>
      </w:r>
      <w:r>
        <w:tab/>
      </w:r>
      <w:r w:rsidRPr="003E2D19">
        <w:t>er af den opfattelse, at et vist antal flagskibsprojekter bør øremærkes til EU's økonomiske modstandsdygtighed;</w:t>
      </w:r>
    </w:p>
    <w:p w14:paraId="3093E2F7" w14:textId="4AADD1BF" w:rsidR="00CC01C7" w:rsidRPr="00075CE7" w:rsidRDefault="009E5AA0" w:rsidP="00CC01C7">
      <w:pPr>
        <w:pStyle w:val="NormalHanging12a"/>
      </w:pPr>
      <w:r>
        <w:t>83</w:t>
      </w:r>
      <w:r w:rsidR="00CC01C7" w:rsidRPr="00075CE7">
        <w:t>.</w:t>
      </w:r>
      <w:r w:rsidR="00CC01C7" w:rsidRPr="00075CE7">
        <w:tab/>
        <w:t>understreger, at projekter, der gennemføres inden for rammerne af Global Gateway, har inddragelsen af EU's, partnerlandenes og betroede partneres private sektor i centrum; fremhæver, at enheder fra EU eller ligesindede partnere skal udgøre en betydelig andel af alle konsortier, der deltager i Global Gateway-projekter;</w:t>
      </w:r>
    </w:p>
    <w:p w14:paraId="3476E523" w14:textId="095461F5" w:rsidR="00CC01C7" w:rsidRPr="00075CE7" w:rsidRDefault="009E5AA0" w:rsidP="00CC01C7">
      <w:pPr>
        <w:pStyle w:val="NormalHanging12a"/>
      </w:pPr>
      <w:r>
        <w:t>84</w:t>
      </w:r>
      <w:r w:rsidR="00CC01C7" w:rsidRPr="00075CE7">
        <w:t>.</w:t>
      </w:r>
      <w:r w:rsidR="00CC01C7" w:rsidRPr="00075CE7">
        <w:tab/>
        <w:t>understreger, at udbudspolitikker, due diligence-procedurer og udformningen af udbud har stor indflydelse på Global Gateway-projekternes succes eller fiasko; opfordrer til anvendelse af miljømæssige, sociale og forvaltningsmæssige kriterier samt kriterier vedrørende kvalitet, innovation, modstandsdygtighed og europæisk deltagelse samt sikkerhed, pålidelighed, bæredygtighed og konkurrenceevne; anmoder Kommissionen om at definere "strategiske udbud" og sikre, at udbudsprocedurer og projektudvælgelseskriterier afspejler de krav, der er skitseret ovenfor, idet der lægges vægt på kvalitative kriterier frem for pris, opretholdelse af gennemsigtighed, fremme af fair konkurrence og valuta for pengene og beskyttelse af EU's strategiske interesser og autonomi samt tilpasning til dets værdier; opfordrer Kommissionen til at overveje tilpasninger af sin tilgang til offentlige udbud og sine regler for at sikre lige vilkår for europæiske virksomheder;</w:t>
      </w:r>
    </w:p>
    <w:p w14:paraId="50414D86" w14:textId="053EB81E" w:rsidR="00CC01C7" w:rsidRPr="00075CE7" w:rsidRDefault="009E5AA0" w:rsidP="00CC01C7">
      <w:pPr>
        <w:pStyle w:val="NormalHanging12a"/>
      </w:pPr>
      <w:r>
        <w:t>85</w:t>
      </w:r>
      <w:r w:rsidR="00CC01C7" w:rsidRPr="00075CE7">
        <w:t>.</w:t>
      </w:r>
      <w:r w:rsidR="00CC01C7" w:rsidRPr="00075CE7">
        <w:tab/>
        <w:t>opfordrer Kommissionen til at indføre sådanne adgangskriterier for virksomheder, der deltager i Global Gateway-projekter, for at sikre, at virksomheder fra EU, ligesindede lande og partnerlande altid bevarer den operationelle kontrol med de pågældende projekter;</w:t>
      </w:r>
    </w:p>
    <w:p w14:paraId="7447F767" w14:textId="522A0EA5" w:rsidR="00CC01C7" w:rsidRPr="00075CE7" w:rsidRDefault="009E5AA0" w:rsidP="00CC01C7">
      <w:pPr>
        <w:pStyle w:val="NormalHanging12a"/>
      </w:pPr>
      <w:r>
        <w:t>86</w:t>
      </w:r>
      <w:r w:rsidR="00CC01C7" w:rsidRPr="00075CE7">
        <w:t>.</w:t>
      </w:r>
      <w:r w:rsidR="00CC01C7" w:rsidRPr="00075CE7">
        <w:tab/>
        <w:t>roser Den Europæiske Investeringsbank (EIB) for at have lanceret sin strategiske udbudskøreplan og for allerede at have fået en betydelig del af de EIB-finansierede projekter gennemført af EU-virksomheder; anmoder EIB om kritisk at vurdere og ændre sin risikovillige tilgang;</w:t>
      </w:r>
    </w:p>
    <w:p w14:paraId="07EB0F93" w14:textId="77777777" w:rsidR="00CC01C7" w:rsidRPr="00075CE7" w:rsidRDefault="00CC01C7" w:rsidP="00CC01C7">
      <w:pPr>
        <w:pStyle w:val="NormalHanging12a"/>
        <w:rPr>
          <w:b/>
          <w:i/>
        </w:rPr>
      </w:pPr>
      <w:r w:rsidRPr="00075CE7">
        <w:rPr>
          <w:b/>
          <w:i/>
        </w:rPr>
        <w:t xml:space="preserve">Fremme af handel og investeringer </w:t>
      </w:r>
    </w:p>
    <w:p w14:paraId="5FC13645" w14:textId="3280AF2D" w:rsidR="00CC01C7" w:rsidRPr="00075CE7" w:rsidRDefault="009E5AA0" w:rsidP="00CC01C7">
      <w:pPr>
        <w:pStyle w:val="NormalHanging12a"/>
        <w:rPr>
          <w:bCs/>
          <w:iCs/>
        </w:rPr>
      </w:pPr>
      <w:r>
        <w:t>87</w:t>
      </w:r>
      <w:r w:rsidR="00CC01C7" w:rsidRPr="00075CE7">
        <w:t>.</w:t>
      </w:r>
      <w:r w:rsidR="00CC01C7" w:rsidRPr="00075CE7">
        <w:tab/>
        <w:t xml:space="preserve">understreger, at Global Gateway for så vidt angår projekter med en handels- og investeringsdimension bør styrke og lette gensidigt fordelagtige handels- og investeringsforbindelser, navnlig ved at udvikle og åbne nye handelsruter og </w:t>
      </w:r>
      <w:r w:rsidR="00CC01C7" w:rsidRPr="00075CE7">
        <w:lastRenderedPageBreak/>
        <w:t xml:space="preserve">forretningsmuligheder, herunder for SMV'er, og ved at støtte udviklingen og moderniseringen af handelsfremmende infrastruktur, hvilket er afgørende for at tackle høje handelsomkostninger; anerkender, at Global Gateway i et stadig mere konkurrencepræget globalt miljø, hvor handelsafhængighed i høj grad anvendes som et våben og som redskab til økonomisk tvang, spiller en central rolle med hensyn til at støtte diversificeringen af forsyningskæder, mindske kritisk afhængighed i nøglesektorer, styrke EU’s geopolitiske position og øge dets strategiske modstandsdygtighed, økonomiske sikkerhed og langsigtede konkurrenceevne, som Mario </w:t>
      </w:r>
      <w:proofErr w:type="spellStart"/>
      <w:r w:rsidR="00CC01C7" w:rsidRPr="00075CE7">
        <w:t>Draghi</w:t>
      </w:r>
      <w:proofErr w:type="spellEnd"/>
      <w:r w:rsidR="00CC01C7" w:rsidRPr="00075CE7">
        <w:t xml:space="preserve"> opfordrede til i sin rapport af 9. september 2024 om fremtiden for den europæiske konkurrenceevne, samtidig med at strategien i overensstemmelse med princippet om udviklingsvenlig politikkohærens støtter partnerlandenes udviklingsprioriteter og respekterer deres demokratiske beslutningsprocesser;</w:t>
      </w:r>
    </w:p>
    <w:p w14:paraId="124BD3EE" w14:textId="0DCD2605" w:rsidR="00CC01C7" w:rsidRPr="00075CE7" w:rsidRDefault="009E5AA0" w:rsidP="00CC01C7">
      <w:pPr>
        <w:pStyle w:val="NormalHanging12a"/>
        <w:rPr>
          <w:bCs/>
          <w:iCs/>
        </w:rPr>
      </w:pPr>
      <w:r>
        <w:t>88</w:t>
      </w:r>
      <w:r w:rsidR="00CC01C7" w:rsidRPr="00075CE7">
        <w:t>.</w:t>
      </w:r>
      <w:r w:rsidR="00CC01C7" w:rsidRPr="00075CE7">
        <w:tab/>
        <w:t>understreger, at Global Gateway-investeringernes succes afhænger af en stabil og forudsigelig handelsramme; opfordrer til, at Global Gateway-investeringer, hvor det er relevant, omfatter handelsfremmende komponenter, der sikrer reelle, bæredygtige udviklings- og markedsadgangsgevinster og eksportpotentiale for partnerlande; opfordrer til, at der sikres synergier mellem Global Gateway-initiativerne og EU's handelspolitik, herunder handelsaftaler, samt gennemførelsesprioriteter i deres kapitler om handel og bæredygtig udvikling, den generelle toldpræferenceordning og andre eksisterende handelsrammer og -mekanismer; understreger, at sikring af sådanne synergier også kræver screening af Global Gateway-flagskibsprojekter for sikkerhedsmæssige og strategiske risici, navnlig når statskontrollerede virksomheder fra autoritære stater kan få kontrol over kritisk digital infrastruktur, maritim infrastruktur, transport-, energi- eller kommunikationsinfrastruktur; opfordrer til, at Global Gateway bringes i overensstemmelse med WTO's regler og så vidt muligt støtter inddragelsen af partnerlande i det regelbaserede regionale og globale handelssystem; opfordrer Kommissionen til at vurdere de handels- og investeringsstrømme, der genereres under Global Gateway;</w:t>
      </w:r>
    </w:p>
    <w:p w14:paraId="020E034B" w14:textId="12384B09" w:rsidR="00CC01C7" w:rsidRPr="00075CE7" w:rsidRDefault="009E5AA0" w:rsidP="00CC01C7">
      <w:pPr>
        <w:pStyle w:val="NormalHanging12a"/>
        <w:rPr>
          <w:bCs/>
          <w:iCs/>
        </w:rPr>
      </w:pPr>
      <w:r>
        <w:t>89</w:t>
      </w:r>
      <w:r w:rsidR="00CC01C7" w:rsidRPr="00075CE7">
        <w:t>.</w:t>
      </w:r>
      <w:r w:rsidR="00CC01C7" w:rsidRPr="00075CE7">
        <w:tab/>
        <w:t>opfordrer til, at Global Gateway inddrager den private sektor mere direkte gennem fremme af handel og investeringer og sikrer, at europæiske virksomheder forpligter sig til at deltage i flagskibsprojekter i partnerlande;</w:t>
      </w:r>
    </w:p>
    <w:p w14:paraId="6EA0FFB4" w14:textId="14A35B1C" w:rsidR="00CC01C7" w:rsidRPr="00075CE7" w:rsidRDefault="009E5AA0" w:rsidP="00CC01C7">
      <w:pPr>
        <w:pStyle w:val="NormalHanging12a"/>
        <w:rPr>
          <w:bCs/>
          <w:iCs/>
        </w:rPr>
      </w:pPr>
      <w:r>
        <w:t>90</w:t>
      </w:r>
      <w:r w:rsidR="00CC01C7" w:rsidRPr="00075CE7">
        <w:t>.</w:t>
      </w:r>
      <w:r w:rsidR="00CC01C7" w:rsidRPr="00075CE7">
        <w:tab/>
        <w:t>opfordrer til øget teknisk bistand til støtte for institutionel kapacitet og lovgivningsmæssige reformer, navnlig med det formål at strømline handelsprocesser og styrke partnerlandenes evne til at overholde internationale standarder, herunder sundheds- og plantesundhedsstandarder, tekniske standarder, bæredygtighedsstandarder, tolddigitalisering og sporbarhed i værdikæden; understreger, at Global Gateway ikke desto mindre skal respektere det nationale reguleringsmæssige råderum og ikke må være betinget af lovgivningsmæssige reformer, der svækker de regulerende myndigheder;</w:t>
      </w:r>
    </w:p>
    <w:p w14:paraId="317E83B8" w14:textId="59EAF58C" w:rsidR="00CC01C7" w:rsidRPr="00075CE7" w:rsidRDefault="009E5AA0" w:rsidP="00CC01C7">
      <w:pPr>
        <w:pStyle w:val="NormalHanging12a"/>
        <w:rPr>
          <w:bCs/>
          <w:iCs/>
        </w:rPr>
      </w:pPr>
      <w:r>
        <w:t>91</w:t>
      </w:r>
      <w:r w:rsidR="00CC01C7" w:rsidRPr="00075CE7">
        <w:t>.</w:t>
      </w:r>
      <w:r w:rsidR="00CC01C7" w:rsidRPr="00075CE7">
        <w:tab/>
        <w:t xml:space="preserve">opfordrer til, at Global Gateway støtter handelsfremmende projekter, der kan opnå socialt inklusiv og miljømæssigt bæredygtig økonomisk vækst, integration og jobskabelse, og som respekterer menneskerettighederne; understreger, at disse projekter, navnlig transportkorridorer, ikke må gennemføres på bekostning af ansættelsesvilkår eller arbejdstager- og miljøbeskyttelse; opfordrer til forsikringer om, at projekter styrker den gensidige konkurrenceevne, herunder ved at muliggøre tilpasning til klimamålene og støtte overholdelsen af EU's handelsrelaterede autonome bæredygtighedsforanstaltninger, som håndterer CO2-emissioner og negative miljøpåvirkninger og fremmer menneskerettighederne; mener, at Global Gateway, </w:t>
      </w:r>
      <w:r w:rsidR="00CC01C7" w:rsidRPr="00075CE7">
        <w:lastRenderedPageBreak/>
        <w:t xml:space="preserve">samtidig med at den søger at sikre en modstandsdygtig forsyning af kritiske råstoffer, der er nødvendige for den grønne omstilling og for EU's økonomiske sikkerhed, bør tage hensyn til inklusiv udvikling og sikre, at handelspartnere drager fordel af ressourceudvinding gennem lokal forarbejdning og overførsel af færdigheder og knowhow og skaber merværdi for lokalsamfundene; minder om, at Global Gateway i overensstemmelse med EU's grønne diplomati bør bidrage til energiomstillingen; opfordrer til, at finansieringen af Global Gateway sikrer </w:t>
      </w:r>
      <w:proofErr w:type="spellStart"/>
      <w:r w:rsidR="00CC01C7" w:rsidRPr="00075CE7">
        <w:t>interoperabilitet</w:t>
      </w:r>
      <w:proofErr w:type="spellEnd"/>
      <w:r w:rsidR="00CC01C7" w:rsidRPr="00075CE7">
        <w:t xml:space="preserve"> med EU's standarder, gennemsigtige procedurer og respekt for miljømæssige, sociale og forvaltningsmæssige standarder, herunder gennem systemer til løbende overvågning;</w:t>
      </w:r>
    </w:p>
    <w:p w14:paraId="5D9006D4" w14:textId="77777777" w:rsidR="00CC01C7" w:rsidRPr="00075CE7" w:rsidRDefault="00CC01C7" w:rsidP="00CC01C7">
      <w:pPr>
        <w:pStyle w:val="NormalHanging12a"/>
        <w:rPr>
          <w:b/>
          <w:i/>
        </w:rPr>
      </w:pPr>
      <w:r w:rsidRPr="00075CE7">
        <w:rPr>
          <w:b/>
          <w:i/>
        </w:rPr>
        <w:t>Finansielle instrumenter</w:t>
      </w:r>
    </w:p>
    <w:p w14:paraId="7962DCD0" w14:textId="25DAD46D" w:rsidR="00CC01C7" w:rsidRPr="00075CE7" w:rsidRDefault="009E5AA0" w:rsidP="00CC01C7">
      <w:pPr>
        <w:pStyle w:val="NormalHanging12a"/>
        <w:rPr>
          <w:bCs/>
          <w:iCs/>
        </w:rPr>
      </w:pPr>
      <w:r>
        <w:t>92</w:t>
      </w:r>
      <w:r w:rsidR="00CC01C7" w:rsidRPr="00075CE7">
        <w:t>.</w:t>
      </w:r>
      <w:r w:rsidR="00CC01C7" w:rsidRPr="00075CE7">
        <w:tab/>
        <w:t>understreger, at EU har gennemført udviklingsfinansiering og garantibaserede investeringstransaktioner siden længe før lanceringen af Global Gateway i 2021, herunder gennem Den Europæiske Fond for Bæredygtig Udvikling Plus;</w:t>
      </w:r>
    </w:p>
    <w:p w14:paraId="60BE03AF" w14:textId="571427E6" w:rsidR="00CC01C7" w:rsidRPr="00075CE7" w:rsidRDefault="009E5AA0" w:rsidP="00CC01C7">
      <w:pPr>
        <w:pStyle w:val="NormalHanging12a"/>
        <w:rPr>
          <w:bCs/>
          <w:iCs/>
        </w:rPr>
      </w:pPr>
      <w:r>
        <w:t>93</w:t>
      </w:r>
      <w:r w:rsidR="00CC01C7" w:rsidRPr="00075CE7">
        <w:t>.</w:t>
      </w:r>
      <w:r w:rsidR="00CC01C7" w:rsidRPr="00075CE7">
        <w:tab/>
        <w:t>opfordrer Kommissionen til at foretage en konsekvensanalyse af Den Europæiske Fond for Bæredygtig Udvikling og Den Europæiske Fond for Bæredygtig Udvikling Plus, som bør danne grundlag for den næste fond for et globalt Europa, som skal støtte Global Gateway i den næste flerårige finansielle ramme, og som også skal måle fremskridt med hensyn til at reducere uligheder og forbedre menneskelig udvikling, inklusion og tilgængelighed samt fremme af sociale og miljømæssige standarder; insisterer på, at alle fremtidige finansielle instrumenter skal baseres på en forsvarlig vurdering af eksisterende finansiering; er af den opfattelse, at der er behov for større gennemsigtighed og rapportering samt forbedret risikostyring og styringsstrukturer, også med hensyn til detaljerne i budgetkontoplanen; mener, at de barrierer, der i øjeblikket forhindrer europæiske SMV'er i at deltage mere bredt i Global Gateway-projekter, bør fjernes, samtidig med at man anerkender de udfordringer, der opstår som følge af den store finansieringssammenhæng og med multinationale virksomheder som vigtige partnere i den private sektor;</w:t>
      </w:r>
    </w:p>
    <w:p w14:paraId="74A02E9B" w14:textId="3B4B7547" w:rsidR="00CC01C7" w:rsidRPr="00075CE7" w:rsidRDefault="009E5AA0" w:rsidP="00CC01C7">
      <w:pPr>
        <w:pStyle w:val="NormalHanging12a"/>
        <w:rPr>
          <w:bCs/>
          <w:iCs/>
        </w:rPr>
      </w:pPr>
      <w:r>
        <w:t>94</w:t>
      </w:r>
      <w:r w:rsidR="00CC01C7" w:rsidRPr="00075CE7">
        <w:t>.</w:t>
      </w:r>
      <w:r w:rsidR="00CC01C7" w:rsidRPr="00075CE7">
        <w:tab/>
        <w:t>understreger betydningen af en inklusiv Team Europe-tilgang; opfordrer Kommissionen, EIB, Den Europæiske Bank for Genopbygning og Udvikling og de nationale udviklingsfinansieringsinstitutioner til at udforme og gennemføre Global Gateway-instrumenter til risikobegrænsning for at gøre dem enklere og mere forudsigelige og til at arbejde på en måde, der aktivt åbner adgang for virksomheder fra alle medlemsstater, herunder dem uden nationale udviklingsfinansieringsinstitutioner, ved at stille forholdsmæssige adgangskrav og skræddersyede muligheder til rådighed for SMV'er, og til at udarbejde særlige politiske risikoforsikringsordninger for Global Gateway-projekter;</w:t>
      </w:r>
    </w:p>
    <w:p w14:paraId="4028EEF0" w14:textId="58DEECA6" w:rsidR="00CC01C7" w:rsidRPr="00075CE7" w:rsidRDefault="009E5AA0" w:rsidP="00CC01C7">
      <w:pPr>
        <w:pStyle w:val="NormalHanging12a"/>
        <w:rPr>
          <w:bCs/>
          <w:iCs/>
        </w:rPr>
      </w:pPr>
      <w:r>
        <w:t>95</w:t>
      </w:r>
      <w:r w:rsidR="00CC01C7" w:rsidRPr="00075CE7">
        <w:t>.</w:t>
      </w:r>
      <w:r w:rsidR="00CC01C7" w:rsidRPr="00075CE7">
        <w:tab/>
        <w:t>fremhæver betydningen af handels- og eksportfremmende værktøjer, herunder eksportkreditagenturer, garantier, forsikringsprodukter og forretningspartnerskaber, som integrerede komponenter i Global Gateway-værktøjskassen; opfordrer Kommissionen og medlemsstaterne til at styrke koordineringen af anvendelsen af eksportkreditagenturer, aktiviteter for økonomisk diplomati og politiske besøg på højt plan inden for rammerne af en Team Europe-tilgang med henblik på at lette bæredygtig eksport og markedsadgang for europæiske virksomheder i partnerlande, navnlig SMV'er; opfordrer til solide garantier for at sikre fuld overholdelse af internationale regler, EU's udviklingsmål og EU's standarder for menneskerettigheder, miljø, klimagennemsigtighed og gældsbæredygtighed;</w:t>
      </w:r>
    </w:p>
    <w:p w14:paraId="7D634620" w14:textId="7B297D8F" w:rsidR="00CC01C7" w:rsidRPr="00075CE7" w:rsidRDefault="009E5AA0" w:rsidP="00CC01C7">
      <w:pPr>
        <w:pStyle w:val="NormalHanging12a"/>
        <w:rPr>
          <w:bCs/>
          <w:iCs/>
        </w:rPr>
      </w:pPr>
      <w:r>
        <w:lastRenderedPageBreak/>
        <w:t>96</w:t>
      </w:r>
      <w:r w:rsidR="00CC01C7" w:rsidRPr="00075CE7">
        <w:t>.</w:t>
      </w:r>
      <w:r w:rsidR="00CC01C7" w:rsidRPr="00075CE7">
        <w:tab/>
        <w:t>opfordrer Kommissionen og medlemsstaterne til at sikre fuld gennemsigtighed i alle operationer, der involverer fælles eller koordinerede foranstaltninger mellem europæiske eksportkreditagenturer og udviklingsfinansieringsinstitutioner, herunder gennem offentliggørelse af projektudvælgelseskriterier, støttemodtagere og konsekvensanalyser;</w:t>
      </w:r>
    </w:p>
    <w:p w14:paraId="64862AC4" w14:textId="01C2CE50" w:rsidR="00CC01C7" w:rsidRPr="00075CE7" w:rsidRDefault="009E5AA0" w:rsidP="00CC01C7">
      <w:pPr>
        <w:pStyle w:val="NormalHanging12a"/>
      </w:pPr>
      <w:r>
        <w:t>97</w:t>
      </w:r>
      <w:r w:rsidR="00CC01C7" w:rsidRPr="00075CE7">
        <w:t>.</w:t>
      </w:r>
      <w:r w:rsidR="00CC01C7" w:rsidRPr="00075CE7">
        <w:tab/>
        <w:t>minder om, at EIB Global, Den Europæiske Investeringsbanks udviklingsdirektorat, er en af de centrale aktører i forbindelse med gennemførelsen af Global Gateway og derfor forventes at anvende de højeste standarder for gennemsigtighed og ansvarlighed i sine projekter; opfordrer indtrængende Kommissionen og gennemførelsespartnerne til at offentliggøre oplysninger herom rettidigt og på en tilgængelig måde; opfordrer Kommissionen til at maksimere samarbejdet med EIB som EU's bank, hvilket bør afspejles i den næste flerårige finansielle ramme; opfordrer udviklingsfinansieringsinstitutioner, der gennemfører Global Gateway-projekter, såsom EIB, til at gøre hver projektrelateret gældsvurdering offentligt tilgængelig; gentager sin opfordring til, at EIB Global centreres omkring en retfærdig og bæredygtig udviklingsdagsorden i modtagerlandene;</w:t>
      </w:r>
    </w:p>
    <w:p w14:paraId="0A2385D6" w14:textId="2971942D" w:rsidR="00CC01C7" w:rsidRPr="00075CE7" w:rsidRDefault="009E5AA0" w:rsidP="00CC01C7">
      <w:pPr>
        <w:pStyle w:val="NormalHanging12a"/>
      </w:pPr>
      <w:r>
        <w:t>98</w:t>
      </w:r>
      <w:r w:rsidR="00CC01C7" w:rsidRPr="00075CE7">
        <w:t>.</w:t>
      </w:r>
      <w:r w:rsidR="00CC01C7" w:rsidRPr="00075CE7">
        <w:tab/>
        <w:t>understreger behovet for en øget anvendelse af blandede finansieringsinstrumenter og koncessionsinstrumenter, hvor det er relevant, for at gøre projekter kommercielt levedygtige; glæder sig over EIB's bestræbelser på yderligere at maksimere effektiviteten og strømline processerne, herunder ved at anvende gensidig tillid med særlige Team Europe-partnere, hvor det er muligt;</w:t>
      </w:r>
    </w:p>
    <w:p w14:paraId="0FD2140C" w14:textId="054E5646" w:rsidR="00CC01C7" w:rsidRPr="00075CE7" w:rsidRDefault="009E5AA0" w:rsidP="00CC01C7">
      <w:pPr>
        <w:pStyle w:val="NormalHanging12a"/>
      </w:pPr>
      <w:r>
        <w:t>99</w:t>
      </w:r>
      <w:r w:rsidR="00CC01C7" w:rsidRPr="00075CE7">
        <w:t>.</w:t>
      </w:r>
      <w:r w:rsidR="00CC01C7" w:rsidRPr="00075CE7">
        <w:tab/>
        <w:t>opfordrer endvidere til en vurdering af, i hvilket omfang officiel udviklingsbistand kan mobiliseres under Global Gateway med hjælp fra EIB, for også at opnå en klarere skelnen mellem EU's dagsorden for konkurrenceevne, der kommer fra andre kilder end den officielle udviklingsbistand, og den udviklingsdagsorden, der er omfattet af den officielle udviklingsbistand; påpeger, at nye og innovative teknologier og SMV'er har brug for specifikke finansieringsinstrumenter, og at der bør være tilskud til rådighed samt lån, risikobegrænsende instrumenter og potentielt egenkapital;</w:t>
      </w:r>
    </w:p>
    <w:p w14:paraId="0957D7C5" w14:textId="29507055" w:rsidR="00CC01C7" w:rsidRPr="00075CE7" w:rsidRDefault="009E5AA0" w:rsidP="00CC01C7">
      <w:pPr>
        <w:pStyle w:val="NormalHanging12a"/>
      </w:pPr>
      <w:r>
        <w:t>100</w:t>
      </w:r>
      <w:r w:rsidR="00CC01C7" w:rsidRPr="00075CE7">
        <w:t>.</w:t>
      </w:r>
      <w:r w:rsidR="00CC01C7" w:rsidRPr="00075CE7">
        <w:tab/>
        <w:t xml:space="preserve">minder om, at andre multilaterale udviklingsbanker, der er involveret i gennemførelsen af Global Gateway, ud over EIB Global også skal overholde høje standarder for gennemsigtighed og ansvarlighed; understreger, at alle multilaterale udviklingsbanker, der deltager i Global Gateway-operationer, bør demonstrere udviklingsmæssig </w:t>
      </w:r>
      <w:proofErr w:type="spellStart"/>
      <w:r w:rsidR="00CC01C7" w:rsidRPr="00075CE7">
        <w:t>additionalitet</w:t>
      </w:r>
      <w:proofErr w:type="spellEnd"/>
      <w:r w:rsidR="00CC01C7" w:rsidRPr="00075CE7">
        <w:t>, undgå praksis, der øger gældssårbarheder i partnerlandene og tilpasse deres finansiering til retfærdige, bæredygtige og lokalt gavnlige udviklingsresultater; opfordrer Kommissionen til at sikre fuld overholdelse af disse principper;</w:t>
      </w:r>
    </w:p>
    <w:p w14:paraId="09FD5804" w14:textId="77777777" w:rsidR="00CC01C7" w:rsidRPr="00075CE7" w:rsidRDefault="00CC01C7" w:rsidP="00CC01C7">
      <w:pPr>
        <w:pStyle w:val="NormalCenter12a"/>
      </w:pPr>
      <w:r w:rsidRPr="00075CE7">
        <w:t>°</w:t>
      </w:r>
    </w:p>
    <w:p w14:paraId="572654D0" w14:textId="77777777" w:rsidR="00CC01C7" w:rsidRPr="00075CE7" w:rsidRDefault="00CC01C7" w:rsidP="00CC01C7">
      <w:pPr>
        <w:pStyle w:val="NormalCenter12a"/>
      </w:pPr>
      <w:r w:rsidRPr="00075CE7">
        <w:t>°</w:t>
      </w:r>
      <w:r w:rsidRPr="00075CE7">
        <w:tab/>
        <w:t>°</w:t>
      </w:r>
    </w:p>
    <w:p w14:paraId="749094B6" w14:textId="0DF22980" w:rsidR="00075CE7" w:rsidRPr="00075CE7" w:rsidRDefault="009E5AA0" w:rsidP="00075CE7">
      <w:pPr>
        <w:pStyle w:val="NormalHanging12a"/>
      </w:pPr>
      <w:r>
        <w:t>101</w:t>
      </w:r>
      <w:r w:rsidR="00CC01C7" w:rsidRPr="00075CE7">
        <w:t>.</w:t>
      </w:r>
      <w:r w:rsidR="00CC01C7" w:rsidRPr="00075CE7">
        <w:tab/>
        <w:t>pålægger sin formand at sende denne beslutning til formanden for Det Europæiske Råd, Rådet og Kommissionen.</w:t>
      </w:r>
    </w:p>
    <w:p w14:paraId="401A8D82" w14:textId="72ED562A" w:rsidR="00E365E1" w:rsidRPr="00075CE7" w:rsidRDefault="00E365E1" w:rsidP="00A333ED"/>
    <w:sectPr w:rsidR="00E365E1" w:rsidRPr="00075CE7" w:rsidSect="00075CE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6757A" w14:textId="77777777" w:rsidR="00A333ED" w:rsidRPr="00075CE7" w:rsidRDefault="00A333ED">
      <w:r w:rsidRPr="00075CE7">
        <w:separator/>
      </w:r>
    </w:p>
  </w:endnote>
  <w:endnote w:type="continuationSeparator" w:id="0">
    <w:p w14:paraId="3ECC87B1" w14:textId="77777777" w:rsidR="00A333ED" w:rsidRPr="00075CE7" w:rsidRDefault="00A333ED">
      <w:r w:rsidRPr="00075C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A453C" w14:textId="77777777" w:rsidR="00A333ED" w:rsidRPr="00075CE7" w:rsidRDefault="00A333ED">
      <w:r w:rsidRPr="00075CE7">
        <w:separator/>
      </w:r>
    </w:p>
  </w:footnote>
  <w:footnote w:type="continuationSeparator" w:id="0">
    <w:p w14:paraId="082E629F" w14:textId="77777777" w:rsidR="00A333ED" w:rsidRPr="00075CE7" w:rsidRDefault="00A333ED">
      <w:r w:rsidRPr="00075CE7">
        <w:continuationSeparator/>
      </w:r>
    </w:p>
  </w:footnote>
  <w:footnote w:id="1">
    <w:p w14:paraId="2322EF50" w14:textId="28B80D08"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EUT C 210 af 30.6.2017, s. 1.</w:t>
      </w:r>
    </w:p>
  </w:footnote>
  <w:footnote w:id="2">
    <w:p w14:paraId="0E43911B" w14:textId="0D363AF7"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 xml:space="preserve">EUT L 209 af 14.6.2021, s. 1, ELI: </w:t>
      </w:r>
      <w:hyperlink r:id="rId1" w:tgtFrame="http://data.europa.eu/eli/reg/2021/947/oj" w:history="1">
        <w:r w:rsidRPr="00075CE7">
          <w:rPr>
            <w:rStyle w:val="Hyperlink"/>
            <w:sz w:val="24"/>
            <w:lang w:val="da-DK"/>
          </w:rPr>
          <w:t>http://data.europa.eu/eli/reg/2021/947/oj.</w:t>
        </w:r>
      </w:hyperlink>
    </w:p>
  </w:footnote>
  <w:footnote w:id="3">
    <w:p w14:paraId="51225F65" w14:textId="0D29771E"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 xml:space="preserve">EUT L 330 af 20.9.2021, ELI: </w:t>
      </w:r>
      <w:hyperlink r:id="rId2" w:tgtFrame="http://data.europa.eu/eli/reg/2021/1529/oj" w:history="1">
        <w:r w:rsidRPr="00075CE7">
          <w:rPr>
            <w:rStyle w:val="Hyperlink"/>
            <w:sz w:val="24"/>
            <w:lang w:val="da-DK"/>
          </w:rPr>
          <w:t>http://data.europa.eu/eli/reg/2021/1529/oj</w:t>
        </w:r>
      </w:hyperlink>
      <w:hyperlink r:id="rId3" w:tgtFrame="http://data.europa.eu/eli/reg/2021/1529/oj." w:history="1">
        <w:r w:rsidRPr="00075CE7">
          <w:rPr>
            <w:rStyle w:val="Hyperlink"/>
            <w:sz w:val="24"/>
            <w:lang w:val="da-DK"/>
          </w:rPr>
          <w:t>.</w:t>
        </w:r>
      </w:hyperlink>
    </w:p>
  </w:footnote>
  <w:footnote w:id="4">
    <w:p w14:paraId="2EB29470" w14:textId="39524BFF"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 xml:space="preserve">EUT L 201 af 3.8.2010, ELI: </w:t>
      </w:r>
      <w:hyperlink r:id="rId4" w:tgtFrame="http://data.europa.eu/eli/dec/2010/427/oj" w:history="1">
        <w:r w:rsidRPr="00075CE7">
          <w:rPr>
            <w:rStyle w:val="Hyperlink"/>
            <w:sz w:val="24"/>
            <w:lang w:val="da-DK"/>
          </w:rPr>
          <w:t>http://data.europa.eu/eli/dec/2010/427/oj.</w:t>
        </w:r>
      </w:hyperlink>
    </w:p>
  </w:footnote>
  <w:footnote w:id="5">
    <w:p w14:paraId="13F55200" w14:textId="474D20E9"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EUT C 456 af 10.11.2021, s. 117.</w:t>
      </w:r>
    </w:p>
  </w:footnote>
  <w:footnote w:id="6">
    <w:p w14:paraId="45577E26" w14:textId="5C0DD9C1"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EUT C 167 af 11.5.2023, s. 57.</w:t>
      </w:r>
    </w:p>
  </w:footnote>
  <w:footnote w:id="7">
    <w:p w14:paraId="488F61D4" w14:textId="1822A11A" w:rsidR="00CC01C7" w:rsidRPr="00713B9C" w:rsidRDefault="00CC01C7" w:rsidP="00075CE7">
      <w:pPr>
        <w:pStyle w:val="FootnoteText"/>
        <w:ind w:left="567" w:hanging="567"/>
        <w:rPr>
          <w:sz w:val="24"/>
          <w:lang w:val="fi-FI"/>
        </w:rPr>
      </w:pPr>
      <w:r w:rsidRPr="00075CE7">
        <w:rPr>
          <w:rStyle w:val="FootnoteReference"/>
          <w:sz w:val="24"/>
          <w:lang w:val="da-DK"/>
        </w:rPr>
        <w:footnoteRef/>
      </w:r>
      <w:r w:rsidR="00075CE7" w:rsidRPr="00713B9C">
        <w:rPr>
          <w:sz w:val="24"/>
          <w:lang w:val="fi-FI"/>
        </w:rPr>
        <w:t xml:space="preserve"> </w:t>
      </w:r>
      <w:r w:rsidR="00075CE7" w:rsidRPr="00713B9C">
        <w:rPr>
          <w:sz w:val="24"/>
          <w:lang w:val="fi-FI"/>
        </w:rPr>
        <w:tab/>
      </w:r>
      <w:r w:rsidRPr="00713B9C">
        <w:rPr>
          <w:sz w:val="24"/>
          <w:lang w:val="fi-FI"/>
        </w:rPr>
        <w:t xml:space="preserve">EUT C, C/2024/4163, 2.8.2024, ELI: </w:t>
      </w:r>
      <w:hyperlink r:id="rId5" w:tgtFrame="http://data.europa.eu/eli/C/2024/4163/oj" w:history="1">
        <w:r w:rsidRPr="00713B9C">
          <w:rPr>
            <w:rStyle w:val="Hyperlink"/>
            <w:sz w:val="24"/>
            <w:lang w:val="fi-FI"/>
          </w:rPr>
          <w:t>http://data.europa.eu/eli/C/2024/4163/oj</w:t>
        </w:r>
      </w:hyperlink>
      <w:r w:rsidRPr="00713B9C">
        <w:rPr>
          <w:sz w:val="24"/>
          <w:lang w:val="fi-FI"/>
        </w:rPr>
        <w:t>.</w:t>
      </w:r>
    </w:p>
  </w:footnote>
  <w:footnote w:id="8">
    <w:p w14:paraId="3FA8DCAE" w14:textId="0C69F2AA" w:rsidR="00CC01C7" w:rsidRPr="00713B9C" w:rsidRDefault="00CC01C7" w:rsidP="00075CE7">
      <w:pPr>
        <w:pStyle w:val="FootnoteText"/>
        <w:ind w:left="567" w:hanging="567"/>
        <w:rPr>
          <w:sz w:val="24"/>
          <w:lang w:val="fi-FI"/>
        </w:rPr>
      </w:pPr>
      <w:r w:rsidRPr="00075CE7">
        <w:rPr>
          <w:rStyle w:val="FootnoteReference"/>
          <w:sz w:val="24"/>
          <w:lang w:val="da-DK"/>
        </w:rPr>
        <w:footnoteRef/>
      </w:r>
      <w:r w:rsidR="00075CE7" w:rsidRPr="00713B9C">
        <w:rPr>
          <w:sz w:val="24"/>
          <w:lang w:val="fi-FI"/>
        </w:rPr>
        <w:t xml:space="preserve"> </w:t>
      </w:r>
      <w:r w:rsidR="00075CE7" w:rsidRPr="00713B9C">
        <w:rPr>
          <w:sz w:val="24"/>
          <w:lang w:val="fi-FI"/>
        </w:rPr>
        <w:tab/>
      </w:r>
      <w:r w:rsidRPr="00713B9C">
        <w:rPr>
          <w:sz w:val="24"/>
          <w:lang w:val="fi-FI"/>
        </w:rPr>
        <w:t xml:space="preserve">EUT C, C/2024/5719, 17.10.2024, ELI: </w:t>
      </w:r>
      <w:hyperlink r:id="rId6" w:tgtFrame="http://data.europa.eu/eli/C/2024/5719/oj" w:history="1">
        <w:r w:rsidRPr="00713B9C">
          <w:rPr>
            <w:rStyle w:val="Hyperlink"/>
            <w:sz w:val="24"/>
            <w:lang w:val="fi-FI"/>
          </w:rPr>
          <w:t>http://data.europa.eu/eli/C/2024/5719/oj</w:t>
        </w:r>
      </w:hyperlink>
      <w:r w:rsidRPr="00713B9C">
        <w:rPr>
          <w:sz w:val="24"/>
          <w:lang w:val="fi-FI"/>
        </w:rPr>
        <w:t>.</w:t>
      </w:r>
    </w:p>
  </w:footnote>
  <w:footnote w:id="9">
    <w:p w14:paraId="4C26D0CF" w14:textId="291917D9" w:rsidR="00CC01C7" w:rsidRPr="00713B9C" w:rsidRDefault="00CC01C7" w:rsidP="00075CE7">
      <w:pPr>
        <w:pStyle w:val="FootnoteText"/>
        <w:ind w:left="567" w:hanging="567"/>
        <w:rPr>
          <w:sz w:val="24"/>
          <w:lang w:val="fi-FI"/>
        </w:rPr>
      </w:pPr>
      <w:r w:rsidRPr="00075CE7">
        <w:rPr>
          <w:rStyle w:val="FootnoteReference"/>
          <w:sz w:val="24"/>
          <w:lang w:val="da-DK"/>
        </w:rPr>
        <w:footnoteRef/>
      </w:r>
      <w:r w:rsidR="00075CE7" w:rsidRPr="00713B9C">
        <w:rPr>
          <w:sz w:val="24"/>
          <w:lang w:val="fi-FI"/>
        </w:rPr>
        <w:t xml:space="preserve"> </w:t>
      </w:r>
      <w:r w:rsidR="00075CE7" w:rsidRPr="00713B9C">
        <w:rPr>
          <w:sz w:val="24"/>
          <w:lang w:val="fi-FI"/>
        </w:rPr>
        <w:tab/>
      </w:r>
      <w:r w:rsidRPr="00713B9C">
        <w:rPr>
          <w:sz w:val="24"/>
          <w:lang w:val="fi-FI"/>
        </w:rPr>
        <w:t xml:space="preserve">EUT C, C/2024/5716, 17.10.2024, ELI: </w:t>
      </w:r>
      <w:hyperlink r:id="rId7" w:tgtFrame="http://data.europa.eu/eli/C/2024/5716/oj" w:history="1">
        <w:r w:rsidRPr="00713B9C">
          <w:rPr>
            <w:rStyle w:val="Hyperlink"/>
            <w:sz w:val="24"/>
            <w:lang w:val="fi-FI"/>
          </w:rPr>
          <w:t>http://data.europa.eu/eli/C/2024/5716/oj</w:t>
        </w:r>
      </w:hyperlink>
      <w:r w:rsidRPr="00713B9C">
        <w:rPr>
          <w:sz w:val="24"/>
          <w:lang w:val="fi-FI"/>
        </w:rPr>
        <w:t>.</w:t>
      </w:r>
    </w:p>
  </w:footnote>
  <w:footnote w:id="10">
    <w:p w14:paraId="082567A0" w14:textId="2780ACF9" w:rsidR="00CC01C7" w:rsidRPr="00713B9C" w:rsidRDefault="00CC01C7" w:rsidP="00075CE7">
      <w:pPr>
        <w:pStyle w:val="FootnoteText"/>
        <w:ind w:left="567" w:hanging="567"/>
        <w:rPr>
          <w:sz w:val="24"/>
          <w:lang w:val="fi-FI"/>
        </w:rPr>
      </w:pPr>
      <w:r w:rsidRPr="00075CE7">
        <w:rPr>
          <w:rStyle w:val="FootnoteReference"/>
          <w:sz w:val="24"/>
          <w:lang w:val="da-DK"/>
        </w:rPr>
        <w:footnoteRef/>
      </w:r>
      <w:r w:rsidR="00075CE7" w:rsidRPr="00713B9C">
        <w:rPr>
          <w:sz w:val="24"/>
          <w:lang w:val="fi-FI"/>
        </w:rPr>
        <w:t xml:space="preserve"> </w:t>
      </w:r>
      <w:r w:rsidR="00075CE7" w:rsidRPr="00713B9C">
        <w:rPr>
          <w:sz w:val="24"/>
          <w:lang w:val="fi-FI"/>
        </w:rPr>
        <w:tab/>
      </w:r>
      <w:r w:rsidRPr="00713B9C">
        <w:rPr>
          <w:sz w:val="24"/>
          <w:lang w:val="fi-FI"/>
        </w:rPr>
        <w:t xml:space="preserve">EUT C, C/2025/4388, 9.9.2025, ELI: </w:t>
      </w:r>
      <w:hyperlink r:id="rId8" w:tgtFrame="http://data.europa.eu/eli/C/2025/4388/oj" w:history="1">
        <w:r w:rsidRPr="00713B9C">
          <w:rPr>
            <w:rStyle w:val="Hyperlink"/>
            <w:sz w:val="24"/>
            <w:lang w:val="fi-FI"/>
          </w:rPr>
          <w:t>http://data.europa.eu/eli/C/2025/4388/oj</w:t>
        </w:r>
      </w:hyperlink>
      <w:r w:rsidRPr="00713B9C">
        <w:rPr>
          <w:sz w:val="24"/>
          <w:lang w:val="fi-FI"/>
        </w:rPr>
        <w:t>.</w:t>
      </w:r>
    </w:p>
  </w:footnote>
  <w:footnote w:id="11">
    <w:p w14:paraId="1E05111C" w14:textId="42322A14" w:rsidR="00CC01C7" w:rsidRPr="00713B9C" w:rsidRDefault="00CC01C7" w:rsidP="00075CE7">
      <w:pPr>
        <w:pStyle w:val="FootnoteText"/>
        <w:ind w:left="567" w:hanging="567"/>
        <w:rPr>
          <w:sz w:val="24"/>
          <w:lang w:val="fi-FI"/>
        </w:rPr>
      </w:pPr>
      <w:r w:rsidRPr="00075CE7">
        <w:rPr>
          <w:rStyle w:val="FootnoteReference"/>
          <w:sz w:val="24"/>
          <w:lang w:val="da-DK"/>
        </w:rPr>
        <w:footnoteRef/>
      </w:r>
      <w:r w:rsidR="00075CE7" w:rsidRPr="00713B9C">
        <w:rPr>
          <w:sz w:val="24"/>
          <w:lang w:val="fi-FI"/>
        </w:rPr>
        <w:t xml:space="preserve"> </w:t>
      </w:r>
      <w:r w:rsidR="00075CE7" w:rsidRPr="00713B9C">
        <w:rPr>
          <w:sz w:val="24"/>
          <w:lang w:val="fi-FI"/>
        </w:rPr>
        <w:tab/>
      </w:r>
      <w:r w:rsidRPr="00713B9C">
        <w:rPr>
          <w:sz w:val="24"/>
          <w:lang w:val="fi-FI"/>
        </w:rPr>
        <w:t xml:space="preserve">EUT C, C/2025/4390, 9.9.2025, ELI: </w:t>
      </w:r>
      <w:hyperlink r:id="rId9" w:tgtFrame="http://data.europa.eu/eli/C/2025/4390/oj" w:history="1">
        <w:r w:rsidRPr="00713B9C">
          <w:rPr>
            <w:rStyle w:val="Hyperlink"/>
            <w:sz w:val="24"/>
            <w:lang w:val="fi-FI"/>
          </w:rPr>
          <w:t>http://data.europa.eu/eli/C/2025/4390/oj</w:t>
        </w:r>
      </w:hyperlink>
      <w:r w:rsidRPr="00713B9C">
        <w:rPr>
          <w:sz w:val="24"/>
          <w:lang w:val="fi-FI"/>
        </w:rPr>
        <w:t>.</w:t>
      </w:r>
    </w:p>
  </w:footnote>
  <w:footnote w:id="12">
    <w:p w14:paraId="436E2A8D" w14:textId="23A9DE42" w:rsidR="00CC01C7" w:rsidRPr="00713B9C" w:rsidRDefault="00CC01C7" w:rsidP="00075CE7">
      <w:pPr>
        <w:pStyle w:val="FootnoteText"/>
        <w:ind w:left="567" w:hanging="567"/>
        <w:rPr>
          <w:sz w:val="24"/>
          <w:lang w:val="fi-FI"/>
        </w:rPr>
      </w:pPr>
      <w:r w:rsidRPr="00075CE7">
        <w:rPr>
          <w:rStyle w:val="FootnoteReference"/>
          <w:sz w:val="24"/>
          <w:lang w:val="da-DK"/>
        </w:rPr>
        <w:footnoteRef/>
      </w:r>
      <w:r w:rsidR="00075CE7" w:rsidRPr="00713B9C">
        <w:rPr>
          <w:sz w:val="24"/>
          <w:lang w:val="fi-FI"/>
        </w:rPr>
        <w:t xml:space="preserve"> </w:t>
      </w:r>
      <w:r w:rsidR="00075CE7" w:rsidRPr="00713B9C">
        <w:rPr>
          <w:sz w:val="24"/>
          <w:lang w:val="fi-FI"/>
        </w:rPr>
        <w:tab/>
      </w:r>
      <w:r w:rsidRPr="00713B9C">
        <w:rPr>
          <w:sz w:val="24"/>
          <w:lang w:val="fi-FI"/>
        </w:rPr>
        <w:t xml:space="preserve">EUT C, C/2026/574, 24.2.2026, ELI: </w:t>
      </w:r>
      <w:hyperlink r:id="rId10" w:history="1">
        <w:r w:rsidRPr="00713B9C">
          <w:rPr>
            <w:rStyle w:val="Hyperlink"/>
            <w:sz w:val="24"/>
            <w:lang w:val="fi-FI"/>
          </w:rPr>
          <w:t>http://data.europa.eu/eli/C/2026/574/oj</w:t>
        </w:r>
      </w:hyperlink>
      <w:r w:rsidRPr="00713B9C">
        <w:rPr>
          <w:sz w:val="24"/>
          <w:lang w:val="fi-FI"/>
        </w:rPr>
        <w:t>.</w:t>
      </w:r>
    </w:p>
  </w:footnote>
  <w:footnote w:id="13">
    <w:p w14:paraId="746332B8" w14:textId="58FF516E"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 xml:space="preserve">Vedtagne tekster, </w:t>
      </w:r>
      <w:hyperlink r:id="rId11" w:anchor="title1_1" w:tgtFrame="https://www.europarl.europa.eu/doceo/document/TA-10-2025-05-07_EN.html#title1_1" w:history="1">
        <w:r w:rsidRPr="00075CE7">
          <w:rPr>
            <w:rStyle w:val="Hyperlink"/>
            <w:sz w:val="24"/>
            <w:lang w:val="da-DK"/>
          </w:rPr>
          <w:t>P10_TA(2025)0077</w:t>
        </w:r>
      </w:hyperlink>
      <w:r w:rsidRPr="00075CE7">
        <w:rPr>
          <w:sz w:val="24"/>
          <w:lang w:val="da-DK"/>
        </w:rPr>
        <w:t>.</w:t>
      </w:r>
    </w:p>
  </w:footnote>
  <w:footnote w:id="14">
    <w:p w14:paraId="1C9DB255" w14:textId="20C8A0B6" w:rsidR="00CC01C7" w:rsidRPr="00075CE7" w:rsidRDefault="00CC01C7" w:rsidP="00075CE7">
      <w:pPr>
        <w:pStyle w:val="FootnoteText"/>
        <w:ind w:left="567" w:hanging="567"/>
        <w:rPr>
          <w:sz w:val="24"/>
          <w:lang w:val="da-DK"/>
        </w:rPr>
      </w:pPr>
      <w:r w:rsidRPr="00075CE7">
        <w:rPr>
          <w:rStyle w:val="FootnoteReference"/>
          <w:sz w:val="24"/>
          <w:lang w:val="da-DK"/>
        </w:rPr>
        <w:footnoteRef/>
      </w:r>
      <w:r w:rsidR="00075CE7" w:rsidRPr="00075CE7">
        <w:rPr>
          <w:sz w:val="24"/>
          <w:lang w:val="da-DK"/>
        </w:rPr>
        <w:t xml:space="preserve"> </w:t>
      </w:r>
      <w:r w:rsidR="00075CE7" w:rsidRPr="00075CE7">
        <w:rPr>
          <w:sz w:val="24"/>
          <w:lang w:val="da-DK"/>
        </w:rPr>
        <w:tab/>
      </w:r>
      <w:r w:rsidRPr="00075CE7">
        <w:rPr>
          <w:sz w:val="24"/>
          <w:lang w:val="da-DK"/>
        </w:rPr>
        <w:t xml:space="preserve">Vedtagne tekster, </w:t>
      </w:r>
      <w:hyperlink r:id="rId12" w:tgtFrame="https://www.europarl.europa.eu/doceo/document/TA-10-2025-0159_EN.html" w:history="1">
        <w:r w:rsidRPr="00075CE7">
          <w:rPr>
            <w:rStyle w:val="Hyperlink"/>
            <w:sz w:val="24"/>
            <w:lang w:val="da-DK"/>
          </w:rPr>
          <w:t>P10_TA(2025)0159</w:t>
        </w:r>
      </w:hyperlink>
      <w:r w:rsidRPr="00075CE7">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8434112">
    <w:abstractNumId w:val="9"/>
  </w:num>
  <w:num w:numId="2" w16cid:durableId="63722578">
    <w:abstractNumId w:val="9"/>
  </w:num>
  <w:num w:numId="3" w16cid:durableId="1807890417">
    <w:abstractNumId w:val="7"/>
  </w:num>
  <w:num w:numId="4" w16cid:durableId="547379988">
    <w:abstractNumId w:val="7"/>
  </w:num>
  <w:num w:numId="5" w16cid:durableId="1438406839">
    <w:abstractNumId w:val="6"/>
  </w:num>
  <w:num w:numId="6" w16cid:durableId="2027514310">
    <w:abstractNumId w:val="6"/>
  </w:num>
  <w:num w:numId="7" w16cid:durableId="218134151">
    <w:abstractNumId w:val="5"/>
  </w:num>
  <w:num w:numId="8" w16cid:durableId="379789365">
    <w:abstractNumId w:val="5"/>
  </w:num>
  <w:num w:numId="9" w16cid:durableId="598874257">
    <w:abstractNumId w:val="4"/>
  </w:num>
  <w:num w:numId="10" w16cid:durableId="94717983">
    <w:abstractNumId w:val="4"/>
  </w:num>
  <w:num w:numId="11" w16cid:durableId="745147642">
    <w:abstractNumId w:val="8"/>
  </w:num>
  <w:num w:numId="12" w16cid:durableId="1168909052">
    <w:abstractNumId w:val="8"/>
  </w:num>
  <w:num w:numId="13" w16cid:durableId="518008277">
    <w:abstractNumId w:val="3"/>
  </w:num>
  <w:num w:numId="14" w16cid:durableId="1894149454">
    <w:abstractNumId w:val="3"/>
  </w:num>
  <w:num w:numId="15" w16cid:durableId="1179999785">
    <w:abstractNumId w:val="2"/>
  </w:num>
  <w:num w:numId="16" w16cid:durableId="965430767">
    <w:abstractNumId w:val="2"/>
  </w:num>
  <w:num w:numId="17" w16cid:durableId="37094939">
    <w:abstractNumId w:val="1"/>
  </w:num>
  <w:num w:numId="18" w16cid:durableId="115607164">
    <w:abstractNumId w:val="1"/>
  </w:num>
  <w:num w:numId="19" w16cid:durableId="2051107035">
    <w:abstractNumId w:val="0"/>
  </w:num>
  <w:num w:numId="20" w16cid:durableId="158694521">
    <w:abstractNumId w:val="0"/>
  </w:num>
  <w:num w:numId="21" w16cid:durableId="853962391">
    <w:abstractNumId w:val="9"/>
  </w:num>
  <w:num w:numId="22" w16cid:durableId="708602613">
    <w:abstractNumId w:val="7"/>
  </w:num>
  <w:num w:numId="23" w16cid:durableId="1084955741">
    <w:abstractNumId w:val="6"/>
  </w:num>
  <w:num w:numId="24" w16cid:durableId="380440778">
    <w:abstractNumId w:val="5"/>
  </w:num>
  <w:num w:numId="25" w16cid:durableId="511604266">
    <w:abstractNumId w:val="4"/>
  </w:num>
  <w:num w:numId="26" w16cid:durableId="971013668">
    <w:abstractNumId w:val="8"/>
  </w:num>
  <w:num w:numId="27" w16cid:durableId="19281312">
    <w:abstractNumId w:val="3"/>
  </w:num>
  <w:num w:numId="28" w16cid:durableId="1498691950">
    <w:abstractNumId w:val="2"/>
  </w:num>
  <w:num w:numId="29" w16cid:durableId="1535999504">
    <w:abstractNumId w:val="1"/>
  </w:num>
  <w:num w:numId="30" w16cid:durableId="810562288">
    <w:abstractNumId w:val="0"/>
  </w:num>
  <w:num w:numId="31" w16cid:durableId="1398934594">
    <w:abstractNumId w:val="9"/>
  </w:num>
  <w:num w:numId="32" w16cid:durableId="1795514923">
    <w:abstractNumId w:val="7"/>
  </w:num>
  <w:num w:numId="33" w16cid:durableId="278070975">
    <w:abstractNumId w:val="6"/>
  </w:num>
  <w:num w:numId="34" w16cid:durableId="975186473">
    <w:abstractNumId w:val="5"/>
  </w:num>
  <w:num w:numId="35" w16cid:durableId="101920726">
    <w:abstractNumId w:val="4"/>
  </w:num>
  <w:num w:numId="36" w16cid:durableId="1319920309">
    <w:abstractNumId w:val="8"/>
  </w:num>
  <w:num w:numId="37" w16cid:durableId="1293288816">
    <w:abstractNumId w:val="3"/>
  </w:num>
  <w:num w:numId="38" w16cid:durableId="1079402997">
    <w:abstractNumId w:val="2"/>
  </w:num>
  <w:num w:numId="39" w16cid:durableId="1413313247">
    <w:abstractNumId w:val="1"/>
  </w:num>
  <w:num w:numId="40" w16cid:durableId="288555416">
    <w:abstractNumId w:val="0"/>
  </w:num>
  <w:num w:numId="41" w16cid:durableId="1731684641">
    <w:abstractNumId w:val="10"/>
  </w:num>
  <w:num w:numId="42" w16cid:durableId="1160190723">
    <w:abstractNumId w:val="10"/>
  </w:num>
  <w:num w:numId="43" w16cid:durableId="1624387775">
    <w:abstractNumId w:val="10"/>
  </w:num>
  <w:num w:numId="44" w16cid:durableId="1446777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DA"/>
    <w:docVar w:name="dvnumam" w:val="21"/>
    <w:docVar w:name="dvpe" w:val="776.922"/>
    <w:docVar w:name="dvrapporteur" w:val="Ordførere: "/>
    <w:docVar w:name="dvtitre" w:val="Europa-Parlamentets beslutning af xx.xx 2026 om Global Gateway – tidligere virkninger og fremtidig orientering(2025/2073(INI))"/>
  </w:docVars>
  <w:rsids>
    <w:rsidRoot w:val="00A333ED"/>
    <w:rsid w:val="00002272"/>
    <w:rsid w:val="00064002"/>
    <w:rsid w:val="000677B9"/>
    <w:rsid w:val="00075CE7"/>
    <w:rsid w:val="000831BA"/>
    <w:rsid w:val="000A42CC"/>
    <w:rsid w:val="000B02A3"/>
    <w:rsid w:val="000E7DD9"/>
    <w:rsid w:val="0010095E"/>
    <w:rsid w:val="00125B37"/>
    <w:rsid w:val="00187494"/>
    <w:rsid w:val="001F32AE"/>
    <w:rsid w:val="002767FF"/>
    <w:rsid w:val="002B18FE"/>
    <w:rsid w:val="002B5493"/>
    <w:rsid w:val="00333233"/>
    <w:rsid w:val="00343214"/>
    <w:rsid w:val="00361C00"/>
    <w:rsid w:val="00395FA1"/>
    <w:rsid w:val="003D0C55"/>
    <w:rsid w:val="003E15D4"/>
    <w:rsid w:val="003E2D19"/>
    <w:rsid w:val="00411CCE"/>
    <w:rsid w:val="0041666E"/>
    <w:rsid w:val="00421060"/>
    <w:rsid w:val="00471C19"/>
    <w:rsid w:val="004867E3"/>
    <w:rsid w:val="00494A28"/>
    <w:rsid w:val="004A6DFC"/>
    <w:rsid w:val="004C0004"/>
    <w:rsid w:val="004C5D52"/>
    <w:rsid w:val="0050519A"/>
    <w:rsid w:val="005072A1"/>
    <w:rsid w:val="00514517"/>
    <w:rsid w:val="00545827"/>
    <w:rsid w:val="00560270"/>
    <w:rsid w:val="005C2568"/>
    <w:rsid w:val="005F1B17"/>
    <w:rsid w:val="006037C0"/>
    <w:rsid w:val="006631B6"/>
    <w:rsid w:val="00680577"/>
    <w:rsid w:val="006F74FA"/>
    <w:rsid w:val="00713B9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AB9"/>
    <w:rsid w:val="00930C23"/>
    <w:rsid w:val="0093193B"/>
    <w:rsid w:val="009509D8"/>
    <w:rsid w:val="00950B64"/>
    <w:rsid w:val="00981893"/>
    <w:rsid w:val="009E5AA0"/>
    <w:rsid w:val="00A1687D"/>
    <w:rsid w:val="00A31A5D"/>
    <w:rsid w:val="00A32B1E"/>
    <w:rsid w:val="00A333ED"/>
    <w:rsid w:val="00A37DF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866"/>
    <w:rsid w:val="00C941CB"/>
    <w:rsid w:val="00CC01C7"/>
    <w:rsid w:val="00CC2357"/>
    <w:rsid w:val="00CF071A"/>
    <w:rsid w:val="00D058B8"/>
    <w:rsid w:val="00D56C11"/>
    <w:rsid w:val="00D834A0"/>
    <w:rsid w:val="00D872DF"/>
    <w:rsid w:val="00D91E21"/>
    <w:rsid w:val="00DA7FCD"/>
    <w:rsid w:val="00E365E1"/>
    <w:rsid w:val="00E43954"/>
    <w:rsid w:val="00E820A4"/>
    <w:rsid w:val="00EB006A"/>
    <w:rsid w:val="00EB4772"/>
    <w:rsid w:val="00ED169E"/>
    <w:rsid w:val="00ED4235"/>
    <w:rsid w:val="00EE464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E5FCB"/>
  <w15:chartTrackingRefBased/>
  <w15:docId w15:val="{4921EFA0-CB47-471F-992E-B3AFCA6C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C01C7"/>
    <w:pPr>
      <w:widowControl/>
      <w:spacing w:after="240"/>
    </w:pPr>
    <w:rPr>
      <w:szCs w:val="24"/>
      <w:lang w:eastAsia="en-US"/>
    </w:rPr>
  </w:style>
  <w:style w:type="paragraph" w:customStyle="1" w:styleId="NormalHanging12a">
    <w:name w:val="NormalHanging12a"/>
    <w:basedOn w:val="Normal"/>
    <w:link w:val="NormalHanging12aChar"/>
    <w:rsid w:val="00CC01C7"/>
    <w:pPr>
      <w:widowControl/>
      <w:spacing w:after="240"/>
      <w:ind w:left="566" w:hanging="566"/>
    </w:pPr>
    <w:rPr>
      <w:szCs w:val="24"/>
      <w:lang w:eastAsia="en-US"/>
    </w:rPr>
  </w:style>
  <w:style w:type="paragraph" w:customStyle="1" w:styleId="Normal12">
    <w:name w:val="Normal12"/>
    <w:basedOn w:val="Normal"/>
    <w:rsid w:val="00CC01C7"/>
    <w:pPr>
      <w:widowControl/>
      <w:spacing w:after="240"/>
    </w:pPr>
    <w:rPr>
      <w:szCs w:val="24"/>
      <w:lang w:eastAsia="en-US"/>
    </w:rPr>
  </w:style>
  <w:style w:type="paragraph" w:customStyle="1" w:styleId="NormalHanging">
    <w:name w:val="NormalHanging"/>
    <w:basedOn w:val="Normal"/>
    <w:rsid w:val="00CC01C7"/>
    <w:pPr>
      <w:widowControl/>
      <w:spacing w:after="240"/>
      <w:ind w:left="566" w:hanging="566"/>
    </w:pPr>
    <w:rPr>
      <w:szCs w:val="24"/>
      <w:lang w:eastAsia="en-US"/>
    </w:rPr>
  </w:style>
  <w:style w:type="paragraph" w:customStyle="1" w:styleId="NormalCenter12a">
    <w:name w:val="NormalCenter12a"/>
    <w:basedOn w:val="Normal"/>
    <w:rsid w:val="00CC01C7"/>
    <w:pPr>
      <w:widowControl/>
      <w:spacing w:after="240"/>
      <w:jc w:val="center"/>
    </w:pPr>
    <w:rPr>
      <w:szCs w:val="24"/>
      <w:lang w:eastAsia="en-US"/>
    </w:rPr>
  </w:style>
  <w:style w:type="character" w:styleId="Hyperlink">
    <w:name w:val="Hyperlink"/>
    <w:basedOn w:val="DefaultParagraphFont"/>
    <w:rsid w:val="00CC01C7"/>
    <w:rPr>
      <w:color w:val="0000FF"/>
      <w:u w:val="single"/>
    </w:rPr>
  </w:style>
  <w:style w:type="character" w:customStyle="1" w:styleId="NormalHanging12aChar">
    <w:name w:val="NormalHanging12a Char"/>
    <w:basedOn w:val="DefaultParagraphFont"/>
    <w:link w:val="NormalHanging12a"/>
    <w:rsid w:val="00CC01C7"/>
    <w:rPr>
      <w:sz w:val="24"/>
      <w:szCs w:val="24"/>
      <w:lang w:val="da-DK" w:eastAsia="en-US"/>
    </w:rPr>
  </w:style>
  <w:style w:type="paragraph" w:styleId="Revision">
    <w:name w:val="Revision"/>
    <w:hidden/>
    <w:uiPriority w:val="99"/>
    <w:semiHidden/>
    <w:rsid w:val="00A31A5D"/>
    <w:rPr>
      <w:sz w:val="24"/>
      <w:lang w:val="da-DK"/>
    </w:rPr>
  </w:style>
  <w:style w:type="character" w:styleId="CommentReference">
    <w:name w:val="annotation reference"/>
    <w:basedOn w:val="DefaultParagraphFont"/>
    <w:rsid w:val="00A32B1E"/>
    <w:rPr>
      <w:sz w:val="16"/>
      <w:szCs w:val="16"/>
    </w:rPr>
  </w:style>
  <w:style w:type="paragraph" w:styleId="CommentText">
    <w:name w:val="annotation text"/>
    <w:basedOn w:val="Normal"/>
    <w:link w:val="CommentTextChar"/>
    <w:rsid w:val="00A32B1E"/>
    <w:rPr>
      <w:sz w:val="20"/>
    </w:rPr>
  </w:style>
  <w:style w:type="character" w:customStyle="1" w:styleId="CommentTextChar">
    <w:name w:val="Comment Text Char"/>
    <w:basedOn w:val="DefaultParagraphFont"/>
    <w:link w:val="CommentText"/>
    <w:rsid w:val="00A32B1E"/>
    <w:rPr>
      <w:lang w:val="da-DK"/>
    </w:rPr>
  </w:style>
  <w:style w:type="paragraph" w:styleId="CommentSubject">
    <w:name w:val="annotation subject"/>
    <w:basedOn w:val="CommentText"/>
    <w:next w:val="CommentText"/>
    <w:link w:val="CommentSubjectChar"/>
    <w:rsid w:val="00A32B1E"/>
    <w:rPr>
      <w:b/>
      <w:bCs/>
    </w:rPr>
  </w:style>
  <w:style w:type="character" w:customStyle="1" w:styleId="CommentSubjectChar">
    <w:name w:val="Comment Subject Char"/>
    <w:basedOn w:val="CommentTextChar"/>
    <w:link w:val="CommentSubject"/>
    <w:rsid w:val="00A32B1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DA.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DA.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9715</Words>
  <Characters>65470</Characters>
  <Application>Microsoft Office Word</Application>
  <DocSecurity>0</DocSecurity>
  <Lines>545</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2026-04-29T14:02:00Z</dcterms:created>
  <dcterms:modified xsi:type="dcterms:W3CDTF">2026-04-29T14:02:00Z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A10-0045/2026</vt:lpwstr>
  </property>
  <property fmtid="{D5CDD505-2E9C-101B-9397-08002B2CF9AE}" pid="4" name="&lt;Type&gt;">
    <vt:lpwstr>RR</vt:lpwstr>
  </property>
</Properties>
</file>