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517FB" w14:paraId="48EF5B69" w14:textId="77777777" w:rsidTr="0010095E">
        <w:trPr>
          <w:trHeight w:hRule="exact" w:val="1418"/>
        </w:trPr>
        <w:tc>
          <w:tcPr>
            <w:tcW w:w="6804" w:type="dxa"/>
            <w:shd w:val="clear" w:color="auto" w:fill="auto"/>
            <w:vAlign w:val="center"/>
          </w:tcPr>
          <w:p w14:paraId="499E2ADF" w14:textId="77777777" w:rsidR="00751A4A" w:rsidRPr="003517FB" w:rsidRDefault="000D5AAD" w:rsidP="0010095E">
            <w:pPr>
              <w:pStyle w:val="EPName"/>
            </w:pPr>
            <w:r w:rsidRPr="003517FB">
              <w:t>Parlamentul European</w:t>
            </w:r>
          </w:p>
          <w:p w14:paraId="53DF7F0F" w14:textId="77777777" w:rsidR="00751A4A" w:rsidRPr="003517FB" w:rsidRDefault="005F1B17" w:rsidP="005F1B17">
            <w:pPr>
              <w:pStyle w:val="EPTerm"/>
              <w:rPr>
                <w:rStyle w:val="HideTWBExt"/>
                <w:noProof w:val="0"/>
                <w:vanish w:val="0"/>
                <w:color w:val="auto"/>
              </w:rPr>
            </w:pPr>
            <w:r w:rsidRPr="003517FB">
              <w:t>2024</w:t>
            </w:r>
            <w:r w:rsidR="00817416" w:rsidRPr="003517FB">
              <w:t>-202</w:t>
            </w:r>
            <w:r w:rsidRPr="003517FB">
              <w:t>9</w:t>
            </w:r>
          </w:p>
        </w:tc>
        <w:tc>
          <w:tcPr>
            <w:tcW w:w="2268" w:type="dxa"/>
            <w:shd w:val="clear" w:color="auto" w:fill="auto"/>
          </w:tcPr>
          <w:p w14:paraId="401A3851" w14:textId="77777777" w:rsidR="00751A4A" w:rsidRPr="003517FB" w:rsidRDefault="00187494" w:rsidP="0010095E">
            <w:pPr>
              <w:pStyle w:val="EPLogo"/>
            </w:pPr>
            <w:r w:rsidRPr="003517FB">
              <w:rPr>
                <w:noProof/>
                <w:lang w:eastAsia="ja-JP"/>
              </w:rPr>
              <w:drawing>
                <wp:inline distT="0" distB="0" distL="0" distR="0" wp14:anchorId="3F5ECA6C" wp14:editId="328868D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19298C6" w14:textId="77777777" w:rsidR="00D058B8" w:rsidRPr="003517FB" w:rsidRDefault="00D058B8" w:rsidP="004C5D52">
      <w:pPr>
        <w:pStyle w:val="LineTop"/>
      </w:pPr>
    </w:p>
    <w:p w14:paraId="0FFB9E4D" w14:textId="77777777" w:rsidR="00680577" w:rsidRPr="003517FB" w:rsidRDefault="000D5AAD" w:rsidP="00680577">
      <w:pPr>
        <w:pStyle w:val="EPBodyTA1"/>
      </w:pPr>
      <w:r w:rsidRPr="003517FB">
        <w:t>TEXTE ADOPTATE</w:t>
      </w:r>
    </w:p>
    <w:p w14:paraId="42F4B68E" w14:textId="77777777" w:rsidR="00D058B8" w:rsidRPr="003517FB" w:rsidRDefault="00D058B8" w:rsidP="00D058B8">
      <w:pPr>
        <w:pStyle w:val="LineBottom"/>
      </w:pPr>
    </w:p>
    <w:p w14:paraId="410C4379" w14:textId="4A0CEC0A" w:rsidR="000D5AAD" w:rsidRPr="003517FB" w:rsidRDefault="000D5AAD" w:rsidP="000D5AAD">
      <w:pPr>
        <w:pStyle w:val="ATHeading1"/>
      </w:pPr>
      <w:bookmarkStart w:id="0" w:name="TANumber"/>
      <w:r w:rsidRPr="003517FB">
        <w:t>P10_TA(2026)0</w:t>
      </w:r>
      <w:bookmarkEnd w:id="0"/>
      <w:r w:rsidR="00D67702" w:rsidRPr="003517FB">
        <w:t>104</w:t>
      </w:r>
    </w:p>
    <w:p w14:paraId="0E85434A" w14:textId="77777777" w:rsidR="000D5AAD" w:rsidRPr="003517FB" w:rsidRDefault="000D5AAD" w:rsidP="000D5AAD">
      <w:pPr>
        <w:pStyle w:val="ATHeading2"/>
      </w:pPr>
      <w:bookmarkStart w:id="1" w:name="title"/>
      <w:r w:rsidRPr="003517FB">
        <w:t>Global Gateway - efecte în trecut și orientarea în viitor</w:t>
      </w:r>
      <w:bookmarkEnd w:id="1"/>
    </w:p>
    <w:p w14:paraId="2973288E" w14:textId="77777777" w:rsidR="000D5AAD" w:rsidRPr="003517FB" w:rsidRDefault="000D5AAD" w:rsidP="000D5AAD">
      <w:pPr>
        <w:rPr>
          <w:i/>
          <w:vanish/>
        </w:rPr>
      </w:pPr>
      <w:r w:rsidRPr="003517FB">
        <w:rPr>
          <w:i/>
        </w:rPr>
        <w:fldChar w:fldCharType="begin"/>
      </w:r>
      <w:r w:rsidRPr="003517FB">
        <w:rPr>
          <w:i/>
        </w:rPr>
        <w:instrText xml:space="preserve"> TC"(</w:instrText>
      </w:r>
      <w:bookmarkStart w:id="2" w:name="DocNumber"/>
      <w:r w:rsidRPr="003517FB">
        <w:rPr>
          <w:i/>
        </w:rPr>
        <w:instrText>A10-0045/2026</w:instrText>
      </w:r>
      <w:bookmarkEnd w:id="2"/>
      <w:r w:rsidRPr="003517FB">
        <w:rPr>
          <w:i/>
        </w:rPr>
        <w:instrText xml:space="preserve"> - Raportoare: </w:instrText>
      </w:r>
      <w:proofErr w:type="spellStart"/>
      <w:r w:rsidRPr="003517FB">
        <w:rPr>
          <w:i/>
        </w:rPr>
        <w:instrText>Chloé</w:instrText>
      </w:r>
      <w:proofErr w:type="spellEnd"/>
      <w:r w:rsidRPr="003517FB">
        <w:rPr>
          <w:i/>
        </w:rPr>
        <w:instrText xml:space="preserve"> </w:instrText>
      </w:r>
      <w:proofErr w:type="spellStart"/>
      <w:r w:rsidRPr="003517FB">
        <w:rPr>
          <w:i/>
        </w:rPr>
        <w:instrText>Ridel</w:instrText>
      </w:r>
      <w:proofErr w:type="spellEnd"/>
      <w:r w:rsidRPr="003517FB">
        <w:rPr>
          <w:i/>
        </w:rPr>
        <w:instrText xml:space="preserve">, </w:instrText>
      </w:r>
      <w:proofErr w:type="spellStart"/>
      <w:r w:rsidRPr="003517FB">
        <w:rPr>
          <w:i/>
        </w:rPr>
        <w:instrText>Hildegard</w:instrText>
      </w:r>
      <w:proofErr w:type="spellEnd"/>
      <w:r w:rsidRPr="003517FB">
        <w:rPr>
          <w:i/>
        </w:rPr>
        <w:instrText xml:space="preserve"> Bentele)"\l3 \n&gt; \* MERGEFORMAT </w:instrText>
      </w:r>
      <w:r w:rsidRPr="003517FB">
        <w:rPr>
          <w:i/>
        </w:rPr>
        <w:fldChar w:fldCharType="end"/>
      </w:r>
    </w:p>
    <w:p w14:paraId="41E78BAE" w14:textId="77777777" w:rsidR="000D5AAD" w:rsidRPr="003517FB" w:rsidRDefault="000D5AAD" w:rsidP="000D5AAD">
      <w:pPr>
        <w:rPr>
          <w:vanish/>
        </w:rPr>
      </w:pPr>
      <w:bookmarkStart w:id="3" w:name="Commission"/>
      <w:r w:rsidRPr="003517FB">
        <w:rPr>
          <w:vanish/>
        </w:rPr>
        <w:t>Comisia pentru afaceri externe, Comisia pentru dezvoltare</w:t>
      </w:r>
      <w:bookmarkEnd w:id="3"/>
    </w:p>
    <w:p w14:paraId="6AE65F9C" w14:textId="77777777" w:rsidR="000D5AAD" w:rsidRPr="003517FB" w:rsidRDefault="000D5AAD" w:rsidP="000D5AAD">
      <w:pPr>
        <w:rPr>
          <w:vanish/>
        </w:rPr>
      </w:pPr>
      <w:bookmarkStart w:id="4" w:name="PE"/>
      <w:r w:rsidRPr="003517FB">
        <w:rPr>
          <w:vanish/>
        </w:rPr>
        <w:t>PE776.922</w:t>
      </w:r>
      <w:bookmarkEnd w:id="4"/>
    </w:p>
    <w:p w14:paraId="22EED5DD" w14:textId="69B117AE" w:rsidR="000D5AAD" w:rsidRPr="003517FB" w:rsidRDefault="000D5AAD" w:rsidP="000D5AAD">
      <w:pPr>
        <w:pStyle w:val="ATHeading3"/>
      </w:pPr>
      <w:bookmarkStart w:id="5" w:name="Sujet"/>
      <w:r w:rsidRPr="003517FB">
        <w:t>Rezoluția Parlamentului European din 26 martie 2026 referito</w:t>
      </w:r>
      <w:r w:rsidR="00F61475" w:rsidRPr="003517FB">
        <w:t>a</w:t>
      </w:r>
      <w:r w:rsidRPr="003517FB">
        <w:t>r</w:t>
      </w:r>
      <w:r w:rsidR="00F61475" w:rsidRPr="003517FB">
        <w:t>e</w:t>
      </w:r>
      <w:r w:rsidRPr="003517FB">
        <w:t xml:space="preserve"> la Global Gateway – efecte în trecut și orientarea în viitor</w:t>
      </w:r>
      <w:bookmarkEnd w:id="5"/>
      <w:r w:rsidRPr="003517FB">
        <w:t xml:space="preserve"> </w:t>
      </w:r>
      <w:bookmarkStart w:id="6" w:name="References"/>
      <w:r w:rsidRPr="003517FB">
        <w:t>(2025/2073(INI))</w:t>
      </w:r>
      <w:bookmarkEnd w:id="6"/>
    </w:p>
    <w:p w14:paraId="196E8B46" w14:textId="77777777" w:rsidR="00AD03E0" w:rsidRPr="003517FB" w:rsidRDefault="00AD03E0" w:rsidP="00D67702">
      <w:pPr>
        <w:pStyle w:val="Normal12"/>
        <w:spacing w:before="480"/>
      </w:pPr>
      <w:r w:rsidRPr="003517FB">
        <w:rPr>
          <w:i/>
          <w:iCs/>
        </w:rPr>
        <w:t>Parlamentul European</w:t>
      </w:r>
      <w:r w:rsidRPr="003517FB">
        <w:t>,</w:t>
      </w:r>
    </w:p>
    <w:p w14:paraId="40E1BBBF" w14:textId="77777777" w:rsidR="00AD03E0" w:rsidRPr="003517FB" w:rsidRDefault="00AD03E0" w:rsidP="00AD03E0">
      <w:pPr>
        <w:pStyle w:val="NormalHanging12a"/>
        <w:rPr>
          <w:bCs/>
          <w:iCs/>
        </w:rPr>
      </w:pPr>
      <w:r w:rsidRPr="003517FB">
        <w:t>–</w:t>
      </w:r>
      <w:r w:rsidRPr="003517FB">
        <w:tab/>
        <w:t>având în vedere articolul 21 din Tratatul privind Uniunea Europeană,</w:t>
      </w:r>
    </w:p>
    <w:p w14:paraId="2EEC5485" w14:textId="77777777" w:rsidR="00AD03E0" w:rsidRPr="003517FB" w:rsidRDefault="00AD03E0" w:rsidP="00AD03E0">
      <w:pPr>
        <w:pStyle w:val="NormalHanging12a"/>
      </w:pPr>
      <w:r w:rsidRPr="003517FB">
        <w:t>–</w:t>
      </w:r>
      <w:r w:rsidRPr="003517FB">
        <w:tab/>
        <w:t>având în vedere Tratatul privind funcționarea Uniunii Europene (TFUE), în special articolele 208 și 322 alineatul (1),</w:t>
      </w:r>
    </w:p>
    <w:p w14:paraId="3B734CC1" w14:textId="77777777" w:rsidR="00AD03E0" w:rsidRPr="003517FB" w:rsidRDefault="00AD03E0" w:rsidP="00AD03E0">
      <w:pPr>
        <w:pStyle w:val="NormalHanging"/>
      </w:pPr>
      <w:r w:rsidRPr="003517FB">
        <w:t>–</w:t>
      </w:r>
      <w:r w:rsidRPr="003517FB">
        <w:tab/>
        <w:t>având în vedere declarația comună din 30 iunie 2017 a Consiliului și reprezentanților guvernelor statelor membre reuniți în cadrul Consiliului, Parlamentului European și Comisiei intitulată „Noul Consens european privind dezvoltarea – Lumea noastră, demnitatea noastră, viitorul nostru”</w:t>
      </w:r>
      <w:r w:rsidRPr="003517FB">
        <w:rPr>
          <w:rStyle w:val="FootnoteReference"/>
        </w:rPr>
        <w:footnoteReference w:id="1"/>
      </w:r>
      <w:r w:rsidRPr="003517FB">
        <w:t>,</w:t>
      </w:r>
    </w:p>
    <w:p w14:paraId="51546B2B" w14:textId="77777777" w:rsidR="00AD03E0" w:rsidRPr="003517FB" w:rsidRDefault="00AD03E0" w:rsidP="00AD03E0">
      <w:pPr>
        <w:pStyle w:val="NormalHanging12a"/>
        <w:rPr>
          <w:bCs/>
          <w:iCs/>
        </w:rPr>
      </w:pPr>
      <w:r w:rsidRPr="003517FB">
        <w:t>–</w:t>
      </w:r>
      <w:r w:rsidRPr="003517FB">
        <w:tab/>
        <w:t>având în vedere Consensul european privind ajutorul umanitar și legătura dintre ajutorul umanitar, dezvoltare și pace, astfel cum au fost aprobate de Consiliu și de Comisie,</w:t>
      </w:r>
    </w:p>
    <w:p w14:paraId="2EA02F68" w14:textId="77777777" w:rsidR="00AD03E0" w:rsidRPr="003517FB" w:rsidRDefault="00AD03E0" w:rsidP="00AD03E0">
      <w:pPr>
        <w:pStyle w:val="NormalHanging"/>
      </w:pPr>
      <w:r w:rsidRPr="003517FB">
        <w:t>–</w:t>
      </w:r>
      <w:r w:rsidRPr="003517FB">
        <w:tab/>
        <w:t>având în vedere Regulamentul (UE) 2021/947 al Parlamentului European și al Consiliului din 9 iunie 2021 de instituire a Instrumentului de vecinătate, cooperare pentru dezvoltare și cooperare internațională - „Europa globală”, de modificare și abrogare a Deciziei nr. 466/2014/UE a Parlamentului European și a Consiliului și de abrogare a Regulamentului (UE) 2017/1601 al Parlamentului European și al Consiliului și a Regulamentului (CE, Euratom) nr. 480/2009 al Consiliului</w:t>
      </w:r>
      <w:r w:rsidRPr="003517FB">
        <w:rPr>
          <w:rStyle w:val="FootnoteReference"/>
        </w:rPr>
        <w:footnoteReference w:id="2"/>
      </w:r>
      <w:r w:rsidRPr="003517FB">
        <w:t xml:space="preserve"> (Regulamentul privind IVCDCI),</w:t>
      </w:r>
    </w:p>
    <w:p w14:paraId="52477A01" w14:textId="77777777" w:rsidR="00AD03E0" w:rsidRPr="003517FB" w:rsidRDefault="00AD03E0" w:rsidP="00AD03E0">
      <w:pPr>
        <w:pStyle w:val="NormalHanging"/>
      </w:pPr>
      <w:r w:rsidRPr="003517FB">
        <w:t>–</w:t>
      </w:r>
      <w:r w:rsidRPr="003517FB">
        <w:tab/>
        <w:t>având în vedere Regulamentul (UE) 2021/1529 al Parlamentului European și al Consiliului din 15 septembrie 2021 de instituire a Instrumentului de asistență pentru preaderare (IPA III)</w:t>
      </w:r>
      <w:r w:rsidRPr="003517FB">
        <w:rPr>
          <w:rStyle w:val="FootnoteReference"/>
        </w:rPr>
        <w:footnoteReference w:id="3"/>
      </w:r>
      <w:r w:rsidRPr="003517FB">
        <w:t>,</w:t>
      </w:r>
    </w:p>
    <w:p w14:paraId="1B204E4F" w14:textId="77777777" w:rsidR="00AD03E0" w:rsidRPr="003517FB" w:rsidRDefault="00AD03E0" w:rsidP="00AD03E0">
      <w:pPr>
        <w:pStyle w:val="NormalHanging12a"/>
        <w:rPr>
          <w:bCs/>
          <w:iCs/>
        </w:rPr>
      </w:pPr>
      <w:r w:rsidRPr="003517FB">
        <w:lastRenderedPageBreak/>
        <w:t>–</w:t>
      </w:r>
      <w:r w:rsidRPr="003517FB">
        <w:tab/>
        <w:t>având în vedere comunicarea comună a Comisiei și a Înaltului Reprezentant al Uniunii pentru afaceri externe și politica de securitate din 25 noiembrie 2020 intitulată „Planul de acțiune al UE pentru egalitatea de gen (GAP) III – O agendă ambițioasă pentru egalitatea de gen și emanciparea femeilor în acțiunile externe ale UE” (JOIN(2020)0017),</w:t>
      </w:r>
    </w:p>
    <w:p w14:paraId="4168ED4A" w14:textId="77777777" w:rsidR="00AD03E0" w:rsidRPr="003517FB" w:rsidRDefault="00AD03E0" w:rsidP="00AD03E0">
      <w:pPr>
        <w:pStyle w:val="NormalHanging12a"/>
        <w:rPr>
          <w:bCs/>
          <w:iCs/>
        </w:rPr>
      </w:pPr>
      <w:r w:rsidRPr="003517FB">
        <w:t>–</w:t>
      </w:r>
      <w:r w:rsidRPr="003517FB">
        <w:tab/>
        <w:t>având în vedere comunicarea comună a Comisiei și a Înaltului Reprezentant al Uniunii pentru afaceri externe și politica de securitate din 16 septembrie 2021 privind Strategia UE pentru cooperare în regiunea indo-pacifică (JOIN(2021)0024),</w:t>
      </w:r>
    </w:p>
    <w:p w14:paraId="7163F963" w14:textId="77777777" w:rsidR="00AD03E0" w:rsidRPr="003517FB" w:rsidRDefault="00AD03E0" w:rsidP="00AD03E0">
      <w:pPr>
        <w:pStyle w:val="NormalHanging"/>
      </w:pPr>
      <w:r w:rsidRPr="003517FB">
        <w:t>–</w:t>
      </w:r>
      <w:r w:rsidRPr="003517FB">
        <w:tab/>
        <w:t>având în vedere comunicarea comună a Comisiei și a Înaltului Reprezentant al Uniunii pentru afaceri externe și politica de securitate din 1 decembrie 2021 intitulată „Inițiativa «Global Gateway»” (JOIN(2021)0030),</w:t>
      </w:r>
    </w:p>
    <w:p w14:paraId="23632C13" w14:textId="77777777" w:rsidR="00AD03E0" w:rsidRPr="003517FB" w:rsidRDefault="00AD03E0" w:rsidP="00AD03E0">
      <w:pPr>
        <w:pStyle w:val="NormalHanging"/>
      </w:pPr>
      <w:r w:rsidRPr="003517FB">
        <w:t>–</w:t>
      </w:r>
      <w:r w:rsidRPr="003517FB">
        <w:tab/>
        <w:t>având în vedere comunicarea comună a Comisiei și a Înaltului Reprezentant al Uniunii pentru afaceri externe și politica de securitate din 2 octombrie 2024 intitulată „Construirea unor parteneriate internaționale durabile de tip « Echipa Europa »” (JOIN(2024)0025),</w:t>
      </w:r>
    </w:p>
    <w:p w14:paraId="2E9E97F7" w14:textId="77777777" w:rsidR="00AD03E0" w:rsidRPr="003517FB" w:rsidRDefault="00AD03E0" w:rsidP="00AD03E0">
      <w:pPr>
        <w:pStyle w:val="NormalHanging12a"/>
        <w:rPr>
          <w:bCs/>
          <w:iCs/>
        </w:rPr>
      </w:pPr>
      <w:r w:rsidRPr="003517FB">
        <w:t>–</w:t>
      </w:r>
      <w:r w:rsidRPr="003517FB">
        <w:tab/>
        <w:t>având în vedere Planul de acțiune al UE privind drepturile omului și democrația pentru perioada 2020-2024,</w:t>
      </w:r>
    </w:p>
    <w:p w14:paraId="1538A803" w14:textId="77777777" w:rsidR="00AD03E0" w:rsidRPr="003517FB" w:rsidRDefault="00AD03E0" w:rsidP="00AD03E0">
      <w:pPr>
        <w:pStyle w:val="NormalHanging12a"/>
        <w:rPr>
          <w:bCs/>
          <w:iCs/>
        </w:rPr>
      </w:pPr>
      <w:r w:rsidRPr="003517FB">
        <w:t>–</w:t>
      </w:r>
      <w:r w:rsidRPr="003517FB">
        <w:tab/>
        <w:t>având în vedere Pilonul european al drepturilor sociale și importanța sa pentru dezvoltarea economică incluzivă, durabilă și echitabilă,</w:t>
      </w:r>
    </w:p>
    <w:p w14:paraId="3992474B" w14:textId="77777777" w:rsidR="00AD03E0" w:rsidRPr="003517FB" w:rsidRDefault="00AD03E0" w:rsidP="00AD03E0">
      <w:pPr>
        <w:pStyle w:val="NormalHanging12a"/>
        <w:rPr>
          <w:bCs/>
          <w:iCs/>
        </w:rPr>
      </w:pPr>
      <w:r w:rsidRPr="003517FB">
        <w:t>–</w:t>
      </w:r>
      <w:r w:rsidRPr="003517FB">
        <w:tab/>
        <w:t>având în vedere Strategia UE în domeniul sănătății la nivel mondial,</w:t>
      </w:r>
    </w:p>
    <w:p w14:paraId="3BC5D7AC" w14:textId="77777777" w:rsidR="00AD03E0" w:rsidRPr="003517FB" w:rsidRDefault="00AD03E0" w:rsidP="00AD03E0">
      <w:pPr>
        <w:pStyle w:val="NormalHanging"/>
      </w:pPr>
      <w:r w:rsidRPr="003517FB">
        <w:t>–</w:t>
      </w:r>
      <w:r w:rsidRPr="003517FB">
        <w:tab/>
        <w:t>având în vedere Decizia Consiliului din 26 iulie 2010 privind organizarea și funcționarea Serviciului european de acțiune externă</w:t>
      </w:r>
      <w:r w:rsidRPr="003517FB">
        <w:rPr>
          <w:rStyle w:val="FootnoteReference"/>
        </w:rPr>
        <w:footnoteReference w:id="4"/>
      </w:r>
      <w:r w:rsidRPr="003517FB">
        <w:t>,</w:t>
      </w:r>
    </w:p>
    <w:p w14:paraId="2FEFA9A4" w14:textId="77777777" w:rsidR="00AD03E0" w:rsidRPr="003517FB" w:rsidRDefault="00AD03E0" w:rsidP="00AD03E0">
      <w:pPr>
        <w:pStyle w:val="NormalHanging"/>
      </w:pPr>
      <w:r w:rsidRPr="003517FB">
        <w:t>–</w:t>
      </w:r>
      <w:r w:rsidRPr="003517FB">
        <w:tab/>
        <w:t>având în vedere nota Consiliului din 28 octombrie 2022 privind modalitățile de lucru privind guvernanța strategiei „Global Gateway”,</w:t>
      </w:r>
    </w:p>
    <w:p w14:paraId="184BCF59" w14:textId="77777777" w:rsidR="00AD03E0" w:rsidRPr="003517FB" w:rsidRDefault="00AD03E0" w:rsidP="00AD03E0">
      <w:pPr>
        <w:pStyle w:val="NormalHanging"/>
      </w:pPr>
      <w:r w:rsidRPr="003517FB">
        <w:t>–</w:t>
      </w:r>
      <w:r w:rsidRPr="003517FB">
        <w:tab/>
        <w:t>având în vedere concluziile Consiliului din 21 iunie 2024 privind evaluarea la jumătatea perioadei a instrumentului IVCDCI – Europa globală și din 21 noiembrie 2023 privind abordarea „Echipa Europa”,</w:t>
      </w:r>
    </w:p>
    <w:p w14:paraId="2F5E49D9" w14:textId="77777777" w:rsidR="00AD03E0" w:rsidRPr="003517FB" w:rsidRDefault="00AD03E0" w:rsidP="00AD03E0">
      <w:pPr>
        <w:pStyle w:val="NormalHanging12a"/>
        <w:rPr>
          <w:bCs/>
          <w:iCs/>
        </w:rPr>
      </w:pPr>
      <w:r w:rsidRPr="003517FB">
        <w:t>–</w:t>
      </w:r>
      <w:r w:rsidRPr="003517FB">
        <w:tab/>
        <w:t>având în vedere concluziile Consiliului din 20 octombrie 2025 privind punerea în aplicare a Strategiei UE pentru cooperare în regiunea indo-pacifică,</w:t>
      </w:r>
    </w:p>
    <w:p w14:paraId="4F43CC5E" w14:textId="77777777" w:rsidR="00AD03E0" w:rsidRPr="003517FB" w:rsidRDefault="00AD03E0" w:rsidP="00AD03E0">
      <w:pPr>
        <w:pStyle w:val="NormalHanging"/>
      </w:pPr>
      <w:r w:rsidRPr="003517FB">
        <w:t>–</w:t>
      </w:r>
      <w:r w:rsidRPr="003517FB">
        <w:tab/>
        <w:t>având în vedere Propunerea Comisiei din 16 iulie 2025 de regulament al Parlamentului European și al Consiliului de instituire a instrumentului „Europa globală” (COM(2025)0551),</w:t>
      </w:r>
    </w:p>
    <w:p w14:paraId="77041760" w14:textId="77777777" w:rsidR="00AD03E0" w:rsidRPr="003517FB" w:rsidRDefault="00AD03E0" w:rsidP="00AD03E0">
      <w:pPr>
        <w:pStyle w:val="NormalHanging12a"/>
        <w:rPr>
          <w:bCs/>
          <w:iCs/>
        </w:rPr>
      </w:pPr>
      <w:r w:rsidRPr="003517FB">
        <w:t>–</w:t>
      </w:r>
      <w:r w:rsidRPr="003517FB">
        <w:tab/>
        <w:t>având în vedere Avizul 03/2024 al Curții de Conturi Europene care însoțește evaluarea de către Comisie a garanției pentru acțiunea externă, publicat la 12 decembrie 2024,</w:t>
      </w:r>
    </w:p>
    <w:p w14:paraId="7301A6EC" w14:textId="77777777" w:rsidR="00AD03E0" w:rsidRPr="003517FB" w:rsidRDefault="00AD03E0" w:rsidP="00AD03E0">
      <w:pPr>
        <w:pStyle w:val="NormalHanging12a"/>
        <w:rPr>
          <w:bCs/>
          <w:iCs/>
        </w:rPr>
      </w:pPr>
      <w:r w:rsidRPr="003517FB">
        <w:t>–</w:t>
      </w:r>
      <w:r w:rsidRPr="003517FB">
        <w:tab/>
        <w:t xml:space="preserve">având în vedere raportul special 17/2025 al Curții de Conturi Europene, din 16 septembrie 2025, intitulat „Ajutorul pentru comerț acordat de UE țărilor cel mai </w:t>
      </w:r>
      <w:r w:rsidRPr="003517FB">
        <w:lastRenderedPageBreak/>
        <w:t>puțin dezvoltate – Răspunde nevoilor identificate, dar nivelul finanțării din partea UE nu e în grafic față de obiectivul stabilit pentru 2030”,</w:t>
      </w:r>
    </w:p>
    <w:p w14:paraId="216D9F0D" w14:textId="77777777" w:rsidR="00AD03E0" w:rsidRPr="003517FB" w:rsidRDefault="00AD03E0" w:rsidP="00AD03E0">
      <w:pPr>
        <w:pStyle w:val="NormalHanging12a"/>
        <w:rPr>
          <w:bCs/>
          <w:iCs/>
        </w:rPr>
      </w:pPr>
      <w:r w:rsidRPr="003517FB">
        <w:t>–</w:t>
      </w:r>
      <w:r w:rsidRPr="003517FB">
        <w:tab/>
        <w:t>având în vedere Convenția Națiunilor Unite privind drepturile persoanelor cu dizabilități (CNUDPH), care a intrat în vigoare în UE la 22 ianuarie 2011, în conformitate cu Decizia 2010/48/CE a Consiliului din 26 noiembrie 2009,</w:t>
      </w:r>
    </w:p>
    <w:p w14:paraId="057B7E2F" w14:textId="77777777" w:rsidR="00AD03E0" w:rsidRPr="003517FB" w:rsidRDefault="00AD03E0" w:rsidP="00AD03E0">
      <w:pPr>
        <w:pStyle w:val="NormalHanging"/>
      </w:pPr>
      <w:r w:rsidRPr="003517FB">
        <w:t>–</w:t>
      </w:r>
      <w:r w:rsidRPr="003517FB">
        <w:tab/>
        <w:t xml:space="preserve">având în vedere Rezoluția Organizației Națiunilor Unite 70/1 din 25 septembrie 2015, intitulată „Transformarea lumii în care trăim: Agenda 2030 pentru dezvoltare durabilă” (Agenda 2030), adoptată la </w:t>
      </w:r>
      <w:proofErr w:type="spellStart"/>
      <w:r w:rsidRPr="003517FB">
        <w:t>Summitul</w:t>
      </w:r>
      <w:proofErr w:type="spellEnd"/>
      <w:r w:rsidRPr="003517FB">
        <w:t xml:space="preserve"> ONU pentru dezvoltare durabilă de la New York și care stabilește obiectivele de dezvoltare durabilă (ODD-uri),</w:t>
      </w:r>
    </w:p>
    <w:p w14:paraId="6DA476FC" w14:textId="77777777" w:rsidR="00AD03E0" w:rsidRPr="003517FB" w:rsidRDefault="00AD03E0" w:rsidP="00AD03E0">
      <w:pPr>
        <w:pStyle w:val="NormalHanging12a"/>
        <w:rPr>
          <w:bCs/>
          <w:iCs/>
        </w:rPr>
      </w:pPr>
      <w:r w:rsidRPr="003517FB">
        <w:t>–</w:t>
      </w:r>
      <w:r w:rsidRPr="003517FB">
        <w:tab/>
        <w:t>având în vedere Acordul de la Paris, adoptat la 12 decembrie 2015, în temeiul Convenției-cadru a Națiunilor Unite asupra schimbărilor climatice, în special dispozițiile sale privind adaptarea, reziliența și sprijinul pentru cele mai vulnerabile țări,</w:t>
      </w:r>
    </w:p>
    <w:p w14:paraId="59759E4D" w14:textId="77777777" w:rsidR="00AD03E0" w:rsidRPr="003517FB" w:rsidRDefault="00AD03E0" w:rsidP="00AD03E0">
      <w:pPr>
        <w:pStyle w:val="NormalHanging12a"/>
        <w:rPr>
          <w:bCs/>
          <w:iCs/>
        </w:rPr>
      </w:pPr>
      <w:r w:rsidRPr="003517FB">
        <w:t>–</w:t>
      </w:r>
      <w:r w:rsidRPr="003517FB">
        <w:tab/>
        <w:t>având în vedere concluziile celui de-al doilea Summit mondial pentru dezvoltare socială desfășurat la Doha în perioada 4-6 noiembrie 2025, care au reafirmat importanța centrală a dezvoltării sociale, a protecției sociale universale și a luptei împotriva sărăciei și inegalității drept piloni esențiali ai dezvoltării durabile,</w:t>
      </w:r>
    </w:p>
    <w:p w14:paraId="1046DA73" w14:textId="77777777" w:rsidR="00AD03E0" w:rsidRPr="003517FB" w:rsidRDefault="00AD03E0" w:rsidP="00AD03E0">
      <w:pPr>
        <w:pStyle w:val="NormalHanging12a"/>
        <w:rPr>
          <w:bCs/>
          <w:iCs/>
        </w:rPr>
      </w:pPr>
      <w:r w:rsidRPr="003517FB">
        <w:t>–</w:t>
      </w:r>
      <w:r w:rsidRPr="003517FB">
        <w:tab/>
        <w:t>având în vedere Cadrul de cooperare pentru dezvoltare durabilă al Organizației Națiunilor Unite, ca instrument principal de planificare și punere în aplicare la nivel de țară pentru activitățile în materie de dezvoltare ale ONU,</w:t>
      </w:r>
    </w:p>
    <w:p w14:paraId="09372587" w14:textId="77777777" w:rsidR="00AD03E0" w:rsidRPr="003517FB" w:rsidRDefault="00AD03E0" w:rsidP="00AD03E0">
      <w:pPr>
        <w:pStyle w:val="NormalHanging12a"/>
        <w:rPr>
          <w:bCs/>
          <w:iCs/>
        </w:rPr>
      </w:pPr>
      <w:r w:rsidRPr="003517FB">
        <w:t>–</w:t>
      </w:r>
      <w:r w:rsidRPr="003517FB">
        <w:tab/>
        <w:t>având în vedere Agenda de acțiune de la Addis Abeba privind finanțarea pentru dezvoltare, adoptată la cea de a treia Conferință internațională privind finanțarea pentru dezvoltare, desfășurată la Addis Abeba, Etiopia, în perioada 13-16 iulie 2015, și documentul final al angajamentului de la Sevilla, adoptat în cadrul celei de a patra Conferințe internaționale privind finanțarea pentru dezvoltare, care a avut loc la Sevilla, Spania, în perioada 30 iunie-3 iulie 2025,</w:t>
      </w:r>
    </w:p>
    <w:p w14:paraId="23A764EA" w14:textId="77777777" w:rsidR="00AD03E0" w:rsidRPr="003517FB" w:rsidRDefault="00AD03E0" w:rsidP="00AD03E0">
      <w:pPr>
        <w:pStyle w:val="NormalHanging12a"/>
        <w:rPr>
          <w:bCs/>
          <w:iCs/>
        </w:rPr>
      </w:pPr>
      <w:r w:rsidRPr="003517FB">
        <w:t>–</w:t>
      </w:r>
      <w:r w:rsidRPr="003517FB">
        <w:tab/>
        <w:t>având în vedere proiectul de memorandum de înțelegere dintre UE și Republica Africa de Sud privind un parteneriat pentru comerț și investiții curate, semnat la 20 noiembrie 2025,</w:t>
      </w:r>
    </w:p>
    <w:p w14:paraId="67D739AD" w14:textId="77777777" w:rsidR="00AD03E0" w:rsidRPr="003517FB" w:rsidRDefault="00AD03E0" w:rsidP="00AD03E0">
      <w:pPr>
        <w:pStyle w:val="NormalHanging12a"/>
        <w:rPr>
          <w:bCs/>
          <w:iCs/>
        </w:rPr>
      </w:pPr>
      <w:r w:rsidRPr="003517FB">
        <w:t>–</w:t>
      </w:r>
      <w:r w:rsidRPr="003517FB">
        <w:tab/>
        <w:t>având în vedere memorandumul de înțelegere dintre Uniunea Europeană și Republica Africa de Sud pentru instituirea unui parteneriat strategic privind lanțurile valorice durabile ale mineralelor și metalelor, semnat la 20 noiembrie 2025,</w:t>
      </w:r>
    </w:p>
    <w:p w14:paraId="46CC856D" w14:textId="77777777" w:rsidR="00AD03E0" w:rsidRPr="003517FB" w:rsidRDefault="00AD03E0" w:rsidP="00AD03E0">
      <w:pPr>
        <w:pStyle w:val="NormalHanging12a"/>
        <w:rPr>
          <w:bCs/>
          <w:iCs/>
        </w:rPr>
      </w:pPr>
      <w:r w:rsidRPr="003517FB">
        <w:t>–</w:t>
      </w:r>
      <w:r w:rsidRPr="003517FB">
        <w:tab/>
        <w:t>având în vedere rezoluția sa din 21 ianuarie 2021 referitoare la conectivitate și relațiile UE-Asia</w:t>
      </w:r>
      <w:r w:rsidRPr="003517FB">
        <w:rPr>
          <w:rStyle w:val="FootnoteReference"/>
          <w:bCs/>
          <w:iCs/>
        </w:rPr>
        <w:footnoteReference w:id="5"/>
      </w:r>
      <w:r w:rsidRPr="003517FB">
        <w:t>,</w:t>
      </w:r>
    </w:p>
    <w:p w14:paraId="2F278FCC" w14:textId="77777777" w:rsidR="00AD03E0" w:rsidRPr="003517FB" w:rsidRDefault="00AD03E0" w:rsidP="00AD03E0">
      <w:pPr>
        <w:pStyle w:val="NormalHanging"/>
      </w:pPr>
      <w:r w:rsidRPr="003517FB">
        <w:t>–</w:t>
      </w:r>
      <w:r w:rsidRPr="003517FB">
        <w:tab/>
        <w:t>având în vedere rezoluția sa din 24 noiembrie 2022 referitoare la viitoarea arhitectură financiară europeană pentru dezvoltare</w:t>
      </w:r>
      <w:r w:rsidRPr="003517FB">
        <w:rPr>
          <w:rStyle w:val="FootnoteReference"/>
        </w:rPr>
        <w:footnoteReference w:id="6"/>
      </w:r>
      <w:r w:rsidRPr="003517FB">
        <w:t>,</w:t>
      </w:r>
    </w:p>
    <w:p w14:paraId="1BC45FDA" w14:textId="77777777" w:rsidR="00AD03E0" w:rsidRPr="003517FB" w:rsidRDefault="00AD03E0" w:rsidP="00AD03E0">
      <w:pPr>
        <w:pStyle w:val="NormalHanging"/>
      </w:pPr>
      <w:r w:rsidRPr="003517FB">
        <w:lastRenderedPageBreak/>
        <w:t>–</w:t>
      </w:r>
      <w:r w:rsidRPr="003517FB">
        <w:tab/>
        <w:t>având în vedere rezoluția sa din 12 decembrie 2023 referitoare la punerea în aplicare a Instrumentului de vecinătate, cooperare pentru dezvoltare și cooperare internațională – „Europa globală”</w:t>
      </w:r>
      <w:r w:rsidRPr="003517FB">
        <w:rPr>
          <w:rStyle w:val="FootnoteReference"/>
        </w:rPr>
        <w:footnoteReference w:id="7"/>
      </w:r>
      <w:r w:rsidRPr="003517FB">
        <w:t>,</w:t>
      </w:r>
    </w:p>
    <w:p w14:paraId="579DE065" w14:textId="77777777" w:rsidR="00AD03E0" w:rsidRPr="003517FB" w:rsidRDefault="00AD03E0" w:rsidP="00AD03E0">
      <w:pPr>
        <w:pStyle w:val="NormalHanging"/>
      </w:pPr>
      <w:r w:rsidRPr="003517FB">
        <w:t>–</w:t>
      </w:r>
      <w:r w:rsidRPr="003517FB">
        <w:tab/>
        <w:t>având în vedere rezoluția sa din 17 ianuarie 2024 referitoare la implicațiile în materie de securitate și apărare ale influenței Chinei asupra infrastructurii critice din Uniunea Europeană</w:t>
      </w:r>
      <w:r w:rsidRPr="003517FB">
        <w:rPr>
          <w:rStyle w:val="FootnoteReference"/>
        </w:rPr>
        <w:footnoteReference w:id="8"/>
      </w:r>
      <w:r w:rsidRPr="003517FB">
        <w:t>,</w:t>
      </w:r>
    </w:p>
    <w:p w14:paraId="5EB6775A" w14:textId="77777777" w:rsidR="00AD03E0" w:rsidRPr="003517FB" w:rsidRDefault="00AD03E0" w:rsidP="00AD03E0">
      <w:pPr>
        <w:pStyle w:val="NormalHanging"/>
      </w:pPr>
      <w:r w:rsidRPr="003517FB">
        <w:t>–</w:t>
      </w:r>
      <w:r w:rsidRPr="003517FB">
        <w:tab/>
        <w:t>având în vedere rezoluția sa din 17 ianuarie 2024 referitoare la elaborarea unei strategii portuare europene cuprinzătoare</w:t>
      </w:r>
      <w:r w:rsidRPr="003517FB">
        <w:rPr>
          <w:rStyle w:val="FootnoteReference"/>
        </w:rPr>
        <w:footnoteReference w:id="9"/>
      </w:r>
      <w:r w:rsidRPr="003517FB">
        <w:t>,</w:t>
      </w:r>
    </w:p>
    <w:p w14:paraId="190DB0C8" w14:textId="77777777" w:rsidR="00AD03E0" w:rsidRPr="003517FB" w:rsidRDefault="00AD03E0" w:rsidP="00AD03E0">
      <w:pPr>
        <w:pStyle w:val="NormalHanging"/>
      </w:pPr>
      <w:r w:rsidRPr="003517FB">
        <w:t>–</w:t>
      </w:r>
      <w:r w:rsidRPr="003517FB">
        <w:tab/>
        <w:t>având în vedere rezoluția sa din 2 aprilie 2025 referitoare la punerea în aplicare a politicii externe și de securitate comune – raportul anual pe 2024</w:t>
      </w:r>
      <w:r w:rsidRPr="003517FB">
        <w:rPr>
          <w:rStyle w:val="FootnoteReference"/>
        </w:rPr>
        <w:footnoteReference w:id="10"/>
      </w:r>
      <w:r w:rsidRPr="003517FB">
        <w:t>,</w:t>
      </w:r>
    </w:p>
    <w:p w14:paraId="3D43B083" w14:textId="77777777" w:rsidR="00AD03E0" w:rsidRPr="003517FB" w:rsidRDefault="00AD03E0" w:rsidP="00AD03E0">
      <w:pPr>
        <w:pStyle w:val="NormalHanging"/>
      </w:pPr>
      <w:r w:rsidRPr="003517FB">
        <w:t>–</w:t>
      </w:r>
      <w:r w:rsidRPr="003517FB">
        <w:tab/>
        <w:t>având în vedere rezoluția sa din 2 aprilie 2025 referitoare la drepturile omului și democrația în lume și politica Uniunii Europene în această privință - raport anual pe 2024</w:t>
      </w:r>
      <w:r w:rsidRPr="003517FB">
        <w:rPr>
          <w:rStyle w:val="FootnoteReference"/>
        </w:rPr>
        <w:footnoteReference w:id="11"/>
      </w:r>
      <w:r w:rsidRPr="003517FB">
        <w:t>,</w:t>
      </w:r>
    </w:p>
    <w:p w14:paraId="68D772D8" w14:textId="77777777" w:rsidR="00AD03E0" w:rsidRPr="003517FB" w:rsidRDefault="00AD03E0" w:rsidP="00AD03E0">
      <w:pPr>
        <w:pStyle w:val="NormalHanging"/>
      </w:pPr>
      <w:r w:rsidRPr="003517FB">
        <w:t>–</w:t>
      </w:r>
      <w:r w:rsidRPr="003517FB">
        <w:tab/>
        <w:t>având în vedere rezoluția sa din 6 mai 2025 referitoare la controlul activităților financiare ale Băncii Europene de Investiții – raportul anual 2023</w:t>
      </w:r>
      <w:r w:rsidRPr="003517FB">
        <w:rPr>
          <w:rStyle w:val="FootnoteReference"/>
        </w:rPr>
        <w:footnoteReference w:id="12"/>
      </w:r>
      <w:r w:rsidRPr="003517FB">
        <w:t>,</w:t>
      </w:r>
    </w:p>
    <w:p w14:paraId="2C5DBFD5" w14:textId="77777777" w:rsidR="00AD03E0" w:rsidRPr="003517FB" w:rsidRDefault="00AD03E0" w:rsidP="00AD03E0">
      <w:pPr>
        <w:pStyle w:val="NormalHanging"/>
      </w:pPr>
      <w:r w:rsidRPr="003517FB">
        <w:t>–</w:t>
      </w:r>
      <w:r w:rsidRPr="003517FB">
        <w:tab/>
        <w:t>având în vedere decizia sa din 7 mai 2025 privind descărcarea de gestiune pentru execuția bugetului general al Uniunii Europene aferent exercițiului financiar 2023, secțiunea III – Comisia, agențiile executive și al nouălea, al zecelea și al unsprezecelea Fond european de dezvoltare</w:t>
      </w:r>
      <w:r w:rsidRPr="003517FB">
        <w:rPr>
          <w:rStyle w:val="FootnoteReference"/>
        </w:rPr>
        <w:footnoteReference w:id="13"/>
      </w:r>
      <w:r w:rsidRPr="003517FB">
        <w:t>,</w:t>
      </w:r>
    </w:p>
    <w:p w14:paraId="23950F6B" w14:textId="77777777" w:rsidR="00AD03E0" w:rsidRPr="003517FB" w:rsidRDefault="00AD03E0" w:rsidP="00AD03E0">
      <w:pPr>
        <w:pStyle w:val="NormalHanging"/>
      </w:pPr>
      <w:r w:rsidRPr="003517FB">
        <w:t>–</w:t>
      </w:r>
      <w:r w:rsidRPr="003517FB">
        <w:tab/>
        <w:t>având în vedere rezoluția sa din 9 iulie 2025 referitoare la punerea în aplicare și realizarea obiectivelor de dezvoltare durabilă în vederea Forumului politic la nivel înalt din 2025</w:t>
      </w:r>
      <w:r w:rsidRPr="003517FB">
        <w:rPr>
          <w:rStyle w:val="FootnoteReference"/>
        </w:rPr>
        <w:footnoteReference w:id="14"/>
      </w:r>
      <w:r w:rsidRPr="003517FB">
        <w:t>,</w:t>
      </w:r>
    </w:p>
    <w:p w14:paraId="287D48D3" w14:textId="77777777" w:rsidR="00AD03E0" w:rsidRPr="003517FB" w:rsidRDefault="00AD03E0" w:rsidP="00AD03E0">
      <w:pPr>
        <w:pStyle w:val="NormalHanging"/>
      </w:pPr>
      <w:r w:rsidRPr="003517FB">
        <w:t>–</w:t>
      </w:r>
      <w:r w:rsidRPr="003517FB">
        <w:tab/>
        <w:t>având în vedere articolul 55 din Regulamentul său de procedură,</w:t>
      </w:r>
    </w:p>
    <w:p w14:paraId="695F8F08" w14:textId="77777777" w:rsidR="00AD03E0" w:rsidRPr="003517FB" w:rsidRDefault="00AD03E0" w:rsidP="00AD03E0">
      <w:pPr>
        <w:pStyle w:val="NormalHanging"/>
      </w:pPr>
      <w:r w:rsidRPr="003517FB">
        <w:t>–</w:t>
      </w:r>
      <w:r w:rsidRPr="003517FB">
        <w:tab/>
        <w:t>având în vedere deliberările comune ale Comisiei pentru afaceri externe și Comisiei pentru dezvoltare, purtate în temeiul articolului 59 din Regulamentul de procedură,</w:t>
      </w:r>
    </w:p>
    <w:p w14:paraId="11FF1195" w14:textId="77777777" w:rsidR="00AD03E0" w:rsidRPr="003517FB" w:rsidRDefault="00AD03E0" w:rsidP="00AD03E0">
      <w:pPr>
        <w:pStyle w:val="NormalHanging"/>
      </w:pPr>
      <w:r w:rsidRPr="003517FB">
        <w:t>–</w:t>
      </w:r>
      <w:r w:rsidRPr="003517FB">
        <w:tab/>
        <w:t>având în vedere avizul Comisiei pentru comerț internațional,</w:t>
      </w:r>
    </w:p>
    <w:p w14:paraId="01523548" w14:textId="77777777" w:rsidR="00AD03E0" w:rsidRPr="003517FB" w:rsidRDefault="00AD03E0" w:rsidP="00AD03E0">
      <w:pPr>
        <w:pStyle w:val="NormalHanging"/>
      </w:pPr>
      <w:r w:rsidRPr="003517FB">
        <w:t>–</w:t>
      </w:r>
      <w:r w:rsidRPr="003517FB">
        <w:tab/>
        <w:t>având în vedere raportul Comisiei pentru afaceri externe și al Comisiei pentru dezvoltare (A10-0045/2026),</w:t>
      </w:r>
    </w:p>
    <w:p w14:paraId="49D2CED1" w14:textId="77777777" w:rsidR="00AD03E0" w:rsidRPr="003517FB" w:rsidRDefault="00AD03E0" w:rsidP="00AD03E0">
      <w:pPr>
        <w:pStyle w:val="NormalHanging12a"/>
      </w:pPr>
      <w:r w:rsidRPr="003517FB">
        <w:t>A.</w:t>
      </w:r>
      <w:r w:rsidRPr="003517FB">
        <w:tab/>
        <w:t xml:space="preserve">întrucât strategia Global Gateway a fost instituită la 1 decembrie 2021, cu scopul de a deveni cadrul emblematic al UE pentru conectivitate sustenabilă și investiții la nivel mondial și ca alternativă la inițiativa Chinei „O centură, un drum” și pentru a se alinia la obiectivul mai amplu al comunității internaționale, de valorificare a implicării sectorului </w:t>
      </w:r>
      <w:r w:rsidRPr="003517FB">
        <w:lastRenderedPageBreak/>
        <w:t>privat, pentru a trece „de la miliarde la mii de miliarde” în finanțarea dezvoltării în vederea abordării celor mai costisitoare aspectele ale ODD-urilor; întrucât este vorba de o strategie și de o inițiativă politică și nu de un instrument sau un regulament; întrucât Global Gateway se bazează, pentru cadrul său juridic și finanțare, pe arhitectura financiară a acțiunii externe a UE, în special pe politica și bugetul UE în domeniul cooperării pentru dezvoltare și, în mod specific, pe instrumentul IVCDCI – Europa globală;</w:t>
      </w:r>
    </w:p>
    <w:p w14:paraId="37550297" w14:textId="77777777" w:rsidR="00AD03E0" w:rsidRPr="003517FB" w:rsidRDefault="00AD03E0" w:rsidP="00AD03E0">
      <w:pPr>
        <w:pStyle w:val="NormalHanging12a"/>
      </w:pPr>
      <w:r w:rsidRPr="003517FB">
        <w:t>B.</w:t>
      </w:r>
      <w:r w:rsidRPr="003517FB">
        <w:tab/>
        <w:t>întrucât, într-un mediu de creștere a rivalității și a incertitudinii geopolitice, strategia „Global Gateway”, dacă este aplicată și comunicată corespunzător, va crește ponderea geopolitică și vizibilitatea UE pe scena mondială, prin stimularea legăturilor inteligente, curate și sigure dintre UE și partenerii săi în domeniul tehnologiilor digitale, al energiei și al transporturilor și prin consolidarea sistemelor de sănătate, educație și cercetare din întreaga lume, în cadrul Agendei 2030 și al ODD-urilor relevante, precum și prin restabilirea competitivității industriale a Europei, reducerea dependențelor sale în sectoarele critice și contrabalansarea influenței tot mai mari a Chinei;</w:t>
      </w:r>
    </w:p>
    <w:p w14:paraId="535137EA" w14:textId="77777777" w:rsidR="00AD03E0" w:rsidRPr="003517FB" w:rsidRDefault="00AD03E0" w:rsidP="00AD03E0">
      <w:pPr>
        <w:pStyle w:val="NormalHanging12a"/>
      </w:pPr>
      <w:r w:rsidRPr="003517FB">
        <w:t>C.</w:t>
      </w:r>
      <w:r w:rsidRPr="003517FB">
        <w:tab/>
        <w:t xml:space="preserve">întrucât regiunile </w:t>
      </w:r>
      <w:proofErr w:type="spellStart"/>
      <w:r w:rsidRPr="003517FB">
        <w:t>ultraperiferice</w:t>
      </w:r>
      <w:proofErr w:type="spellEnd"/>
      <w:r w:rsidRPr="003517FB">
        <w:t xml:space="preserve"> ale UE și țările și teritoriile de peste mări (TTPM) sunt situate în apropierea unor zone strategice pentru dezvoltarea proiectelor Global Gateway; întrucât dezvoltarea acestor zone are un impact pozitiv asupra siguranței și prosperității regiunilor </w:t>
      </w:r>
      <w:proofErr w:type="spellStart"/>
      <w:r w:rsidRPr="003517FB">
        <w:t>ultraperiferice</w:t>
      </w:r>
      <w:proofErr w:type="spellEnd"/>
      <w:r w:rsidRPr="003517FB">
        <w:t xml:space="preserve"> și TTPM;</w:t>
      </w:r>
    </w:p>
    <w:p w14:paraId="6DDAFCC6" w14:textId="77777777" w:rsidR="00AD03E0" w:rsidRPr="003517FB" w:rsidRDefault="00AD03E0" w:rsidP="00AD03E0">
      <w:pPr>
        <w:pStyle w:val="NormalHanging12a"/>
      </w:pPr>
      <w:r w:rsidRPr="003517FB">
        <w:t>D.</w:t>
      </w:r>
      <w:r w:rsidRPr="003517FB">
        <w:tab/>
        <w:t>întrucât finanțarea UE prevăzută în strategia Global Gateway nu trebuie să aducă beneficii entităților care subminează interesele economice și de securitate europene, inclusiv întreprinderilor care fac obiectul sancțiunilor UE, întreprinderilor deținute sau controlate de stat ale rivalilor sistemici sau operatorilor implicați în eludarea sancțiunilor, în transferurile de produse cu dublă utilizare către Rusia sau în alte activități ostile; întrucât participarea la proiectele Global Gateway ar trebui să depindă de respectarea deplină a măsurilor restrictive ale UE și de eforturi credibile de prevenire a eludării acestora;</w:t>
      </w:r>
    </w:p>
    <w:p w14:paraId="05201FEF" w14:textId="77777777" w:rsidR="00AD03E0" w:rsidRPr="003517FB" w:rsidRDefault="00AD03E0" w:rsidP="00AD03E0">
      <w:pPr>
        <w:pStyle w:val="NormalHanging12a"/>
      </w:pPr>
      <w:r w:rsidRPr="003517FB">
        <w:t>E.</w:t>
      </w:r>
      <w:r w:rsidRPr="003517FB">
        <w:tab/>
        <w:t>întrucât influența geopolitică și capacitatea de a încheia parteneriate reciproc avantajoase pe termen lung depind în mare măsură de puterea economică, de accesul la piețe și de capacitatea instituțională, precum și de foile de parcurs convenite de comun acord; întrucât parteneriatul și investițiile Global Gateway ar trebui să se bazeze pe reciprocitate și pe beneficii și interese reciproce, demonstrabile și concrete; întrucât evoluția de la relații donator-beneficiar la parteneriate de investiții reciproc avantajoase va necesita noi soluții adaptate la contexte specifice;</w:t>
      </w:r>
    </w:p>
    <w:p w14:paraId="3C75CBCC" w14:textId="77777777" w:rsidR="00AD03E0" w:rsidRPr="003517FB" w:rsidRDefault="00AD03E0" w:rsidP="00AD03E0">
      <w:pPr>
        <w:pStyle w:val="NormalHanging12a"/>
      </w:pPr>
      <w:r w:rsidRPr="003517FB">
        <w:t>F.</w:t>
      </w:r>
      <w:r w:rsidRPr="003517FB">
        <w:tab/>
        <w:t>întrucât interdependența sectorului digital, a sectorului energetic și a lanțurilor de aprovizionare creează atât oportunități, cât și vulnerabilități pentru UE; întrucât implicarea eficace a sectorului privat și implementarea proiectelor, finanțarea adecvată și coordonarea strânsă cu partenerii, inclusiv cu societatea civilă, contribuie la credibilitatea UE ca actor global;</w:t>
      </w:r>
    </w:p>
    <w:p w14:paraId="0E181EE3" w14:textId="77777777" w:rsidR="00AD03E0" w:rsidRPr="003517FB" w:rsidRDefault="00AD03E0" w:rsidP="00AD03E0">
      <w:pPr>
        <w:pStyle w:val="NormalHanging12a"/>
      </w:pPr>
      <w:r w:rsidRPr="003517FB">
        <w:t>G.</w:t>
      </w:r>
      <w:r w:rsidRPr="003517FB">
        <w:tab/>
        <w:t>întrucât este în interesul UE să promoveze dezvoltarea socială, economică, umană și de mediu, inclusiv prin parteneriate cu societatea civilă, prin consolidarea diplomației și prin cooperarea întreprinderilor;</w:t>
      </w:r>
    </w:p>
    <w:p w14:paraId="4E65B2C5" w14:textId="77777777" w:rsidR="00AD03E0" w:rsidRPr="003517FB" w:rsidRDefault="00AD03E0" w:rsidP="00AD03E0">
      <w:pPr>
        <w:pStyle w:val="NormalHanging12a"/>
      </w:pPr>
      <w:r w:rsidRPr="003517FB">
        <w:t>H.</w:t>
      </w:r>
      <w:r w:rsidRPr="003517FB">
        <w:tab/>
        <w:t xml:space="preserve">întrucât obiectivul principal al cooperării pentru dezvoltare a UE, astfel cum este prevăzut la articolul 208 din TFUE, este reducerea și eradicarea pe termen lung a sărăciei, ceea ce necesită investiții și cooperare în educație, crearea de locuri de muncă, </w:t>
      </w:r>
      <w:r w:rsidRPr="003517FB">
        <w:lastRenderedPageBreak/>
        <w:t>sănătate și protecție socială, printre alte domenii, pentru a asigura realizarea Agendei 2030 și a ODD-urilor, protejând și promovând în același timp interesele geopolitice ale UE;</w:t>
      </w:r>
    </w:p>
    <w:p w14:paraId="2E881445" w14:textId="77777777" w:rsidR="00AD03E0" w:rsidRPr="003517FB" w:rsidRDefault="00AD03E0" w:rsidP="00AD03E0">
      <w:pPr>
        <w:pStyle w:val="NormalHanging12a"/>
      </w:pPr>
      <w:r w:rsidRPr="003517FB">
        <w:t>I.</w:t>
      </w:r>
      <w:r w:rsidRPr="003517FB">
        <w:tab/>
        <w:t>întrucât IVCDCI – Europa globală a definit clar obiectivele cantitative pentru dezvoltarea umană, egalitatea de gen și acțiunile climatice; întrucât Global Gateway prevede angajamentul de a respecta standarde înalte în materie de drepturi ale omului, drepturi sociale și drepturi ale lucrătorilor și transparență, de a crea parteneriate egale în loc de dependențe și de a oferi o agendă de investiții democratică;</w:t>
      </w:r>
    </w:p>
    <w:p w14:paraId="357E79B4" w14:textId="77777777" w:rsidR="00AD03E0" w:rsidRPr="003517FB" w:rsidRDefault="00AD03E0" w:rsidP="00AD03E0">
      <w:pPr>
        <w:pStyle w:val="NormalHanging12a"/>
      </w:pPr>
      <w:r w:rsidRPr="003517FB">
        <w:t>J.</w:t>
      </w:r>
      <w:r w:rsidRPr="003517FB">
        <w:tab/>
        <w:t>întrucât investițiile sustenabile, bazate pe valoare, în țările partenere contribuie la stabilitatea și securitatea la nivel mondial; întrucât 23 % din populația lumii trăiește în contexte fragile; întrucât rămâne în interesul strategic al UE să folosească instrumente specifice pentru a se implica în statele fragile și afectate de conflicte, inclusiv prin Global Gateway; întrucât parteneriatele public-privat și proiectele de infrastructură din aceste țări pot avea succes și au un impact pozitiv important dacă sunt concepute corect;</w:t>
      </w:r>
    </w:p>
    <w:p w14:paraId="500FB1AD" w14:textId="77777777" w:rsidR="00AD03E0" w:rsidRPr="003517FB" w:rsidRDefault="00AD03E0" w:rsidP="00AD03E0">
      <w:pPr>
        <w:pStyle w:val="NormalHanging12a"/>
      </w:pPr>
      <w:r w:rsidRPr="003517FB">
        <w:t>K.</w:t>
      </w:r>
      <w:r w:rsidRPr="003517FB">
        <w:tab/>
        <w:t>întrucât deficitul de investiții pentru obiectivele de dezvoltare durabilă în țările în curs de dezvoltare se ridică în prezent la 4 mii de miliarde USD pe an; întrucât angajamentul sectorului privat față de ODD-uri oferă posibilitatea de a extinde acțiunile de dezvoltare și de a le mări sustenabilitatea prin crearea de locuri de muncă decente, stimularea creșterii economice și eliminarea sărăciei;</w:t>
      </w:r>
    </w:p>
    <w:p w14:paraId="05201809" w14:textId="77777777" w:rsidR="00AD03E0" w:rsidRPr="003517FB" w:rsidRDefault="00AD03E0" w:rsidP="00AD03E0">
      <w:pPr>
        <w:pStyle w:val="NormalHanging12a"/>
      </w:pPr>
      <w:r w:rsidRPr="003517FB">
        <w:t>L.</w:t>
      </w:r>
      <w:r w:rsidRPr="003517FB">
        <w:tab/>
        <w:t>întrucât UE și statele sale membre s-au angajat să cheltuiască 0,7 % din venitul lor național brut pentru asistența oficială pentru dezvoltare (AOD), care vizează promovarea dezvoltării economice și a bunăstării țărilor în curs de dezvoltare; întrucât considerentele geopolitice nu trebuie să prevaleze asupra principiilor eficacității dezvoltării sau să denatureze prioritățile țărilor partenere;</w:t>
      </w:r>
    </w:p>
    <w:p w14:paraId="3B46D11C" w14:textId="77777777" w:rsidR="00AD03E0" w:rsidRPr="003517FB" w:rsidRDefault="00AD03E0" w:rsidP="00AD03E0">
      <w:pPr>
        <w:pStyle w:val="NormalHanging12a"/>
      </w:pPr>
      <w:r w:rsidRPr="003517FB">
        <w:t>M.</w:t>
      </w:r>
      <w:r w:rsidRPr="003517FB">
        <w:tab/>
        <w:t>întrucât nu se pot obține rezultate durabile în lipsa unui angajament al țărilor partenere de a consolida dezvoltarea democratică pe termen lung;</w:t>
      </w:r>
    </w:p>
    <w:p w14:paraId="26D0EFB9" w14:textId="77777777" w:rsidR="00AD03E0" w:rsidRPr="003517FB" w:rsidRDefault="00AD03E0" w:rsidP="00AD03E0">
      <w:pPr>
        <w:pStyle w:val="NormalHanging12a"/>
      </w:pPr>
      <w:r w:rsidRPr="003517FB">
        <w:t>N.</w:t>
      </w:r>
      <w:r w:rsidRPr="003517FB">
        <w:tab/>
        <w:t>întrucât succesul strategiei Global Gateway se bazează pe abordarea „Echipa Europa”, care în ultimii trei ani s-a străduit să demonstreze asumarea responsabilității, angajamentul și o voce mai unitară a UE la nivel mondial; întrucât conceptul „Echipa Europa” ar putea fi îmbunătățit în continuare în ceea ce privește programarea în comun, conceperea proiectelor, guvernanța, procesul decizional și includerea părților interesate;</w:t>
      </w:r>
    </w:p>
    <w:p w14:paraId="388949CD" w14:textId="77777777" w:rsidR="00AD03E0" w:rsidRPr="003517FB" w:rsidRDefault="00AD03E0" w:rsidP="00AD03E0">
      <w:pPr>
        <w:pStyle w:val="NormalHanging12a"/>
      </w:pPr>
      <w:r w:rsidRPr="003517FB">
        <w:t>O.</w:t>
      </w:r>
      <w:r w:rsidRPr="003517FB">
        <w:tab/>
        <w:t>întrucât unele proiecte emblematice Global Gateway au fost deja identificate drept priorități în cadrul Parteneriatului G7 pentru infrastructură și investiții la nivel mondial;</w:t>
      </w:r>
    </w:p>
    <w:p w14:paraId="05E0FCCA" w14:textId="77777777" w:rsidR="00AD03E0" w:rsidRPr="003517FB" w:rsidRDefault="00AD03E0" w:rsidP="00AD03E0">
      <w:pPr>
        <w:pStyle w:val="NormalHanging12a"/>
      </w:pPr>
      <w:r w:rsidRPr="003517FB">
        <w:t>P.</w:t>
      </w:r>
      <w:r w:rsidRPr="003517FB">
        <w:tab/>
        <w:t>întrucât unele state membre au stabilit planuri naționale de parteneriat; întrucât statele membre sunt încurajate să facă schimb de bune practici;</w:t>
      </w:r>
    </w:p>
    <w:p w14:paraId="234E9785" w14:textId="77777777" w:rsidR="00AD03E0" w:rsidRPr="003517FB" w:rsidRDefault="00AD03E0" w:rsidP="00AD03E0">
      <w:pPr>
        <w:pStyle w:val="NormalHanging12a"/>
      </w:pPr>
      <w:r w:rsidRPr="003517FB">
        <w:t>Q.</w:t>
      </w:r>
      <w:r w:rsidRPr="003517FB">
        <w:tab/>
        <w:t>întrucât Parlamentul a salutat Global Gateway ca reacție concertată a UE la provocările mondiale, subliniind, în același timp, deficiențele în guvernanța sa, inclusiv alinierea la prioritățile țărilor partenere, impactul, implicarea părților interesate și transparența, precum și lipsa raportării periodice cu privire la impactul inițiativelor emblematice; întrucât procesul decizional al Global Gateway nu este prevăzut de lege, ci este reglementat de procedurile interne ale Comisiei și de deciziile Consiliului;</w:t>
      </w:r>
    </w:p>
    <w:p w14:paraId="19177D65" w14:textId="77777777" w:rsidR="00AD03E0" w:rsidRPr="003517FB" w:rsidRDefault="00AD03E0" w:rsidP="00AD03E0">
      <w:pPr>
        <w:pStyle w:val="NormalHanging12a"/>
      </w:pPr>
      <w:r w:rsidRPr="003517FB">
        <w:lastRenderedPageBreak/>
        <w:t>R.</w:t>
      </w:r>
      <w:r w:rsidRPr="003517FB">
        <w:tab/>
        <w:t>întrucât Parlamentul ar trebui să își exercite toată influența conferită de rolul său de control democratic în politica și guvernanța strategiei Global Gateway, precum și de garantare a responsabilității în materie de evaluare a proiectelor;</w:t>
      </w:r>
    </w:p>
    <w:p w14:paraId="35324862" w14:textId="77777777" w:rsidR="00AD03E0" w:rsidRPr="003517FB" w:rsidRDefault="00AD03E0" w:rsidP="00AD03E0">
      <w:pPr>
        <w:pStyle w:val="NormalHanging12a"/>
        <w:rPr>
          <w:bCs/>
          <w:iCs/>
        </w:rPr>
      </w:pPr>
      <w:r w:rsidRPr="003517FB">
        <w:t>S.</w:t>
      </w:r>
      <w:r w:rsidRPr="003517FB">
        <w:tab/>
        <w:t>întrucât, în strategia Global Gateway actuală, organismele alese din țările beneficiare, inclusiv parlamentele, precum și societatea civilă și experții independenți nu au un rol activ în procesul decizional sau în monitorizarea și asigurarea responsabilității;</w:t>
      </w:r>
    </w:p>
    <w:p w14:paraId="650FB662" w14:textId="77777777" w:rsidR="00AD03E0" w:rsidRPr="003517FB" w:rsidRDefault="00AD03E0" w:rsidP="00AD03E0">
      <w:pPr>
        <w:pStyle w:val="NormalHanging12a"/>
        <w:rPr>
          <w:bCs/>
          <w:iCs/>
        </w:rPr>
      </w:pPr>
      <w:r w:rsidRPr="003517FB">
        <w:t>T.</w:t>
      </w:r>
      <w:r w:rsidRPr="003517FB">
        <w:tab/>
        <w:t>întrucât accesul publicului la informații privind proiectele Global Gateway este limitat;</w:t>
      </w:r>
    </w:p>
    <w:p w14:paraId="26D4C530" w14:textId="77777777" w:rsidR="00AD03E0" w:rsidRPr="003517FB" w:rsidRDefault="00AD03E0" w:rsidP="00AD03E0">
      <w:pPr>
        <w:pStyle w:val="NormalHanging12a"/>
        <w:rPr>
          <w:bCs/>
          <w:iCs/>
        </w:rPr>
      </w:pPr>
      <w:r w:rsidRPr="003517FB">
        <w:t>U.</w:t>
      </w:r>
      <w:r w:rsidRPr="003517FB">
        <w:tab/>
        <w:t>întrucât stabilirea unor obiective și disponibilitatea unor instrumente mai bune de monitorizare și evaluare ar putea contribui la evaluarea contribuțiilor proiectelor la obiectivele de dezvoltare și la prevenirea efectelor negative în țările beneficiare;</w:t>
      </w:r>
    </w:p>
    <w:p w14:paraId="4B9D9861" w14:textId="77777777" w:rsidR="00AD03E0" w:rsidRPr="003517FB" w:rsidRDefault="00AD03E0" w:rsidP="00AD03E0">
      <w:pPr>
        <w:pStyle w:val="Normal12a"/>
        <w:keepNext/>
      </w:pPr>
      <w:r w:rsidRPr="003517FB">
        <w:rPr>
          <w:b/>
          <w:i/>
        </w:rPr>
        <w:t>Bilanț, obiective strategice și viziune</w:t>
      </w:r>
    </w:p>
    <w:p w14:paraId="77EBA830" w14:textId="77777777" w:rsidR="00AD03E0" w:rsidRPr="003517FB" w:rsidRDefault="00AD03E0" w:rsidP="00AD03E0">
      <w:pPr>
        <w:pStyle w:val="NormalHanging12a"/>
        <w:keepNext/>
      </w:pPr>
      <w:r w:rsidRPr="003517FB">
        <w:t>1.</w:t>
      </w:r>
      <w:r w:rsidRPr="003517FB">
        <w:tab/>
        <w:t>reamintește că inițiativa Global Gateway reprezintă un concept geopolitic strategic care integrează politicile externe, economice și de cooperare pentru dezvoltare, incluzând implicarea UE în protecția și adaptarea la schimbările climatice, transformarea digitală și sectoarele sănătății, cercetării, educației și transportului, cu scopul de a stabili parteneriate strategice pe termen lung, reciproc avantajoase, în special pentru a construi și securiza lanțurile de aprovizionare și reziliența atât în UE, cât și în țările partenere, mai ales printr-o implicare mai puternică a sectorului privat; subliniază că inițiativa „Global Gateway” ar trebui să devină o strategie pe termen lung, bazată pe o abordare guvernamentală integratoare; salută, în acest sens, trecerea de la modelul donator-beneficiar la parteneriate pe poziții de egalitate; subliniază că ar trebui să se pună accentul pe investiții inteligente în infrastructuri de calitate, respectând standarde sociale și de mediu ridicate și aliniate la interesele și valorile UE, inclusiv statul de drept, drepturile omului și normele și standardele internaționale relevante; evidențiază că coordonarea cu instituțiile internaționale, implicarea sectorului privat și comunicarea strategică adaptată, inclusiv în țările beneficiare, sunt esențiale pentru ca instrumentul să atingă amploarea dorită;</w:t>
      </w:r>
    </w:p>
    <w:p w14:paraId="26A0294F" w14:textId="77777777" w:rsidR="00AD03E0" w:rsidRPr="003517FB" w:rsidRDefault="00AD03E0" w:rsidP="00AD03E0">
      <w:pPr>
        <w:pStyle w:val="NormalHanging12a"/>
      </w:pPr>
      <w:r w:rsidRPr="003517FB">
        <w:t>2.</w:t>
      </w:r>
      <w:r w:rsidRPr="003517FB">
        <w:tab/>
        <w:t xml:space="preserve">subliniază că noile provocări geostrategice, cum ar fi războiul de agresiune în curs al Rusiei împotriva Ucrainei, precum și influența și </w:t>
      </w:r>
      <w:proofErr w:type="spellStart"/>
      <w:r w:rsidRPr="003517FB">
        <w:t>asertivitatea</w:t>
      </w:r>
      <w:proofErr w:type="spellEnd"/>
      <w:r w:rsidRPr="003517FB">
        <w:t xml:space="preserve"> tot mai mari ale Chinei și Rusiei, desființarea Agenției Statelor Unite pentru Dezvoltare Internațională (USAID) și reducerea tot mai accentuată a AOD, inclusiv în mai multe state membre ale UE, au creat deficite de finanțare semnificative în furnizarea de servicii publice esențiale; reliefează că politica externă și de securitate a UE și actorii din domeniul dezvoltării trebuie să utilizeze mai bine resursele limitate și să-și coordoneze mai bine acțiunile pentru a spori autoritatea, prezența, influența și vizibilitatea UE la nivel mondial prin intermediul unor investiții reciproc avantajoase, cu scopul de a promova creșterea durabilă și favorabilă incluziunii în țările partenere, a consolida egalitatea și mijloacele de subzistență ale comunităților locale și a înregistra progrese în direcția realizării ODD-urilor;</w:t>
      </w:r>
    </w:p>
    <w:p w14:paraId="695D7684" w14:textId="77777777" w:rsidR="00AD03E0" w:rsidRPr="003517FB" w:rsidRDefault="00AD03E0" w:rsidP="00AD03E0">
      <w:pPr>
        <w:pStyle w:val="NormalHanging12a"/>
        <w:rPr>
          <w:bCs/>
          <w:iCs/>
        </w:rPr>
      </w:pPr>
      <w:r w:rsidRPr="003517FB">
        <w:t>3.</w:t>
      </w:r>
      <w:r w:rsidRPr="003517FB">
        <w:tab/>
        <w:t xml:space="preserve">înțelege că Global Gateway are potențialul de a însoți, de a facilita și de a consolida investițiile europene sustenabile la nivel mondial, care oferă țărilor partenere posibilitatea de a-și dezvolta industriile și de a crea valoare adăugată și locuri de muncă decente la nivel local, precum și de a oferi acestor țări acces la principalele piețe din UE; subliniază că parteneriatele pe termen lung oferite de UE în cadrul Global Gateway pot crea o ofertă alternativă reală pentru țările partenere cu privire la obiectivele lor </w:t>
      </w:r>
      <w:r w:rsidRPr="003517FB">
        <w:lastRenderedPageBreak/>
        <w:t>economice și de dezvoltare, contribuind în același timp la atingerea obiectivelor generale ale UE de creștere a competitivității, a rezilienței, a diversificării și a autonomiei strategice, precum și la atingerea obiectivelor internaționale convenite de comun acord;</w:t>
      </w:r>
    </w:p>
    <w:p w14:paraId="41989659" w14:textId="77777777" w:rsidR="00AD03E0" w:rsidRPr="003517FB" w:rsidRDefault="00AD03E0" w:rsidP="00AD03E0">
      <w:pPr>
        <w:pStyle w:val="NormalHanging12a"/>
        <w:rPr>
          <w:bCs/>
          <w:iCs/>
        </w:rPr>
      </w:pPr>
      <w:r w:rsidRPr="003517FB">
        <w:t>4.</w:t>
      </w:r>
      <w:r w:rsidRPr="003517FB">
        <w:tab/>
        <w:t>ia act de voința politică a Președintei Comisiei de a extinde inițiativa Global Gateway în cursul legislaturii 2024-2029; constată că, din 2022, Consiliul a aprobat peste 250 de proiecte emblematice; constată, de asemenea, că, potrivit Comisiei, până la sfârșitul anului 2024, fuseseră mobilizate 306 miliarde EUR; regretă lipsa de claritate și de transparență în ceea ce privește istoricul finanțării și modul în care a fost atinsă cifra de 306 miliarde EUR;</w:t>
      </w:r>
    </w:p>
    <w:p w14:paraId="15CC997E" w14:textId="77777777" w:rsidR="00AD03E0" w:rsidRPr="003517FB" w:rsidRDefault="00AD03E0" w:rsidP="00AD03E0">
      <w:pPr>
        <w:pStyle w:val="NormalHanging12a"/>
      </w:pPr>
      <w:r w:rsidRPr="003517FB">
        <w:t>5.</w:t>
      </w:r>
      <w:r w:rsidRPr="003517FB">
        <w:tab/>
        <w:t>constată că selecția proiectelor a urmat o abordare excesiv de centralizată, descendentă, fără implicarea suficientă a părților interesate; observă că, în continuare, conceptul și criteriile pentru proiectele Global Gateway sunt neclare atât pentru statele membre, cât și pentru țările partenere; subliniază că este important să se favorizeze un model în care cererea din țările partenere să fie corelată cu ofertele întreprinderilor europene, în conformitate cu obiectivele externe, economice și de dezvoltare ale UE și cu angajamentele internaționale, în special cu Agenda 2030 și cu Acordul de la Paris;</w:t>
      </w:r>
    </w:p>
    <w:p w14:paraId="65294359" w14:textId="77777777" w:rsidR="00AD03E0" w:rsidRPr="003517FB" w:rsidRDefault="00AD03E0" w:rsidP="00AD03E0">
      <w:pPr>
        <w:pStyle w:val="NormalHanging12a"/>
        <w:rPr>
          <w:bCs/>
          <w:iCs/>
        </w:rPr>
      </w:pPr>
      <w:r w:rsidRPr="003517FB">
        <w:t>6.</w:t>
      </w:r>
      <w:r w:rsidRPr="003517FB">
        <w:tab/>
        <w:t xml:space="preserve">observă că strategia Global Gateway se bazează pe Regulamentul privind IVCDCI – Europa globală; ia act, în plus, de propunerea Comisiei privind noul instrument „Europa globală” și constată că aceasta nu a profitat de ocazie și nu a inclus nicio dispoziție substanțială de codificare privind inițiativa Global Gateway; afirmă disponibilitatea Parlamentului, în calitate de </w:t>
      </w:r>
      <w:proofErr w:type="spellStart"/>
      <w:r w:rsidRPr="003517FB">
        <w:t>colegiuitor</w:t>
      </w:r>
      <w:proofErr w:type="spellEnd"/>
      <w:r w:rsidRPr="003517FB">
        <w:t>, de a prezenta propuneri de clarificare;</w:t>
      </w:r>
    </w:p>
    <w:p w14:paraId="7B099F98" w14:textId="77777777" w:rsidR="00AD03E0" w:rsidRPr="003517FB" w:rsidRDefault="00AD03E0" w:rsidP="00AD03E0">
      <w:pPr>
        <w:pStyle w:val="NormalHanging12a"/>
        <w:rPr>
          <w:bCs/>
          <w:iCs/>
        </w:rPr>
      </w:pPr>
      <w:r w:rsidRPr="003517FB">
        <w:t>7.</w:t>
      </w:r>
      <w:r w:rsidRPr="003517FB">
        <w:tab/>
        <w:t>subliniază că strategia Global Gateway trebuie să rămână ancorată în obiectivul principal al cooperării pentru dezvoltare a UE, și anume reducerea și eradicarea pe termen lung a sărăciei;</w:t>
      </w:r>
    </w:p>
    <w:p w14:paraId="3B3C8A7F" w14:textId="77777777" w:rsidR="00AD03E0" w:rsidRPr="003517FB" w:rsidRDefault="00AD03E0" w:rsidP="00AD03E0">
      <w:pPr>
        <w:pStyle w:val="NormalHanging12a"/>
        <w:rPr>
          <w:bCs/>
          <w:iCs/>
        </w:rPr>
      </w:pPr>
      <w:r w:rsidRPr="003517FB">
        <w:t>8.</w:t>
      </w:r>
      <w:r w:rsidRPr="003517FB">
        <w:tab/>
        <w:t>evidențiază că este esențial să se asigure un echilibru între finanțarea AOD și cea non-AOD, invitând, în același timp, Comisia să consolideze coordonarea cu instrumentele și politicile care nu sunt legate de dezvoltare; solicită Comisiei să indice dacă proiectele Global Gateway respectă criteriile AOD;</w:t>
      </w:r>
    </w:p>
    <w:p w14:paraId="1C9A02C8" w14:textId="77777777" w:rsidR="00AD03E0" w:rsidRPr="003517FB" w:rsidRDefault="00AD03E0" w:rsidP="00AD03E0">
      <w:pPr>
        <w:pStyle w:val="NormalHanging12a"/>
        <w:rPr>
          <w:bCs/>
          <w:iCs/>
        </w:rPr>
      </w:pPr>
      <w:r w:rsidRPr="003517FB">
        <w:t>9.</w:t>
      </w:r>
      <w:r w:rsidRPr="003517FB">
        <w:tab/>
        <w:t>invită Comisia să stabilească metodologii clare și transparente pentru a evalua impactul asupra dezvoltării al intervențiilor Global Gateway finanțate din AOD a UE și care implică actori din sectorul privat din UE, precum și eligibilitatea acestora în raport cu criteriile Comitetului de asistență pentru dezvoltare al Organizației pentru Cooperare și Dezvoltare Economică; subliniază că astfel de metodologii ar trebui să fie completate de evaluări ale relevanței strategice, ținând seama de legăturile de încredere și de viziunile comune, de reziliență și de sustenabilitatea pe termen lung a proiectelor, și solicită raportarea periodică către Parlament într-un mod care să reflecte dubla dezvoltare și obiectivele geopolitice ale Global Gateway;</w:t>
      </w:r>
    </w:p>
    <w:p w14:paraId="5B69618F" w14:textId="77777777" w:rsidR="00AD03E0" w:rsidRPr="003517FB" w:rsidRDefault="00AD03E0" w:rsidP="00AD03E0">
      <w:pPr>
        <w:pStyle w:val="NormalHanging12a"/>
        <w:rPr>
          <w:bCs/>
          <w:iCs/>
        </w:rPr>
      </w:pPr>
      <w:r w:rsidRPr="003517FB">
        <w:t>10.</w:t>
      </w:r>
      <w:r w:rsidRPr="003517FB">
        <w:tab/>
        <w:t>accentuează importanța unei monitorizări și evaluări mai sistematice a impactului proiectelor Global Gateway pentru a spori responsabilitatea, transparența și eficacitatea inițiativei;</w:t>
      </w:r>
    </w:p>
    <w:p w14:paraId="74D09FE9" w14:textId="77777777" w:rsidR="00AD03E0" w:rsidRPr="003517FB" w:rsidRDefault="00AD03E0" w:rsidP="00AD03E0">
      <w:pPr>
        <w:pStyle w:val="NormalHanging12a"/>
        <w:rPr>
          <w:bCs/>
          <w:iCs/>
        </w:rPr>
      </w:pPr>
      <w:r w:rsidRPr="003517FB">
        <w:t>11.</w:t>
      </w:r>
      <w:r w:rsidRPr="003517FB">
        <w:tab/>
        <w:t xml:space="preserve">subliniază că investițiile în capacitarea femeilor și capitalul social nu sunt doar aliniate la valorile UE, ci sunt și profitabile economic; subliniază importanța aplicării unei </w:t>
      </w:r>
      <w:r w:rsidRPr="003517FB">
        <w:lastRenderedPageBreak/>
        <w:t>abordări sensibile la dimensiunea de gen în programarea Global Gateway pentru a garanta că investițiile contribuie la egalitatea de gen;</w:t>
      </w:r>
    </w:p>
    <w:p w14:paraId="02939C3E" w14:textId="77777777" w:rsidR="00AD03E0" w:rsidRPr="003517FB" w:rsidRDefault="00AD03E0" w:rsidP="00AD03E0">
      <w:pPr>
        <w:pStyle w:val="NormalHanging12a"/>
      </w:pPr>
      <w:r w:rsidRPr="003517FB">
        <w:t>12.</w:t>
      </w:r>
      <w:r w:rsidRPr="003517FB">
        <w:tab/>
        <w:t>regretă că preferința prevăzută la articolul 12 alineatul (2) din Regulamentul IVCDCI – Europa globală pentru programarea și punerea în aplicare în comun între Comisie și statele membre nu a fost aplicată cu succes și că a fost înlocuită cu o cooperare mai laxă a Echipei Europa; solicită ca acest imperativ de programare în comun să fie integrat în viitorul instrument „Europa globală” și implementat în mod adecvat, astfel cum au solicitat sistematic părțile interesate ale Global Gateway;</w:t>
      </w:r>
    </w:p>
    <w:p w14:paraId="73DDADE5" w14:textId="77777777" w:rsidR="00AD03E0" w:rsidRPr="003517FB" w:rsidRDefault="00AD03E0" w:rsidP="00AD03E0">
      <w:pPr>
        <w:pStyle w:val="NormalHanging12a"/>
      </w:pPr>
      <w:r w:rsidRPr="003517FB">
        <w:t>13.</w:t>
      </w:r>
      <w:r w:rsidRPr="003517FB">
        <w:tab/>
        <w:t>invită statele membre să realizeze o evaluare cuprinzătoare a cadrului „Echipa Europa”, inclusiv a inițiativelor „Echipa Europa”, care să furnizeze informații privind stadiul actual al progreselor lor, actorii implicați, finanțarea lor și principalele rezultate în domeniul dezvoltării;</w:t>
      </w:r>
    </w:p>
    <w:p w14:paraId="1A650CF4" w14:textId="77777777" w:rsidR="00AD03E0" w:rsidRPr="003517FB" w:rsidRDefault="00AD03E0" w:rsidP="00AD03E0">
      <w:pPr>
        <w:pStyle w:val="Normal12a"/>
      </w:pPr>
      <w:r w:rsidRPr="003517FB">
        <w:rPr>
          <w:b/>
          <w:i/>
        </w:rPr>
        <w:t xml:space="preserve">Importanța geopolitică a strategiei Global Gateway </w:t>
      </w:r>
    </w:p>
    <w:p w14:paraId="31AEA044" w14:textId="77777777" w:rsidR="00AD03E0" w:rsidRPr="003517FB" w:rsidRDefault="00AD03E0" w:rsidP="00AD03E0">
      <w:pPr>
        <w:pStyle w:val="NormalHanging12a"/>
        <w:rPr>
          <w:bCs/>
          <w:iCs/>
        </w:rPr>
      </w:pPr>
      <w:r w:rsidRPr="003517FB">
        <w:t>14.</w:t>
      </w:r>
      <w:r w:rsidRPr="003517FB">
        <w:tab/>
        <w:t xml:space="preserve">invită UE să-și consolideze poziția strategică, parteneriatele și credibilitatea la nivel mondial, oferind, prin intermediul strategiei Global Gateway, o alternativă sustenabilă, transparentă și democratică la modelele și inițiativele concurente în materie de infrastructură, aliniată la valorile fundamentale ale UE; invită în plus Comisia să promoveze inițiativa Global Gateway în mod eficace și rapid, ca alternativă sustenabilă la inițiativele agresive ale unor rivali precum China și Rusia, al căror sprijin s-a dovedit adesea că este însoțit de efecte negative grave pe termen lung, inclusiv o dependență uriașă de datorii; </w:t>
      </w:r>
    </w:p>
    <w:p w14:paraId="13473051" w14:textId="77777777" w:rsidR="00AD03E0" w:rsidRPr="003517FB" w:rsidRDefault="00AD03E0" w:rsidP="00AD03E0">
      <w:pPr>
        <w:pStyle w:val="NormalHanging12a"/>
        <w:rPr>
          <w:bCs/>
          <w:iCs/>
        </w:rPr>
      </w:pPr>
      <w:r w:rsidRPr="003517FB">
        <w:t>15.</w:t>
      </w:r>
      <w:r w:rsidRPr="003517FB">
        <w:tab/>
        <w:t xml:space="preserve">subliniază importanța abordării unice de 360 de grade a Global Gateway, care completează investițiile cu sprijin pentru consolidarea statului de drept în țările partenere, inclusiv pentru independența sistemului judiciar și măsurile anticorupție, precum și pentru instituții responsabile și democratice, asigurându-se astfel că proiectele finanțate de UE au un impact real și sunt aliniate la valorile fundamentale ale UE și la ODD, precum și la crearea unui mediu de reglementare favorabil, în conformitate cu standardele internaționale și cu cadrele de mediu, sociale și de guvernanță; </w:t>
      </w:r>
    </w:p>
    <w:p w14:paraId="2D153E36" w14:textId="77777777" w:rsidR="00AD03E0" w:rsidRPr="003517FB" w:rsidRDefault="00AD03E0" w:rsidP="00AD03E0">
      <w:pPr>
        <w:pStyle w:val="NormalHanging12a"/>
        <w:rPr>
          <w:bCs/>
          <w:iCs/>
        </w:rPr>
      </w:pPr>
      <w:r w:rsidRPr="003517FB">
        <w:t>16.</w:t>
      </w:r>
      <w:r w:rsidRPr="003517FB">
        <w:tab/>
        <w:t>evidențiază că eficacitatea Global Gateway depinde de capacitatea sa de răspuns la prioritățile reale ale țărilor partenere; invită Comisia, Serviciul European de Acțiune Externă și statele membre să se asigure că inițiativele Global Gateway sunt cât mai incluzive și mai responsabile posibil, concepute în comun cu părțile interesate de la nivel local și aliniate la strategiile naționale și regionale de dezvoltare ale țărilor partenere, în conformitate cu principiul asumării responsabilității de către țări; subliniază necesitatea de a corela dialogul în materie de politici, investițiile, cooperarea pentru dezvoltare și acțiunea diplomatică pentru a asigura coerența strategică și un impact de durată;</w:t>
      </w:r>
    </w:p>
    <w:p w14:paraId="23006C98" w14:textId="77777777" w:rsidR="00AD03E0" w:rsidRPr="003517FB" w:rsidRDefault="00AD03E0" w:rsidP="00AD03E0">
      <w:pPr>
        <w:pStyle w:val="NormalHanging12a"/>
        <w:rPr>
          <w:bCs/>
          <w:iCs/>
        </w:rPr>
      </w:pPr>
      <w:r w:rsidRPr="003517FB">
        <w:t>17.</w:t>
      </w:r>
      <w:r w:rsidRPr="003517FB">
        <w:tab/>
        <w:t>invită Comisia să conceapă proiecte Global Gateway pentru a asigura o complementaritate și o aliniere puternică cu inițiativele de promovare a unei ordini internaționale bazate pe norme și pe multilateralism, în contextul formării unor blocuri și a tensiunilor sporite;</w:t>
      </w:r>
    </w:p>
    <w:p w14:paraId="6252C7ED" w14:textId="77777777" w:rsidR="00AD03E0" w:rsidRPr="003517FB" w:rsidRDefault="00AD03E0" w:rsidP="00AD03E0">
      <w:pPr>
        <w:pStyle w:val="NormalHanging12a"/>
        <w:rPr>
          <w:bCs/>
          <w:iCs/>
        </w:rPr>
      </w:pPr>
      <w:r w:rsidRPr="003517FB">
        <w:t>18.</w:t>
      </w:r>
      <w:r w:rsidRPr="003517FB">
        <w:tab/>
        <w:t xml:space="preserve">solicită o coordonare mai strânsă cu partenerii care împărtășesc aceeași viziune și care doresc să respecte principiile menționate mai sus și să încerce să își diversifice relațiile și să abordeze nevoile de dezvoltare, dincolo de acordurile tranzacționale, fiind în </w:t>
      </w:r>
      <w:r w:rsidRPr="003517FB">
        <w:lastRenderedPageBreak/>
        <w:t>același timp compatibile cu interesele strategice ale UE, inclusiv cu cele pe care le apără în cadrul G7, G20 și ONU, în vederea maximizării impactului colectiv și a asigurării unor standarde coerente, a finanțării și a punerii în aplicare a proiectelor, într-un mediu geopolitic competitiv;</w:t>
      </w:r>
    </w:p>
    <w:p w14:paraId="1CCCBE98" w14:textId="77777777" w:rsidR="00AD03E0" w:rsidRPr="003517FB" w:rsidRDefault="00AD03E0" w:rsidP="00AD03E0">
      <w:pPr>
        <w:pStyle w:val="NormalHanging12a"/>
        <w:rPr>
          <w:bCs/>
          <w:iCs/>
        </w:rPr>
      </w:pPr>
      <w:r w:rsidRPr="003517FB">
        <w:t>19.</w:t>
      </w:r>
      <w:r w:rsidRPr="003517FB">
        <w:tab/>
        <w:t>este preocupat de rapoartele potrivit cărora o serie de proiecte Global Gateway sunt puse în aplicare de întreprinderi chineze, încălcând în mod direct obiectivul inițiativei de a prezenta o alternativă la inițiativa „O centură, un drum” și de a crea valoare națională reală în țările partenere; solicită, prin urmare, o anchetă imediată privind implicarea tuturor întreprinderilor chineze în Global Gateway;</w:t>
      </w:r>
    </w:p>
    <w:p w14:paraId="75B88B7B" w14:textId="77777777" w:rsidR="00AD03E0" w:rsidRPr="003517FB" w:rsidRDefault="00AD03E0" w:rsidP="00AD03E0">
      <w:pPr>
        <w:pStyle w:val="NormalHanging12a"/>
        <w:rPr>
          <w:bCs/>
          <w:iCs/>
        </w:rPr>
      </w:pPr>
      <w:r w:rsidRPr="003517FB">
        <w:t>20.</w:t>
      </w:r>
      <w:r w:rsidRPr="003517FB">
        <w:tab/>
        <w:t>reamintește că principiul fundamental al coerenței politicilor în favoarea dezvoltării, consacrat la articolul 208 alineatul (1) din TFUE, obligă UE și statele sale membre să ia în considerare obiectivele cooperării pentru dezvoltare în toate politicile care pot afecta țările în curs de dezvoltare;</w:t>
      </w:r>
    </w:p>
    <w:p w14:paraId="43CBEBB7" w14:textId="77777777" w:rsidR="00AD03E0" w:rsidRPr="003517FB" w:rsidRDefault="00AD03E0" w:rsidP="00AD03E0">
      <w:pPr>
        <w:pStyle w:val="NormalHanging12a"/>
        <w:rPr>
          <w:bCs/>
          <w:iCs/>
        </w:rPr>
      </w:pPr>
      <w:r w:rsidRPr="003517FB">
        <w:t>21.</w:t>
      </w:r>
      <w:r w:rsidRPr="003517FB">
        <w:tab/>
        <w:t xml:space="preserve">solicită o aliniere mai eficace între Global Gateway și politica externă și de securitate comună a UE și ODD-uri; solicită UE să-și utilizeze mai mult puterea normativă, integrând democrația, statul de drept, drepturile omului și dezvoltarea durabilă ca pietre de temelie ale tuturor proiectelor Global Gateway, asigurând, în același timp, </w:t>
      </w:r>
      <w:proofErr w:type="spellStart"/>
      <w:r w:rsidRPr="003517FB">
        <w:t>adiționalitatea</w:t>
      </w:r>
      <w:proofErr w:type="spellEnd"/>
      <w:r w:rsidRPr="003517FB">
        <w:t>;</w:t>
      </w:r>
    </w:p>
    <w:p w14:paraId="011E930B" w14:textId="77777777" w:rsidR="00AD03E0" w:rsidRPr="003517FB" w:rsidRDefault="00AD03E0" w:rsidP="00AD03E0">
      <w:pPr>
        <w:pStyle w:val="NormalHanging12a"/>
        <w:rPr>
          <w:bCs/>
          <w:iCs/>
        </w:rPr>
      </w:pPr>
      <w:r w:rsidRPr="003517FB">
        <w:t>22.</w:t>
      </w:r>
      <w:r w:rsidRPr="003517FB">
        <w:tab/>
        <w:t xml:space="preserve">subliniază că consolidarea stabilității și a securității în țările partenere contribuie la promovarea oportunităților economice, a rezilienței și a dezvoltării durabile pe termen lung, abordând astfel cauzele profunde ale migrației neregulamentare; </w:t>
      </w:r>
    </w:p>
    <w:p w14:paraId="0CFBAC05" w14:textId="77777777" w:rsidR="00AD03E0" w:rsidRPr="003517FB" w:rsidRDefault="00AD03E0" w:rsidP="00AD03E0">
      <w:pPr>
        <w:pStyle w:val="NormalHanging12a"/>
        <w:rPr>
          <w:bCs/>
          <w:iCs/>
        </w:rPr>
      </w:pPr>
      <w:r w:rsidRPr="003517FB">
        <w:t>23.</w:t>
      </w:r>
      <w:r w:rsidRPr="003517FB">
        <w:tab/>
        <w:t xml:space="preserve">subliniază că integrarea coerenței politicilor pentru agenda de dezvoltare durabilă în strategia Global Gateway a UE este esențială pentru o abordare comună a dezvoltării durabile și </w:t>
      </w:r>
      <w:proofErr w:type="spellStart"/>
      <w:r w:rsidRPr="003517FB">
        <w:t>geoeconomice</w:t>
      </w:r>
      <w:proofErr w:type="spellEnd"/>
      <w:r w:rsidRPr="003517FB">
        <w:t>;</w:t>
      </w:r>
    </w:p>
    <w:p w14:paraId="2E02F6F0" w14:textId="77777777" w:rsidR="00AD03E0" w:rsidRPr="003517FB" w:rsidRDefault="00AD03E0" w:rsidP="00AD03E0">
      <w:pPr>
        <w:pStyle w:val="NormalHanging12a"/>
      </w:pPr>
      <w:r w:rsidRPr="003517FB">
        <w:t>24.</w:t>
      </w:r>
      <w:r w:rsidRPr="003517FB">
        <w:tab/>
        <w:t>solicită să se acorde prioritate investițiilor în energie, în materiile prime critice și în tranziția verde, pentru a reduce dependența UE de concurenții străini, inclusiv în rețelele de energie din surse regenerabile, în coridoarele de hidrogen curat și transportul sustenabil, consolidând astfel atât dezvoltarea durabilă la nivel global, cât și autonomia energetică a UE; solicită, de asemenea, o suveranitate digitală sporită și o conectivitate de încredere, cu promovarea simultană a unor standarde digitale democratice la nivel global;</w:t>
      </w:r>
    </w:p>
    <w:p w14:paraId="42C8203A" w14:textId="77777777" w:rsidR="00AD03E0" w:rsidRPr="003517FB" w:rsidRDefault="00AD03E0" w:rsidP="00AD03E0">
      <w:pPr>
        <w:pStyle w:val="NormalHanging12a"/>
        <w:rPr>
          <w:bCs/>
          <w:iCs/>
        </w:rPr>
      </w:pPr>
      <w:r w:rsidRPr="003517FB">
        <w:t>25.</w:t>
      </w:r>
      <w:r w:rsidRPr="003517FB">
        <w:tab/>
        <w:t>subliniază necesitatea ca investițiile Global Gateway să fie aliniate la procesele de diligență necesară existente ale UE, precum și să fie deschise și benefice pentru actorii locali și regionali de pe piață și pentru societatea civilă și să contribuie la eliminarea decalajelor în materie de infrastructură și inegalitate, inclusiv a celor legate de sărăcia digitală și energetică, în special în zonele rurale și periferice, asigurându-se că beneficiile asociate cu producția de energie din surse regenerabile și de minerale, cum ar fi veniturile și locurile de muncă, sunt resimțite de comunitățile locale și de țările producătoare; solicită ca aceste decalaje să fie identificate de țările partenere în consultare cu întreprinderile, comunitățile și actorii societății civile de la nivel local; subliniază că aceste proiecte trebuie să fie însoțite de crearea de valoare locală și să respecte principiul accesibilității universale și al proiectării pentru toți, garantând că infrastructurile nu creează noi bariere și promovează incluziunea deplină a persoanelor cu dizabilități în mediile cele mai vulnerabile;</w:t>
      </w:r>
    </w:p>
    <w:p w14:paraId="12893AC3" w14:textId="77777777" w:rsidR="00AD03E0" w:rsidRPr="003517FB" w:rsidRDefault="00AD03E0" w:rsidP="00AD03E0">
      <w:pPr>
        <w:pStyle w:val="NormalHanging12a"/>
        <w:rPr>
          <w:bCs/>
          <w:iCs/>
        </w:rPr>
      </w:pPr>
      <w:r w:rsidRPr="003517FB">
        <w:lastRenderedPageBreak/>
        <w:t>26.</w:t>
      </w:r>
      <w:r w:rsidRPr="003517FB">
        <w:tab/>
        <w:t>subliniază că proiectele energetice Global Gateway ar trebui concepute cu suficientă flexibilitate pentru a răspunde nevoilor tehnologice și de piață în schimbare din țările partenere; invită Comisia să includă mecanisme pentru revizuirea periodică și, după caz, realocarea sau ajustarea investițiilor pentru a se asigura că proiectele rămân relevante, eficiente din punctul de vedere al costurilor și aliniate la nevoile energetice în continuă evoluție ale țărilor partenere;</w:t>
      </w:r>
    </w:p>
    <w:p w14:paraId="359FF301" w14:textId="77777777" w:rsidR="00AD03E0" w:rsidRPr="003517FB" w:rsidRDefault="00AD03E0" w:rsidP="00AD03E0">
      <w:pPr>
        <w:pStyle w:val="NormalHanging12a"/>
        <w:rPr>
          <w:bCs/>
          <w:iCs/>
        </w:rPr>
      </w:pPr>
      <w:r w:rsidRPr="003517FB">
        <w:t>27.</w:t>
      </w:r>
      <w:r w:rsidRPr="003517FB">
        <w:tab/>
        <w:t>subliniază că investițiile în energie verde în cadrul Global Gateway trebuie să fie sensibile la conflicte și să se bazeze pe principii de guvernanță justă și transparentă a resurselor, în special în cazul extracției de materii prime critice; solicită monitorizarea potențialelor efecte negative asupra mediului și a drepturilor omului, precum și a riscului de exacerbare a inegalităților și a conflictelor, inclusiv în contexte fragile; subliniază, în special, că acest lucru se referă la proiecte mari de infrastructură, cum ar fi centralele electrice hibride, proiectele pe bază de hidrogen, mineritul litiului, centrele de date, extinderile portuare, aeroporturile și coridoarele de transport;</w:t>
      </w:r>
    </w:p>
    <w:p w14:paraId="543A2EA0" w14:textId="77777777" w:rsidR="00AD03E0" w:rsidRPr="003517FB" w:rsidRDefault="00AD03E0" w:rsidP="00AD03E0">
      <w:pPr>
        <w:pStyle w:val="NormalHanging12a"/>
        <w:rPr>
          <w:bCs/>
          <w:iCs/>
        </w:rPr>
      </w:pPr>
      <w:r w:rsidRPr="003517FB">
        <w:t>28.</w:t>
      </w:r>
      <w:r w:rsidRPr="003517FB">
        <w:tab/>
        <w:t>subliniază că insecuritatea tot mai mare în materie de apă începe să reprezinte o amenințare majoră pentru perspectivele de creștere economică în țările partenere și sugerează că Global Gateway include proiecte și politici în domeniul apei; recunoaște că dezvoltarea economică durabilă depinde, de asemenea, de corpuri sănătoase de apă și solicită integrarea sistematică a unei „dimensiuni albastre” în investițiile Global Gateway care stau la baza securității apei, a rezilienței climatice și a dezvoltării socioeconomice pe termen lung;</w:t>
      </w:r>
    </w:p>
    <w:p w14:paraId="571B91FB" w14:textId="77777777" w:rsidR="00AD03E0" w:rsidRPr="003517FB" w:rsidRDefault="00AD03E0" w:rsidP="00AD03E0">
      <w:pPr>
        <w:pStyle w:val="NormalHanging12a"/>
        <w:rPr>
          <w:bCs/>
          <w:iCs/>
        </w:rPr>
      </w:pPr>
      <w:r w:rsidRPr="003517FB">
        <w:t>29.</w:t>
      </w:r>
      <w:r w:rsidRPr="003517FB">
        <w:tab/>
        <w:t>evidențiază potențialul pe care Global Gateway îl oferă pentru eforturile de atenuare a schimbărilor climatice, prin investiții care pot contribui la generarea de credite de înaltă calitate de reducere a emisiilor de carbon în țările partenere, obținând rezultate reciproc avantajoase;</w:t>
      </w:r>
    </w:p>
    <w:p w14:paraId="57BC2C90" w14:textId="77777777" w:rsidR="00AD03E0" w:rsidRPr="003517FB" w:rsidRDefault="00AD03E0" w:rsidP="00AD03E0">
      <w:pPr>
        <w:pStyle w:val="NormalHanging12a"/>
        <w:rPr>
          <w:bCs/>
          <w:iCs/>
        </w:rPr>
      </w:pPr>
      <w:r w:rsidRPr="003517FB">
        <w:t>30.</w:t>
      </w:r>
      <w:r w:rsidRPr="003517FB">
        <w:tab/>
        <w:t xml:space="preserve">solicită să se clarifice măsura în care Global Gateway continuă să facă parte pe deplin din Parteneriatul pentru infrastructură și investiții la nivel mondial, un angajament comun al G7 de a sprijini investițiile publice și private în infrastructură sustenabilă, incluzivă, </w:t>
      </w:r>
      <w:proofErr w:type="spellStart"/>
      <w:r w:rsidRPr="003517FB">
        <w:t>rezilientă</w:t>
      </w:r>
      <w:proofErr w:type="spellEnd"/>
      <w:r w:rsidRPr="003517FB">
        <w:t xml:space="preserve"> și de înaltă calitate;</w:t>
      </w:r>
    </w:p>
    <w:p w14:paraId="69067D1B" w14:textId="77777777" w:rsidR="00AD03E0" w:rsidRPr="003517FB" w:rsidRDefault="00AD03E0" w:rsidP="00AD03E0">
      <w:pPr>
        <w:pStyle w:val="NormalHanging12a"/>
        <w:rPr>
          <w:bCs/>
          <w:iCs/>
        </w:rPr>
      </w:pPr>
      <w:r w:rsidRPr="003517FB">
        <w:t>31.</w:t>
      </w:r>
      <w:r w:rsidRPr="003517FB">
        <w:tab/>
        <w:t xml:space="preserve">solicită o cooperare mai strânsă cu parteneri care împărtășesc aceeași viziune în vederea construirii unei rețele </w:t>
      </w:r>
      <w:proofErr w:type="spellStart"/>
      <w:r w:rsidRPr="003517FB">
        <w:t>reziliente</w:t>
      </w:r>
      <w:proofErr w:type="spellEnd"/>
      <w:r w:rsidRPr="003517FB">
        <w:t xml:space="preserve"> de conectivitate de încredere, în special, dar nu exclusiv, cu parteneri precum Regatul Unit, Canada, Japonia, Australia, Noua Zeelandă, Republica Coreea, India și Taiwan;</w:t>
      </w:r>
    </w:p>
    <w:p w14:paraId="38FA6B1F" w14:textId="77777777" w:rsidR="00AD03E0" w:rsidRPr="003517FB" w:rsidRDefault="00AD03E0" w:rsidP="00AD03E0">
      <w:pPr>
        <w:pStyle w:val="NormalHanging12a"/>
      </w:pPr>
      <w:r w:rsidRPr="003517FB">
        <w:t>32.</w:t>
      </w:r>
      <w:r w:rsidRPr="003517FB">
        <w:tab/>
        <w:t xml:space="preserve">subliniază necesitatea unei cooperări și coordonări continue cu ONU și agențiile sale, care are potențialul de a îmbunătăți prezența globală a UE și modul în care aceasta este percepută în străinătate; invită, prin urmare, Comisia, împreună cu statele membre prin intermediul Echipei Europa și cu toți ceilalți parteneri relevanți ai Global Gateway care împărtășesc aceeași viziune să valorifice cunoștințele pe plan local ale ONU, expertiza sa tehnică și rolul său în crearea unui mediu favorabil, în asigurarea asumării responsabilității la nivel local, în promovarea dezvoltării favorabile incluziunii și durabile în sprijinirea țărilor partenere în construirea unor sisteme </w:t>
      </w:r>
      <w:proofErr w:type="spellStart"/>
      <w:r w:rsidRPr="003517FB">
        <w:t>reziliente</w:t>
      </w:r>
      <w:proofErr w:type="spellEnd"/>
      <w:r w:rsidRPr="003517FB">
        <w:t xml:space="preserve"> pentru sănătate, educație și protecție socială;</w:t>
      </w:r>
    </w:p>
    <w:p w14:paraId="79EC56D4" w14:textId="77777777" w:rsidR="00AD03E0" w:rsidRPr="003517FB" w:rsidRDefault="00AD03E0" w:rsidP="00AD03E0">
      <w:pPr>
        <w:pStyle w:val="Normal12a"/>
      </w:pPr>
      <w:r w:rsidRPr="003517FB">
        <w:rPr>
          <w:b/>
          <w:i/>
        </w:rPr>
        <w:t>Cooperarea pentru dezvoltare</w:t>
      </w:r>
    </w:p>
    <w:p w14:paraId="7ACC09A9" w14:textId="77777777" w:rsidR="00AD03E0" w:rsidRPr="003517FB" w:rsidRDefault="00AD03E0" w:rsidP="00AD03E0">
      <w:pPr>
        <w:pStyle w:val="NormalHanging12a"/>
      </w:pPr>
      <w:r w:rsidRPr="003517FB">
        <w:lastRenderedPageBreak/>
        <w:t>33.</w:t>
      </w:r>
      <w:r w:rsidRPr="003517FB">
        <w:tab/>
        <w:t>subliniază că UE și statele sale membre rămân cei mai mari furnizori de AOD la nivel mondial; subliniază că un atu economic major al UE este și capacitatea sa de a oferi acces la o piață internă atractivă, fiind în același timp capabilă să înțeleagă și să respecte realitățile locale, precum și să răspundă nevoilor de dezvoltare umană, de protecție a mediului și de creare de locuri de muncă decente la nivel local;</w:t>
      </w:r>
    </w:p>
    <w:p w14:paraId="009B81F9" w14:textId="77777777" w:rsidR="00AD03E0" w:rsidRPr="003517FB" w:rsidRDefault="00AD03E0" w:rsidP="00AD03E0">
      <w:pPr>
        <w:pStyle w:val="NormalHanging12a"/>
      </w:pPr>
      <w:r w:rsidRPr="003517FB">
        <w:t>34.</w:t>
      </w:r>
      <w:r w:rsidRPr="003517FB">
        <w:tab/>
        <w:t>salută potențialul Global Gateway ca instrument cu impact pentru mobilizarea fondurilor necesare pentru atingerea obiectivelor de dezvoltare durabilă ale ONU și pentru a răspunde interesului multor țări partenere față de investițiile private și integrarea globală a lanțurilor valorice locale;</w:t>
      </w:r>
    </w:p>
    <w:p w14:paraId="68D5DE62" w14:textId="77777777" w:rsidR="00AD03E0" w:rsidRPr="003517FB" w:rsidRDefault="00AD03E0" w:rsidP="00AD03E0">
      <w:pPr>
        <w:pStyle w:val="NormalHanging12a"/>
      </w:pPr>
      <w:r w:rsidRPr="003517FB">
        <w:t>35.</w:t>
      </w:r>
      <w:r w:rsidRPr="003517FB">
        <w:tab/>
        <w:t>subliniază că, prin cooperarea pentru dezvoltare, UE trebuie să ofere, în continuare, sprijin țărilor partenere în contextele în care Global Gateway nu constituie un răspuns adecvat la nevoile acestora; subliniază că contextele fragile și afectate de conflicte necesită o atenție specifică și forme adaptate de investiții, cum ar fi granturile și acțiunile concertate între actorii din domeniul umanitar, al dezvoltării și al păcii, inclusiv în țările cel mai puțin dezvoltate, care să completeze sau să depășească strategia Global Gateway, cu un accent deosebit pe colaborarea cu actorii locali și pe capacitarea acestora; solicită o strategie ambițioasă, cu o abordare centrată pe oameni în contexte fragile, pentru a pune în aplicare consolidarea păcii prin legătura dintre domeniul umanitar, dezvoltare și pace; subliniază, în acest context, că AOD tradițională nu ar trebui deturnată de acolo unde este cea mai mare nevoie de ea și că trebuie să rămână un instrument esențial pentru sprijinirea unor sectoare precum asistența medicală, educația, agricultura locală la scară mică, securitatea alimentară, nutriția, apa, locuințele adecvate și protecția socială, care sunt condiții prealabile pentru societăți stabile, favorabile incluziunii și prospere, în timp ce UE ar trebui să îmbunătățească monitorizarea pentru a se asigura că AOD nu este deturnată în scopuri infracționale sau corupte; subliniază că parteneriatele public-privat pot completa, dar nu trebuie să înlocuiască AOD pentru dezvoltarea umană;</w:t>
      </w:r>
    </w:p>
    <w:p w14:paraId="6FC146E4" w14:textId="77777777" w:rsidR="00AD03E0" w:rsidRPr="003517FB" w:rsidRDefault="00AD03E0" w:rsidP="00AD03E0">
      <w:pPr>
        <w:pStyle w:val="NormalHanging12a"/>
      </w:pPr>
      <w:r w:rsidRPr="003517FB">
        <w:t>36.</w:t>
      </w:r>
      <w:r w:rsidRPr="003517FB">
        <w:tab/>
        <w:t>solicită sprijin continuu prin intermediul proiectelor Global Gateway pentru consolidarea pregătirii globale împotriva amenințărilor la adresa sănătății prin investiții în dezvoltarea capacităților de prevenire, pregătire și răspuns și a inițiativelor locale sustenabile de producție și de consolidare a capacităților în țările partenere;</w:t>
      </w:r>
    </w:p>
    <w:p w14:paraId="64C996B5" w14:textId="77777777" w:rsidR="00AD03E0" w:rsidRPr="003517FB" w:rsidRDefault="00AD03E0" w:rsidP="00AD03E0">
      <w:pPr>
        <w:pStyle w:val="NormalHanging12a"/>
      </w:pPr>
      <w:r w:rsidRPr="003517FB">
        <w:t>37.</w:t>
      </w:r>
      <w:r w:rsidRPr="003517FB">
        <w:tab/>
        <w:t>recunoaște că un număr semnificativ de țări partenere ale strategiei Global Gateway se bazează în mare măsură pe agricultură ca sursă principală de venit, pe crearea de locuri de muncă și pe securitatea alimentară; invită Comisia să se asigure că viitoarele revizuiri strategice și evaluări ale punerii în aplicare a strategiei Global Gateway iau în considerare nevoile specifice și potențialul de dezvoltare al sectorului agricol din țările partenere; recunoaște că o finanțare solidă a sectorului public, sprijinită de angajamente susținute din partea donatorilor, este esențială pentru a obține rezultate globale și durabile în domeniul dezvoltării umane; afirmă că investițiile private și mecanismele inovatoare de finanțare pot juca roluri complementare importante, pe lângă finanțarea publică solidă, dar nu în locul acesteia;</w:t>
      </w:r>
    </w:p>
    <w:p w14:paraId="24A77D97" w14:textId="77777777" w:rsidR="00AD03E0" w:rsidRPr="003517FB" w:rsidRDefault="00AD03E0" w:rsidP="00AD03E0">
      <w:pPr>
        <w:pStyle w:val="NormalHanging12a"/>
        <w:rPr>
          <w:bCs/>
          <w:iCs/>
        </w:rPr>
      </w:pPr>
      <w:r w:rsidRPr="003517FB">
        <w:t>38.</w:t>
      </w:r>
      <w:r w:rsidRPr="003517FB">
        <w:tab/>
        <w:t xml:space="preserve">subliniază că abordarea de 360 de grade implică, de asemenea, sprijin pentru dezvoltarea educației și formării, a egalității și a incluziunii, în special în ceea ce privește tineretul și egalitatea de gen; constată că acest lucru necesită intervenții politice cuprinzătoare și consolidarea capacităților; subliniază că, prin această abordare, UE poate crea condiții de concurență echitabile pentru întreprinderile europene, în special în raport cu alți investitori străini, respectând în același timp cerințele privind conținutul </w:t>
      </w:r>
      <w:r w:rsidRPr="003517FB">
        <w:lastRenderedPageBreak/>
        <w:t>local, poate sprijini nevoile de dezvoltare ale țărilor partenere și poate spori vizibilitatea inițiativei „Echipa Europa”;</w:t>
      </w:r>
    </w:p>
    <w:p w14:paraId="4889C98B" w14:textId="77777777" w:rsidR="00AD03E0" w:rsidRPr="003517FB" w:rsidRDefault="00AD03E0" w:rsidP="00AD03E0">
      <w:pPr>
        <w:pStyle w:val="NormalHanging12a"/>
        <w:rPr>
          <w:bCs/>
          <w:iCs/>
        </w:rPr>
      </w:pPr>
      <w:r w:rsidRPr="003517FB">
        <w:t>39.</w:t>
      </w:r>
      <w:r w:rsidRPr="003517FB">
        <w:tab/>
        <w:t>subliniază că este necesar ca proiectele Global Gateway să integreze drepturile copilului ca parte a principiilor fundamentale ale Uniunii, asigurând protecția împotriva exploatării și a muncii copiilor, precum și programe care să îmbunătățească accesul la educație, sănătate și protecție socială; solicită consolidarea eforturilor de îmbunătățire a climatului de investiții la nivel local și național în țările partenere, inclusiv consolidarea capacităților care să însoțească reformele în domenii precum facilitarea investițiilor, achizițiile publice, politica în domeniul concurenței și mediul general de afaceri, precum și sprijinirea unor sisteme contabile solide; subliniază că construirea unei infrastructuri economice stabile și a unui stat funcțional fiabil și creșterea capacității de producție locale sunt factori importanți pentru eradicarea pe termen lung a sărăciei; reamintește că întreprinderile locale se confruntă adesea cu dificultăți monetare și de lichiditate din cauza instabilității cursului de schimb și a convertibilității limitate a monedelor lor, ceea ce le poate restricționa participarea la proiecte internaționale și le poate submina stabilitatea financiară;</w:t>
      </w:r>
    </w:p>
    <w:p w14:paraId="6905C278" w14:textId="77777777" w:rsidR="00AD03E0" w:rsidRPr="003517FB" w:rsidRDefault="00AD03E0" w:rsidP="00AD03E0">
      <w:pPr>
        <w:pStyle w:val="NormalHanging12a"/>
        <w:rPr>
          <w:bCs/>
          <w:iCs/>
        </w:rPr>
      </w:pPr>
      <w:r w:rsidRPr="003517FB">
        <w:t>40.</w:t>
      </w:r>
      <w:r w:rsidRPr="003517FB">
        <w:tab/>
        <w:t xml:space="preserve">subliniază importanța cooperării academice și științifice ca pilon al agendei digitale și de inovare a strategiei Global Gateway; invită Comisia să valorifice programele de schimb Orizont Europa, Erasmus+ și pe cele la nivel mondial, în sinergie cu proiectele Global Gateway, pentru a permite studenților talentați să studieze în Europa și pentru a spori expertiza locală în țările partenere, precum și pentru a stimula cercetarea </w:t>
      </w:r>
      <w:proofErr w:type="spellStart"/>
      <w:r w:rsidRPr="003517FB">
        <w:t>colaborativă</w:t>
      </w:r>
      <w:proofErr w:type="spellEnd"/>
      <w:r w:rsidRPr="003517FB">
        <w:t>, schimbul de cunoștințe și dezvoltarea competențelor digitale; subliniază că o astfel de abordare ar consolida capacitățile de educație și cercetare la nivel mondial și ar garanta că investițiile în conectivitate sunt însoțite de dezvoltarea capitalului uman și de transferul de tehnologie;</w:t>
      </w:r>
    </w:p>
    <w:p w14:paraId="1D0261CB" w14:textId="77777777" w:rsidR="00AD03E0" w:rsidRPr="003517FB" w:rsidRDefault="00AD03E0" w:rsidP="00AD03E0">
      <w:pPr>
        <w:pStyle w:val="NormalHanging12a"/>
        <w:rPr>
          <w:bCs/>
          <w:iCs/>
        </w:rPr>
      </w:pPr>
      <w:r w:rsidRPr="003517FB">
        <w:t>41.</w:t>
      </w:r>
      <w:r w:rsidRPr="003517FB">
        <w:tab/>
        <w:t>solicită UE să își folosească influența politică și economică pentru a promova o agendă globală pentru echitate și sustenabilitate pe termen lung; subliniază că investițiile Global Gateway trebuie să contribuie la reducerea inegalităților, să sprijine dezvoltarea umană și să promoveze sisteme echitabile și favorabile incluziunii care să implice și să ajungă la cei mai săraci 40 % din populație, precum și la cei mai expuși riscului de excluziune, inclusiv la persoanele cu dizabilități, femei, fete și populații strămutate; subliniază că cooperarea pentru dezvoltare ar trebui să consolideze sistemele financiare ale țărilor partenere; subliniază că astfel de eforturi ar trebui să se bazeze pe abordarea de tip 360 de grade a Global Gateway și să fie monitorizate;</w:t>
      </w:r>
    </w:p>
    <w:p w14:paraId="7F6E674F" w14:textId="77777777" w:rsidR="00AD03E0" w:rsidRPr="003517FB" w:rsidRDefault="00AD03E0" w:rsidP="00AD03E0">
      <w:pPr>
        <w:pStyle w:val="NormalHanging12a"/>
        <w:rPr>
          <w:bCs/>
          <w:iCs/>
        </w:rPr>
      </w:pPr>
      <w:r w:rsidRPr="003517FB">
        <w:t>42.</w:t>
      </w:r>
      <w:r w:rsidRPr="003517FB">
        <w:tab/>
        <w:t>consideră că investițiile ar trebui să promoveze locuri de muncă decente, accesibile și sustenabile, cu un accent deosebit pe incluziunea pe piața muncii a grupurilor vulnerabile; subliniază, în plus, că investițiile ar trebui sprijinite prin formare și competențe profesionale, transfer de cunoștințe și tehnologie cu instituțiile de învățământ și centrele de formare locale conexe, precum și prin formarea cadrelor didactice, învățare fundamentală, infrastructură accesibilă și materiale de învățare adaptate, asigurându-se, în același timp, că programele sunt aliniate la contextul socioeconomic al fiecărei țări partenere și că consolidează structura de producție a țării;</w:t>
      </w:r>
    </w:p>
    <w:p w14:paraId="497E353D" w14:textId="77777777" w:rsidR="00AD03E0" w:rsidRPr="003517FB" w:rsidRDefault="00AD03E0" w:rsidP="00AD03E0">
      <w:pPr>
        <w:pStyle w:val="NormalHanging12a"/>
        <w:rPr>
          <w:bCs/>
          <w:iCs/>
        </w:rPr>
      </w:pPr>
      <w:r w:rsidRPr="003517FB">
        <w:t>43.</w:t>
      </w:r>
      <w:r w:rsidRPr="003517FB">
        <w:tab/>
        <w:t xml:space="preserve">constată că mulți parteneri nu dispun de resurse financiare pentru proiecte de infrastructură la scară largă; evidențiază, în acest sens, că Global Gateway pune un accent puternic pe dezvoltarea infrastructurii și pe consolidarea capacităților pentru a servi drept catalizator pentru creșterea durabilă și integrarea regională, precum și pentru conectivitatea cu UE; ia act de faptul că proiectele emblematice Global Gateway pentru </w:t>
      </w:r>
      <w:r w:rsidRPr="003517FB">
        <w:lastRenderedPageBreak/>
        <w:t>2023, 2024 și 2025 au pus un accent deosebit pe infrastructură, mai puțin de 10 % abordând educația și cercetarea, iar puțin peste 10 % concentrându-se pe sectorul sănătății; subliniază că nivelurile mai ridicate ale investițiilor în sănătate, educație și cercetare ar putea genera beneficii economice și sociale mai mari decât investițiile în infrastructură;</w:t>
      </w:r>
    </w:p>
    <w:p w14:paraId="09CD4299" w14:textId="77777777" w:rsidR="00AD03E0" w:rsidRPr="003517FB" w:rsidRDefault="00AD03E0" w:rsidP="00AD03E0">
      <w:pPr>
        <w:pStyle w:val="NormalHanging12a"/>
      </w:pPr>
      <w:r w:rsidRPr="003517FB">
        <w:t>44.</w:t>
      </w:r>
      <w:r w:rsidRPr="003517FB">
        <w:tab/>
        <w:t xml:space="preserve">subliniază că multe țări în curs de dezvoltare, în special din Africa </w:t>
      </w:r>
      <w:proofErr w:type="spellStart"/>
      <w:r w:rsidRPr="003517FB">
        <w:t>Subsahariană</w:t>
      </w:r>
      <w:proofErr w:type="spellEnd"/>
      <w:r w:rsidRPr="003517FB">
        <w:t>, se confruntă cu niveluri ridicate ale datoriei publice, ceea ce le afectează capacitatea de a investi și de a furniza servicii sociale și de bază; observă că China este cel mai mare creditor bilateral al multor țări în curs de dezvoltare și că practicile sale opace de creditare au contribuit la creșterea nivelului datoriei; observă că proiectele Global Gateway sunt prezente în mai multe țări sărace puternic îndatorate; subliniază că proiectele Global Gateway ar trebui să evite agravarea datoriei sau crearea de noi „capcane ale datoriei”; invită UE și statele sale membre să reducă și să ușureze povara datoriilor țărilor în curs de dezvoltare, în special ale celor din sudul global, prin sprijinirea reducerii datoriilor la nivel mondial și a restructurării datoriilor, ținând seama de principiile Conferinței ONU pentru Comerț și Dezvoltare privind promovarea creditării și a împrumuturilor suverane responsabile, precum și de principiile OCDE privind sustenabilitatea datoriei; constată că actualul sistem de rating de credit aduce beneficii disproporționate țărilor din nordul global față de cele din sudul global; invită Comisia să țină seama de aceste riscuri percepute mai ridicate și de costurile îndatorării; insistă că Global Gateway ar trebui să ofere instrumente de conversie pentru tranziție justă și investiții, instrumente de conversie a datoriei în schimbul unor acțiuni de protecție a naturii sau de combatere a schimbărilor climatice; ia act de faptul că proiectele de tranziție verde din cadrul Global Gateway ar trebui să fie luate în considerare în temeiul articolului 6 alineatul (4) din Acordul de la Paris pentru contribuția lor la credite internaționale de înaltă calitate;</w:t>
      </w:r>
    </w:p>
    <w:p w14:paraId="2280AE77" w14:textId="77777777" w:rsidR="00AD03E0" w:rsidRPr="003517FB" w:rsidRDefault="00AD03E0" w:rsidP="00AD03E0">
      <w:pPr>
        <w:pStyle w:val="NormalHanging12a"/>
        <w:rPr>
          <w:bCs/>
          <w:iCs/>
        </w:rPr>
      </w:pPr>
      <w:r w:rsidRPr="003517FB">
        <w:t>45.</w:t>
      </w:r>
      <w:r w:rsidRPr="003517FB">
        <w:tab/>
        <w:t>subliniază că accesul la finanțare rămâne o provocare majoră pentru multe țări în curs de dezvoltare; salută inițiativele care vizează sprijinirea țărilor în curs de dezvoltare pentru a depăși obstacolele din calea accesului la finanțare; recunoaște importanța granturilor pentru deblocarea altor forme de finanțare;</w:t>
      </w:r>
    </w:p>
    <w:p w14:paraId="3DB1DEA0" w14:textId="77777777" w:rsidR="00AD03E0" w:rsidRPr="003517FB" w:rsidRDefault="00AD03E0" w:rsidP="00AD03E0">
      <w:pPr>
        <w:pStyle w:val="NormalHanging12a"/>
        <w:rPr>
          <w:bCs/>
          <w:iCs/>
        </w:rPr>
      </w:pPr>
      <w:r w:rsidRPr="003517FB">
        <w:t>46.</w:t>
      </w:r>
      <w:r w:rsidRPr="003517FB">
        <w:tab/>
        <w:t>îndeamnă Comisia să instituie mecanismele necesare pentru a se asigura că toți partenerii care participă la proiectele Global Gateway respectă pe deplin legislația UE și standardele internaționale relevante în domeniul combaterii mitei, al combaterii corupției și al integrității financiare, inclusiv controalele de integritate, instrumentele de evaluare și gestionare a riscurilor și sistemele de monitorizare pentru prevenirea, depistarea și combaterea corupției, a fluxurilor financiare ilicite și a altor forme de comportament lipsit de etică;</w:t>
      </w:r>
    </w:p>
    <w:p w14:paraId="6BB68055" w14:textId="77777777" w:rsidR="00AD03E0" w:rsidRPr="003517FB" w:rsidRDefault="00AD03E0" w:rsidP="00AD03E0">
      <w:pPr>
        <w:pStyle w:val="NormalHanging12a"/>
      </w:pPr>
      <w:r w:rsidRPr="003517FB">
        <w:t>47.</w:t>
      </w:r>
      <w:r w:rsidRPr="003517FB">
        <w:tab/>
        <w:t>subliniază necesitatea unei consultări timpurii, incluzive și adecvate cu țările partenere în cadrul guvernanței Global Gateway, înainte de a institui proiecte pentru a asigura respectarea principiilor eficacității dezvoltării, inclusiv asumarea responsabilității la nivel local;</w:t>
      </w:r>
    </w:p>
    <w:p w14:paraId="53661F69" w14:textId="77777777" w:rsidR="00AD03E0" w:rsidRPr="003517FB" w:rsidRDefault="00AD03E0" w:rsidP="00AD03E0">
      <w:pPr>
        <w:pStyle w:val="NormalHanging12a"/>
      </w:pPr>
      <w:r w:rsidRPr="003517FB">
        <w:t>48.</w:t>
      </w:r>
      <w:r w:rsidRPr="003517FB">
        <w:tab/>
        <w:t xml:space="preserve">invită Comisia să ia măsurile necesare pentru a facilita participarea întreprinderilor mici și mijlocii (IMM-uri), inclusiv a cooperativelor și a întreprinderilor din economia socială, la Global Gateway, inclusiv prin instituirea unor procese raționalizate și a unor componente financiare specifice, a unor activități de informare specifice, a unui acces simplificat la licitații și a unor mecanisme de sprijin pentru a le spori competitivitatea internațională; subliniază importanța IMM-urilor pentru crearea de locuri de muncă la </w:t>
      </w:r>
      <w:r w:rsidRPr="003517FB">
        <w:lastRenderedPageBreak/>
        <w:t>nivel local, pentru asumarea responsabilității la nivel local și pentru crearea de valoare adăugată și solicită să se țină seama în mod corespunzător de caracteristicile lor specifice, de exemplu în ceea ce privește dimensiunea și volumele financiare ale proiectelor pe care sunt în măsură să le întreprindă, precum și capacitățile de îndeplinire a obligațiilor de raportare; subliniază că, alături de IMM-urile din țările partenere, IMM-urile europene sunt parteneri esențiali de punere în aplicare pentru Global Gateway; subliniază că Global Gateway ar trebui să genereze beneficii reciproce prin crearea de lanțuri valorice sustenabile, inovare și locuri de muncă de calitate în UE;</w:t>
      </w:r>
    </w:p>
    <w:p w14:paraId="0FCFD398" w14:textId="77777777" w:rsidR="00AD03E0" w:rsidRPr="003517FB" w:rsidRDefault="00AD03E0" w:rsidP="00AD03E0">
      <w:pPr>
        <w:pStyle w:val="NormalHanging12a"/>
        <w:rPr>
          <w:bCs/>
          <w:iCs/>
        </w:rPr>
      </w:pPr>
      <w:r w:rsidRPr="003517FB">
        <w:t>49.</w:t>
      </w:r>
      <w:r w:rsidRPr="003517FB">
        <w:tab/>
        <w:t>solicită Comisiei să implice mai eficient și mai devreme autoritățile locale și regionale în conceperea proiectelor, în procesul decizional și în finanțarea acestora; subliniază rolul lor dublu de parteneri de implementare și de beneficiari; reamintește că multe decizii privind punerea în aplicare a proiectelor sunt luate la nivel subnațional, unde interesele și nevoile cetățenilor ar trebui luate în considerare îndeaproape;</w:t>
      </w:r>
    </w:p>
    <w:p w14:paraId="32F51688" w14:textId="77777777" w:rsidR="00AD03E0" w:rsidRPr="003517FB" w:rsidRDefault="00AD03E0" w:rsidP="00AD03E0">
      <w:pPr>
        <w:pStyle w:val="Normal12a"/>
      </w:pPr>
      <w:r w:rsidRPr="003517FB">
        <w:rPr>
          <w:b/>
          <w:i/>
        </w:rPr>
        <w:t xml:space="preserve">Guvernanța </w:t>
      </w:r>
    </w:p>
    <w:p w14:paraId="7F6E2E9A" w14:textId="77777777" w:rsidR="00AD03E0" w:rsidRPr="003517FB" w:rsidRDefault="00AD03E0" w:rsidP="00AD03E0">
      <w:pPr>
        <w:pStyle w:val="NormalHanging12a"/>
        <w:rPr>
          <w:bCs/>
          <w:iCs/>
        </w:rPr>
      </w:pPr>
      <w:r w:rsidRPr="003517FB">
        <w:t>50.</w:t>
      </w:r>
      <w:r w:rsidRPr="003517FB">
        <w:tab/>
        <w:t>recomandă revizuirea structurii de guvernanță a strategiei Global Gateway și solicită implicarea mai consistentă a Parlamentului, pe poziții de egalitate cu statele membre;</w:t>
      </w:r>
    </w:p>
    <w:p w14:paraId="40FEC9EC" w14:textId="77777777" w:rsidR="00AD03E0" w:rsidRPr="003517FB" w:rsidRDefault="00AD03E0" w:rsidP="00AD03E0">
      <w:pPr>
        <w:pStyle w:val="NormalHanging12a"/>
      </w:pPr>
      <w:r w:rsidRPr="003517FB">
        <w:t>51.</w:t>
      </w:r>
      <w:r w:rsidRPr="003517FB">
        <w:tab/>
        <w:t>regretă că Comitetul Global Gateway, în pofida planurilor de a se reuni anual, s-a reunit doar de două ori până în prezent, în decembrie 2022 și octombrie 2025, cu un spațiu limitat pentru analize și discuții aprofundate sau pentru orientarea acțiunilor și proiectelor viitoare; invită Comisia să asigure participarea la nivel înalt;</w:t>
      </w:r>
    </w:p>
    <w:p w14:paraId="099545DE" w14:textId="77777777" w:rsidR="00AD03E0" w:rsidRPr="003517FB" w:rsidRDefault="00AD03E0" w:rsidP="00AD03E0">
      <w:pPr>
        <w:pStyle w:val="NormalHanging12a"/>
      </w:pPr>
      <w:r w:rsidRPr="003517FB">
        <w:t>52.</w:t>
      </w:r>
      <w:r w:rsidRPr="003517FB">
        <w:tab/>
        <w:t>ia act de faptul că Comitetul ar trebui să funcționeze în mod complementar cu viitorul Consiliu de investiții „Europa globală” și solicită Comisiei să clarifice și să delimiteze mandatele lor respective;</w:t>
      </w:r>
    </w:p>
    <w:p w14:paraId="3EA6150A" w14:textId="77777777" w:rsidR="00AD03E0" w:rsidRPr="003517FB" w:rsidRDefault="00AD03E0" w:rsidP="00AD03E0">
      <w:pPr>
        <w:pStyle w:val="NormalHanging12a"/>
      </w:pPr>
      <w:r w:rsidRPr="003517FB">
        <w:t>53.</w:t>
      </w:r>
      <w:r w:rsidRPr="003517FB">
        <w:tab/>
        <w:t>solicită ca metoda de selectare a proiectelor emblematice să se bazeze pe criterii obiective și calitative, evitând în același timp proliferarea dăunătoare a proiectelor, maximizând impactul global și asigurând un succes măsurabil; solicită Comisiei să clarifice valoarea adăugată a proiectelor emblematice ale Global Gateway în comparație cu proiectele care nu sunt emblematice;</w:t>
      </w:r>
    </w:p>
    <w:p w14:paraId="0481EDBD" w14:textId="77777777" w:rsidR="00AD03E0" w:rsidRPr="003517FB" w:rsidRDefault="00AD03E0" w:rsidP="00AD03E0">
      <w:pPr>
        <w:pStyle w:val="NormalHanging12a"/>
      </w:pPr>
      <w:r w:rsidRPr="003517FB">
        <w:t>54.</w:t>
      </w:r>
      <w:r w:rsidRPr="003517FB">
        <w:tab/>
        <w:t>recomandă ca proiectele emblematice să fie concepute ca ecosisteme în care întreprinderile din țările partenere și din UE să poată funcționa și prospera în mod eficient; insistă asupra promovării „conținutului european” în proiectele emblematice, asupra unei implicări timpurii a țărilor partenere și asupra indicării clare a beneficiilor acestor proiecte în țările partenere; încurajează toate părțile interesate să adopte cooperarea pe termen lung, deoarece investițiile, în special în infrastructură, energie și minerit, se bazează în mare măsură pe implicarea pe termen lung și pe securitatea planificării;</w:t>
      </w:r>
    </w:p>
    <w:p w14:paraId="078A1B9E" w14:textId="77777777" w:rsidR="00AD03E0" w:rsidRPr="003517FB" w:rsidRDefault="00AD03E0" w:rsidP="00AD03E0">
      <w:pPr>
        <w:pStyle w:val="NormalHanging12a"/>
      </w:pPr>
      <w:r w:rsidRPr="003517FB">
        <w:t>55.</w:t>
      </w:r>
      <w:r w:rsidRPr="003517FB">
        <w:tab/>
        <w:t>invită Comitetul Global Gateway să ia în considerare rapoartele părților interesate și să se bazeze în mod sistematic pe dovezi statistice, care să fie partajate în timp util și într-un mod ușor de utilizat cu statele membre și cu Parlamentul, astfel încât să ghideze orientarea politică, să îmbunătățească coordonarea și să adapteze programarea viitoare, dacă este necesar;</w:t>
      </w:r>
    </w:p>
    <w:p w14:paraId="58523977" w14:textId="77777777" w:rsidR="00AD03E0" w:rsidRPr="003517FB" w:rsidRDefault="00AD03E0" w:rsidP="00AD03E0">
      <w:pPr>
        <w:pStyle w:val="NormalHanging12a"/>
      </w:pPr>
      <w:r w:rsidRPr="003517FB">
        <w:t>56.</w:t>
      </w:r>
      <w:r w:rsidRPr="003517FB">
        <w:tab/>
        <w:t xml:space="preserve">propune ca Comitetul Global Gateway să devină organismul operațional central pentru punerea în aplicare a strategiei Global Gateway, în principal în ceea ce privește </w:t>
      </w:r>
      <w:r w:rsidRPr="003517FB">
        <w:lastRenderedPageBreak/>
        <w:t>definirea criteriilor aferente proiectelor emblematice, pentru selectarea proiectelor emblematice și pentru asigurarea unor condiții-cadru și a unei finanțări adecvate pentru acestea; solicită ca proiectele și parteneriatele considerate „strategice” în alte contexte să fie aliniate și să devină coerente cu proiectele emblematice din cadrul Global Gateway; subliniază că componența Comitetului trebuie modificată pentru a include participanți competenți la nivel operațional, frecvența reuniunilor trebuie crescută, iar ordinea de zi trebuie orientată către luarea de decizii; sugerează ca organismele consultative să fie supuse aceluiași proces de „operaționalizare”;</w:t>
      </w:r>
    </w:p>
    <w:p w14:paraId="6573657E" w14:textId="77777777" w:rsidR="00AD03E0" w:rsidRPr="003517FB" w:rsidRDefault="00AD03E0" w:rsidP="00AD03E0">
      <w:pPr>
        <w:pStyle w:val="NormalHanging12a"/>
        <w:rPr>
          <w:bCs/>
          <w:iCs/>
        </w:rPr>
      </w:pPr>
      <w:r w:rsidRPr="003517FB">
        <w:t>57.</w:t>
      </w:r>
      <w:r w:rsidRPr="003517FB">
        <w:tab/>
        <w:t>este de părere că abordarea față de Global Gateway ar trebui schimbată de la o abordare descendentă la o abordare bazată pe cerere; reamintește că o implicare mai puternică a sectorului privat european se află în centrul Global Gateway; sugerează, prin urmare, să se asigure o participare regulată și transparentă a reprezentanților sectorului privat european la modelarea și dezvoltarea în continuare a Global Gateway; reamintește, de asemenea, că inițiativa Global Gateway ar trebui să fie condusă de parteneri, respectând și corelând planurile de dezvoltare naționale și locale; solicită invitarea ad-hoc a delegațiilor UE și a reprezentanților țărilor partenere la reuniunile Comitetului, inclusiv a reprezentanților autorităților locale, ai societății civile și ai întreprinderilor;</w:t>
      </w:r>
    </w:p>
    <w:p w14:paraId="170975C2" w14:textId="77777777" w:rsidR="00AD03E0" w:rsidRPr="003517FB" w:rsidRDefault="00AD03E0" w:rsidP="00AD03E0">
      <w:pPr>
        <w:pStyle w:val="NormalHanging12a"/>
        <w:rPr>
          <w:bCs/>
          <w:iCs/>
        </w:rPr>
      </w:pPr>
      <w:r w:rsidRPr="003517FB">
        <w:t>58.</w:t>
      </w:r>
      <w:r w:rsidRPr="003517FB">
        <w:tab/>
        <w:t>subliniază rolul crucial al delegațiilor UE în coordonarea cu părțile interesate locale, identificarea potențialelor oportunități de investiții, acumularea de cunoștințe aprofundate despre concurenții UE și lacunele existente și sprijinirea partenerilor locali în alinierea candidaturilor lor pentru proiecte la prioritățile locale, precum și la cele ale UE și, prin urmare, solicită furnizarea de resurse umane, financiare și tehnice suficiente delegațiilor UE, inclusiv prin programe de formare specifice, pentru a le permite să îndeplinească aceste sarcini; se opune ferm oricăror planuri de reducere a personalului delegațiilor UE în țările partenere;</w:t>
      </w:r>
    </w:p>
    <w:p w14:paraId="60F744ED" w14:textId="77777777" w:rsidR="00AD03E0" w:rsidRPr="003517FB" w:rsidRDefault="00AD03E0" w:rsidP="00AD03E0">
      <w:pPr>
        <w:pStyle w:val="NormalHanging12a"/>
        <w:rPr>
          <w:bCs/>
          <w:iCs/>
        </w:rPr>
      </w:pPr>
      <w:r w:rsidRPr="003517FB">
        <w:t>59.</w:t>
      </w:r>
      <w:r w:rsidRPr="003517FB">
        <w:tab/>
        <w:t>invită Comisia și toate părțile interesate implicate să asigure consultarea și participarea semnificativă a Platformei consultative a societății civile și a autorităților locale din cadrul Global Gateway, precum și a organizațiilor societății civile de la nivel local, a grupurilor marginalizate și a sindicatelor, a organizațiilor de femei și a organizațiilor persoanelor cu dizabilități, precum și a IMM-urilor locale și a populațiilor indigene și să creeze condițiile pentru ca acești actori să își îndeplinească rolul democratic și de parteneriat, dincolo de o aprobare pasivă, inclusiv prin asigurarea unor calendare adecvate, a frecvenței și a monitorizării rezultatelor acestor reuniuni; ia act de faptul că Platforma ar trebui să joace un rol complementar în guvernanța Global Gateway și să contribuie în mod semnificativ la selectarea, conceperea și punerea în aplicare a proiectelor, îmbunătățind astfel legitimitatea și acceptarea la nivel local a proiectelor Global Gateway;</w:t>
      </w:r>
    </w:p>
    <w:p w14:paraId="091C33CF" w14:textId="77777777" w:rsidR="00AD03E0" w:rsidRPr="003517FB" w:rsidRDefault="00AD03E0" w:rsidP="00AD03E0">
      <w:pPr>
        <w:pStyle w:val="NormalHanging12a"/>
      </w:pPr>
      <w:r w:rsidRPr="003517FB">
        <w:t>60.</w:t>
      </w:r>
      <w:r w:rsidRPr="003517FB">
        <w:tab/>
        <w:t>subliniază necesitatea unor consultări mai frecvente și mai operaționale cu Grupul consultativ pentru întreprinderi, inclusiv cu reprezentanții mediului de afaceri din sudul global, care să vizeze luarea deciziilor și obținerea de rezultate concrete; insistă asupra faptului că potențialele conflicte de interese trebuie abordate, inclusiv prin cerințe de transparență financiară; sugerează ca membrii Grupului consultativ pentru întreprinderi să își declare implicarea în proiectele Global Gateway; insistă asupra importanței includerii IMM-urilor europene și locale în Grupul consultativ pentru întreprinderi;</w:t>
      </w:r>
    </w:p>
    <w:p w14:paraId="19FC3B68" w14:textId="77777777" w:rsidR="00AD03E0" w:rsidRPr="003517FB" w:rsidRDefault="00AD03E0" w:rsidP="00AD03E0">
      <w:pPr>
        <w:pStyle w:val="NormalHanging12a"/>
        <w:rPr>
          <w:bCs/>
          <w:iCs/>
        </w:rPr>
      </w:pPr>
      <w:r w:rsidRPr="003517FB">
        <w:t>61.</w:t>
      </w:r>
      <w:r w:rsidRPr="003517FB">
        <w:tab/>
        <w:t xml:space="preserve">reamintește rolul important al Parlamentului în modelarea politicilor economice, climatice, digitale, comerciale și în materie de competitivitate ale UE; subliniază că </w:t>
      </w:r>
      <w:r w:rsidRPr="003517FB">
        <w:lastRenderedPageBreak/>
        <w:t>guvernanța actuală a Global Gateway nu a permis încă Parlamentului să își exercite atribuțiile de control sau să contribuie la diplomația parlamentară;</w:t>
      </w:r>
    </w:p>
    <w:p w14:paraId="7C7FC8E3" w14:textId="77777777" w:rsidR="00AD03E0" w:rsidRPr="003517FB" w:rsidRDefault="00AD03E0" w:rsidP="00AD03E0">
      <w:pPr>
        <w:pStyle w:val="NormalHanging12a"/>
      </w:pPr>
      <w:r w:rsidRPr="003517FB">
        <w:t>62.</w:t>
      </w:r>
      <w:r w:rsidRPr="003517FB">
        <w:tab/>
        <w:t>consideră că o implicare mai puternică a Parlamentului, singura instituție a UE aleasă în mod direct și democratic, este esențială pentru a asigura legitimitatea democratică, transparența și coerența politicilor Global Gateway și pentru a-i spori vizibilitatea; subliniază rolul esențial de control și de orientare strategică al Parlamentului, inclusiv în legătură cu supravegherea parlamentară consolidată a identificării, selectării și punerii în aplicare a proiectelor și cu evaluarea sistematică a rezultatelor și a impactului; subliniază că Parlamentul trebuie să joace un rol central în asigurarea faptului că investițiile Global Gateway utilizează în mod eficace resursele și sunt pe deplin aliniate la valorile, obiectivele de dezvoltare și standardele de sustenabilitate ale UE;</w:t>
      </w:r>
    </w:p>
    <w:p w14:paraId="4D4AB0F0" w14:textId="77777777" w:rsidR="00AD03E0" w:rsidRPr="003517FB" w:rsidRDefault="00AD03E0" w:rsidP="00AD03E0">
      <w:pPr>
        <w:pStyle w:val="NormalHanging12a"/>
        <w:rPr>
          <w:bCs/>
          <w:iCs/>
        </w:rPr>
      </w:pPr>
      <w:r w:rsidRPr="003517FB">
        <w:t>63.</w:t>
      </w:r>
      <w:r w:rsidRPr="003517FB">
        <w:tab/>
        <w:t>invită Comisia să prezinte Parlamentului rapoarte periodice privind progresele înregistrate cu privire la punerea în aplicare a proiectelor Global Gateway și o revizuire strategică periodică și structurată a punerii în aplicare a Global Gateway de către comisiile competente ale Parlamentului, pentru a se asigura că obiectivele, prioritățile și orientarea sa geografică rămân relevante, coerente și aliniate la obiectivele acțiunii externe și la prioritățile de dezvoltare ale Uniunii, precum și la contextul geopolitic în evoluție;</w:t>
      </w:r>
    </w:p>
    <w:p w14:paraId="4572C66C" w14:textId="77777777" w:rsidR="00AD03E0" w:rsidRPr="003517FB" w:rsidRDefault="00AD03E0" w:rsidP="00AD03E0">
      <w:pPr>
        <w:pStyle w:val="NormalHanging12a"/>
        <w:rPr>
          <w:bCs/>
          <w:iCs/>
        </w:rPr>
      </w:pPr>
      <w:r w:rsidRPr="003517FB">
        <w:t>64.</w:t>
      </w:r>
      <w:r w:rsidRPr="003517FB">
        <w:tab/>
        <w:t>subliniază, în plus, valoarea raționalizării cooperării în materie de control și supraveghere dintre Parlamentul European și parlamentele naționale pentru a reflecta abordarea „Echipa Europa”, pe măsură ce Global Gateway este asumată din ce în ce mai mult de statele membre; se angajează să asigure o consultare, participare și reprezentare adecvate, inclusiv în cadrul viitorului Comitet mai operațional; solicită implicarea parlamentelor țărilor partenere, inclusiv prin schimbul periodic de informații și prin intermediul adunărilor multilaterale existente;</w:t>
      </w:r>
    </w:p>
    <w:p w14:paraId="5F32F1E7" w14:textId="77777777" w:rsidR="00AD03E0" w:rsidRPr="003517FB" w:rsidRDefault="00AD03E0" w:rsidP="00AD03E0">
      <w:pPr>
        <w:pStyle w:val="NormalHanging12a"/>
      </w:pPr>
      <w:r w:rsidRPr="003517FB">
        <w:t>65.</w:t>
      </w:r>
      <w:r w:rsidRPr="003517FB">
        <w:tab/>
        <w:t>ia act de nou-creatul centru de investiții Global Gateway și salută raționalizarea preconizată a cererilor de proiecte; subliniază că procesul de depunere a cererilor și coordonarea cu Echipa Europa la nivel național trebuie să fie transparente; constată totuși cu îngrijorare lipsa de reprezentare a țărilor partenere, în special a societății civile; subliniază că o mai bună informare cu privire la oportunitățile oferite de Global Gateway este, de asemenea, necesară pentru întreprinderile europene, în special pentru IMM-uri, și îndeamnă ca platforma să fie pusă în aplicare într-un mod care să faciliteze accesul IMM-urilor; solicită, de asemenea, o indicație clară, publică, actualizată și ușor accesibilă a tuturor licitațiilor și proiectelor planificate, în curs și finalizate, precum și a posibilităților de finanțare, acordând o atenție deosebită IMM-urilor și întreprinderilor din statele membre mai mici care adesea nu au reprezentanțe permanente în țările partenere și sunt mai puțin susceptibile să dispună de resurse la nivelul administrației publice pentru a crea căi de investiții în sectorul privat; sugerează crearea unei platforme de corelare pentru potențialii parteneri de afaceri și cumpărători;</w:t>
      </w:r>
    </w:p>
    <w:p w14:paraId="40770E7F" w14:textId="77777777" w:rsidR="00AD03E0" w:rsidRPr="003517FB" w:rsidRDefault="00AD03E0" w:rsidP="00AD03E0">
      <w:pPr>
        <w:pStyle w:val="NormalHanging12a"/>
      </w:pPr>
      <w:r w:rsidRPr="003517FB">
        <w:t>66.</w:t>
      </w:r>
      <w:r w:rsidRPr="003517FB">
        <w:tab/>
        <w:t>subliniază că proiectele trebuie să fie viabile din punct de vedere economic sau să susțină furnizarea de bunuri publice și că viabilitatea proiectelor Global Gateway depinde de cadre juridice și politici coerente, cum ar fi acordurile comerciale, politicile fiscale, acordurile de achiziție, sistemele de comercializare a certificatelor de emisii și mecanismele de ajustare a carbonului la frontieră; invită Comisia să alinieze mai bine inițiativa Global Gateway la agenda sa de politică internă și la inițiative cum ar fi agenda în materie de competitivitate, Pactul verde european și deceniul digital;</w:t>
      </w:r>
    </w:p>
    <w:p w14:paraId="32740756" w14:textId="77777777" w:rsidR="00AD03E0" w:rsidRPr="003517FB" w:rsidRDefault="00AD03E0" w:rsidP="00AD03E0">
      <w:pPr>
        <w:pStyle w:val="NormalHanging12a"/>
      </w:pPr>
      <w:r w:rsidRPr="003517FB">
        <w:lastRenderedPageBreak/>
        <w:t>67.</w:t>
      </w:r>
      <w:r w:rsidRPr="003517FB">
        <w:tab/>
        <w:t>recomandă Comisiei ca, la selectarea proiectelor, să acorde prioritate proiectelor care au o importanță strategică semnificativă;</w:t>
      </w:r>
    </w:p>
    <w:p w14:paraId="284A48FB" w14:textId="77777777" w:rsidR="00AD03E0" w:rsidRPr="003517FB" w:rsidRDefault="00AD03E0" w:rsidP="00AD03E0">
      <w:pPr>
        <w:pStyle w:val="NormalHanging12a"/>
      </w:pPr>
      <w:r w:rsidRPr="003517FB">
        <w:t>68.</w:t>
      </w:r>
      <w:r w:rsidRPr="003517FB">
        <w:tab/>
        <w:t xml:space="preserve">evidențiază importanța proiectelor transfrontaliere Global Gateway în consolidarea comerțului și a dezvoltării cu partenerii cheie și în sprijinirea unei integrări economice regionale mai profunde în țările partenere; subliniază că dezvoltarea infrastructurii ar trebui, acolo unde este fezabil, să contribuie la integrarea comercială </w:t>
      </w:r>
      <w:proofErr w:type="spellStart"/>
      <w:r w:rsidRPr="003517FB">
        <w:t>intraregională</w:t>
      </w:r>
      <w:proofErr w:type="spellEnd"/>
      <w:r w:rsidRPr="003517FB">
        <w:t xml:space="preserve">, în special între economiile din vecinătatea sudică, Africa, America Latină și Asia de Sud-Est; evidențiază importanța strategică a zonei continentale africane de liber schimb în abordarea fragmentării regionale și solicită ca Global Gateway să contribuie, în mod specific, la înlăturarea anumitor obstacole și blocaje care au încetinit punerea sa în aplicare; subliniază importanța sprijinirii dezvoltării treptate a lanțurilor valorice </w:t>
      </w:r>
      <w:proofErr w:type="spellStart"/>
      <w:r w:rsidRPr="003517FB">
        <w:t>intraregionale</w:t>
      </w:r>
      <w:proofErr w:type="spellEnd"/>
      <w:r w:rsidRPr="003517FB">
        <w:t xml:space="preserve"> și a conectivității regionale, inclusiv prin dialog și asistență tehnică menite să reducă provocările în materie de reglementare și barierele netarifare;</w:t>
      </w:r>
    </w:p>
    <w:p w14:paraId="44DE9DC0" w14:textId="77777777" w:rsidR="00AD03E0" w:rsidRPr="003517FB" w:rsidRDefault="00AD03E0" w:rsidP="00AD03E0">
      <w:pPr>
        <w:pStyle w:val="NormalHanging12a"/>
      </w:pPr>
      <w:r w:rsidRPr="003517FB">
        <w:t>69.</w:t>
      </w:r>
      <w:r w:rsidRPr="003517FB">
        <w:tab/>
        <w:t>subliniază valoarea strategică a parteneriatelor pentru comerț și investiții curate, care urmează o logică bazată pe comerț și pe programe, completând abordarea bazată pe proiecte a Global Gateway, permițând în același timp o mai bună integrare regională și contribuind la obiectivul global de realizare a ODD-urilor; subliniază că este esențială combinarea accesului la piață cu finanțarea și instrumentele de finanțare ale UE, precum Europa globală și Global Gateway; încurajează Comisia să exploreze modul în care comerțul curat și parteneriatele pentru investiții, consolidate prin intermediul Global Gateway, pot contribui la reducerea barierelor netarifare pentru țările partenere, inclusiv prin scutiri specifice de la anumite acte legislative ale UE sau prin recunoașterea echivalenței; invită Comisia să promoveze o implicare largă a părților interesate din partea întreprinderilor, în special a IMM-urilor, a sindicatelor, a societății civile și a comunităților locale; subliniază disponibilitatea sa de a consolida colaborarea între parlamente, de a examina în mod corespunzător punerea în aplicare în curs și de a contribui la construirea unui parteneriat interpersonal ca bază pentru un viitor succes reciproc;</w:t>
      </w:r>
    </w:p>
    <w:p w14:paraId="2B569D0D" w14:textId="77777777" w:rsidR="00AD03E0" w:rsidRPr="003517FB" w:rsidRDefault="00AD03E0" w:rsidP="00AD03E0">
      <w:pPr>
        <w:pStyle w:val="NormalHanging12a"/>
        <w:rPr>
          <w:bCs/>
          <w:iCs/>
        </w:rPr>
      </w:pPr>
      <w:r w:rsidRPr="003517FB">
        <w:t>70.</w:t>
      </w:r>
      <w:r w:rsidRPr="003517FB">
        <w:tab/>
        <w:t>solicită o îmbunătățire semnificativă a transparenței, a responsabilității democratice și a informării, a mecanismelor solide de monitorizare și evaluare și a raportării periodice;</w:t>
      </w:r>
    </w:p>
    <w:p w14:paraId="34D3CE72" w14:textId="77777777" w:rsidR="00AD03E0" w:rsidRPr="003517FB" w:rsidRDefault="00AD03E0" w:rsidP="00AD03E0">
      <w:pPr>
        <w:pStyle w:val="NormalHanging12a"/>
        <w:rPr>
          <w:bCs/>
          <w:iCs/>
        </w:rPr>
      </w:pPr>
      <w:r w:rsidRPr="003517FB">
        <w:t>71.</w:t>
      </w:r>
      <w:r w:rsidRPr="003517FB">
        <w:tab/>
        <w:t>solicită măsurarea eficace a impactului proiectelor Global Gateway la nivel local, inclusiv a rezultatelor lor sociale, de mediu și economice, cum ar fi contribuția lor la eradicarea sărăciei, precum și a sustenabilității lor financiare și economice, utilizând indicatori legați de crearea de locuri de muncă, transferul de cunoștințe, incluziunea socială și egalitatea de gen, în conformitate cu obiectivele globale legate de capitalul social și uman, cum ar fi ODD și Planul de acțiune pentru egalitatea de gen III;</w:t>
      </w:r>
    </w:p>
    <w:p w14:paraId="3CA3B345" w14:textId="77777777" w:rsidR="00AD03E0" w:rsidRPr="003517FB" w:rsidRDefault="00AD03E0" w:rsidP="00AD03E0">
      <w:pPr>
        <w:pStyle w:val="NormalHanging12a"/>
        <w:rPr>
          <w:bCs/>
          <w:iCs/>
        </w:rPr>
      </w:pPr>
      <w:r w:rsidRPr="003517FB">
        <w:t>72.</w:t>
      </w:r>
      <w:r w:rsidRPr="003517FB">
        <w:tab/>
        <w:t xml:space="preserve">solicită, de asemenea, Comisiei să furnizeze dovezi cu privire la beneficiile proiectelor Global Gateway pentru întreprinderile locale, în special pentru IMM-uri, pentru întreprinderile sustenabile și favorabile incluziunii, cum ar fi cooperativele și întreprinderile sociale, comunitățile locale și forța de muncă din țările partenere; invită Comisia să monitorizeze și să evalueze impactul proiectelor și să publice astfel de dovezi pentru a se asigura, </w:t>
      </w:r>
      <w:r w:rsidRPr="003517FB">
        <w:rPr>
          <w:i/>
        </w:rPr>
        <w:t>ex ante</w:t>
      </w:r>
      <w:r w:rsidRPr="003517FB">
        <w:t xml:space="preserve"> și </w:t>
      </w:r>
      <w:r w:rsidRPr="003517FB">
        <w:rPr>
          <w:i/>
        </w:rPr>
        <w:t>ex post</w:t>
      </w:r>
      <w:r w:rsidRPr="003517FB">
        <w:t>, că proiectele Global Gateway respectă angajamentele în materie de drepturi ale omului și au efecte pozitive asupra economiei locale și efecte de domino pozitive asupra unor segmente mai largi ale societății; ia act de preocupările din studiile și investigațiile privind investițiile externe, care uneori au identificat dovezi limitate legate de beneficiile pe plan local, inclusiv pentru IMM-urile și comunitățile din țările partenere;</w:t>
      </w:r>
    </w:p>
    <w:p w14:paraId="6F213F52" w14:textId="77777777" w:rsidR="00AD03E0" w:rsidRPr="003517FB" w:rsidRDefault="00AD03E0" w:rsidP="00AD03E0">
      <w:pPr>
        <w:pStyle w:val="NormalHanging12a"/>
        <w:rPr>
          <w:bCs/>
          <w:iCs/>
        </w:rPr>
      </w:pPr>
      <w:r w:rsidRPr="003517FB">
        <w:lastRenderedPageBreak/>
        <w:t>73.</w:t>
      </w:r>
      <w:r w:rsidRPr="003517FB">
        <w:tab/>
        <w:t>invită Comisia să dezvolte noi instrumente fundamentate pe un cadru bazat pe dovezi pentru a monitoriza și a evalua distribuția și impactul intervențiilor în țările partenere, în special în domenii precum calitatea și cantitatea locurilor de muncă, educația favorabilă incluziunii, sănătatea, standardele de viață, impactul asupra grupurilor celor mai vulnerabile, inegalitatea și coeziunea socială, adaptarea la schimbările climatice și protecția mediului, precum și dezvoltarea întreprinderilor locale, inclusiv a IMM-urilor, deoarece acest lucru ar contribui la optimizarea și extinderea impactului local al intervențiilor și parteneriatelor actuale ale UE și ar sprijini conceperea unor proiecte viitoare cu efecte de durată în țările partenere; salută indicatorul inegalității și evaluarea impactului distributiv ca instrumente utile de monitorizare a impactului proiectelor Global Gateway; solicită defalcarea datelor în funcție de gen și vârstă pentru a urmări incluziunea femeilor și a fetelor și beneficiile pentru acestea; subliniază că o astfel de abordare empirică mărește transparența cheltuielilor și consolidează rolul de supraveghere al Parlamentului ca parte a autorității bugetare;</w:t>
      </w:r>
    </w:p>
    <w:p w14:paraId="69872426" w14:textId="77777777" w:rsidR="00AD03E0" w:rsidRPr="003517FB" w:rsidRDefault="00AD03E0" w:rsidP="00AD03E0">
      <w:pPr>
        <w:pStyle w:val="NormalHanging12a"/>
        <w:rPr>
          <w:bCs/>
          <w:iCs/>
        </w:rPr>
      </w:pPr>
      <w:r w:rsidRPr="003517FB">
        <w:t>74.</w:t>
      </w:r>
      <w:r w:rsidRPr="003517FB">
        <w:tab/>
        <w:t>recomandă monitorizarea gradului și a succesului implicării întreprinderilor europene și locale; recomandă în continuare monitorizarea stabilirii de lanțuri de aprovizionare și valorice, a câștigurilor în materie de inovare, a rezilienței și a valorii adăugate economice atât în țările partenere, cât și în UE;</w:t>
      </w:r>
    </w:p>
    <w:p w14:paraId="0082AD49" w14:textId="77777777" w:rsidR="00AD03E0" w:rsidRPr="003517FB" w:rsidRDefault="00AD03E0" w:rsidP="00AD03E0">
      <w:pPr>
        <w:pStyle w:val="NormalHanging12a"/>
        <w:rPr>
          <w:bCs/>
          <w:iCs/>
        </w:rPr>
      </w:pPr>
      <w:r w:rsidRPr="003517FB">
        <w:t>75.</w:t>
      </w:r>
      <w:r w:rsidRPr="003517FB">
        <w:tab/>
        <w:t>invită Comisia să publice periodic statistici standardizate, detaliate și comparabile privind punerea în aplicare a strategiei „Global Gateway”, care să arate, printre altele, ponderea achizițiilor publice și a contractelor atribuite întreprinderilor din UE și din afara UE, volumul și distribuția sectorială a investițiilor private mobilizate din fiecare stat membru și principalele beneficii economice și sociale generate, și să furnizeze dovezi ale efectului de pârghie al garanțiilor UE, al instrumentelor financiare și al finanțării mixte; subliniază că aceste date sunt esențiale pentru a evalua nivelul real de „conținut european” în proiectele Global Gateway și pentru a asigura un bun raport calitate-preț pentru contribuabilii din UE; evidențiază, în plus, că astfel de măsuri de transparență ar face posibil să se evalueze dacă un proiect își îndeplinește obiectivul declarat de a mobiliza capital privat semnificativ pentru proiecte sustenabile și strategice;</w:t>
      </w:r>
    </w:p>
    <w:p w14:paraId="303E7714" w14:textId="77777777" w:rsidR="00AD03E0" w:rsidRPr="003517FB" w:rsidRDefault="00AD03E0" w:rsidP="00AD03E0">
      <w:pPr>
        <w:pStyle w:val="NormalHanging12a"/>
        <w:rPr>
          <w:bCs/>
          <w:iCs/>
        </w:rPr>
      </w:pPr>
      <w:r w:rsidRPr="003517FB">
        <w:t>76.</w:t>
      </w:r>
      <w:r w:rsidRPr="003517FB">
        <w:tab/>
        <w:t>reiterează necesitatea unei metodologii unificate și accesibile publicului pentru calcularea investițiilor mobilizate în temeiul Global Gateway, inclusiv o distincție clară între finanțarea de la bugetul UE, contribuțiile statelor membre, efectul de levier al sectorului privat și proiectele preexistente redenumite; invită Comisia să publice cifrele auditate anuale;</w:t>
      </w:r>
    </w:p>
    <w:p w14:paraId="676AFE86" w14:textId="77777777" w:rsidR="00AD03E0" w:rsidRPr="003517FB" w:rsidRDefault="00AD03E0" w:rsidP="00AD03E0">
      <w:pPr>
        <w:pStyle w:val="NormalHanging12a"/>
      </w:pPr>
      <w:r w:rsidRPr="003517FB">
        <w:t>77.</w:t>
      </w:r>
      <w:r w:rsidRPr="003517FB">
        <w:tab/>
        <w:t xml:space="preserve">salută îmbunătățirile recente în ceea ce privește informațiile furnizate privind Global Gateway pe site-urile Comisiei, dar subliniază necesitatea unor informații mai detaliate privind proiectele Global Gateway, criteriile de selecție, sursele de finanțare, evaluările </w:t>
      </w:r>
      <w:r w:rsidRPr="003517FB">
        <w:rPr>
          <w:i/>
          <w:iCs/>
        </w:rPr>
        <w:t>ex ante</w:t>
      </w:r>
      <w:r w:rsidRPr="003517FB">
        <w:t xml:space="preserve"> ale impactului, participarea părților interesate, partenerii de implementare, valoarea adăugată locală și rezultatele preconizate, precum și rezultatele măsurate, inclusiv în ceea ce privește impactul asupra comerțului și progresele înregistrate în direcția realizării ODD-urilor; consideră că transparența și comunicarea eficace sunt esențiale pentru a asigura previzibilitatea, a promova încrederea țărilor partenere, a asigura adeziunea, a crea o dinamică favorabilă și a demonstra valoarea adăugată a Global Gateway; ia act de propunerea Comisiei privind un nou cadru de urmărire și performanță, care ar trebui să contribuie la raționalizarea monitorizării și a raportării, pe baza indicatorilor-cheie de performanță; subliniază că gradul limitat de cunoaștere a inițiativei Global Gateway în multe țări partenere rămâne un obstacol major în calea </w:t>
      </w:r>
      <w:r w:rsidRPr="003517FB">
        <w:lastRenderedPageBreak/>
        <w:t>succesului acesteia; solicită, prin urmare, o mai mare vizibilitate, un discurs mai convingător și o strategie de comunicare coerentă;</w:t>
      </w:r>
    </w:p>
    <w:p w14:paraId="0EB3523B" w14:textId="77777777" w:rsidR="00AD03E0" w:rsidRPr="003517FB" w:rsidRDefault="00AD03E0" w:rsidP="00AD03E0">
      <w:pPr>
        <w:pStyle w:val="NormalHanging12a"/>
      </w:pPr>
      <w:r w:rsidRPr="003517FB">
        <w:t>78.</w:t>
      </w:r>
      <w:r w:rsidRPr="003517FB">
        <w:tab/>
        <w:t xml:space="preserve">regretă că marca „Global Gateway” nu este încă recunoscută și vizibilă, în special în rândul țărilor partenere; solicită, prin urmare, o strategie de comunicare bine finanțată, clară și coordonată, care să includă o comunicare multilingvă axată pe interesele și rezultatele UE și ale țărilor partenere pentru părțile interesate de la nivel local, ca ofertă pozitivă a Europei; </w:t>
      </w:r>
    </w:p>
    <w:p w14:paraId="106660AD" w14:textId="77777777" w:rsidR="00AD03E0" w:rsidRPr="003517FB" w:rsidRDefault="00AD03E0" w:rsidP="00AD03E0">
      <w:pPr>
        <w:pStyle w:val="NormalHanging12a"/>
      </w:pPr>
      <w:r w:rsidRPr="003517FB">
        <w:t>79.</w:t>
      </w:r>
      <w:r w:rsidRPr="003517FB">
        <w:tab/>
        <w:t xml:space="preserve">îndeamnă Comisia să îmbunătățească transparența în punerea în aplicare a Fondului european pentru dezvoltare durabilă Plus prin publicarea de informații detaliate și actualizate periodic privind acordurile de garantare, investițiile semnate și plătite, partenerii de punere în aplicare și beneficiarii, astfel cum a recomandat Curtea de Conturi Europeană; </w:t>
      </w:r>
    </w:p>
    <w:p w14:paraId="42978C03" w14:textId="77777777" w:rsidR="00AD03E0" w:rsidRPr="003517FB" w:rsidRDefault="00AD03E0" w:rsidP="00AD03E0">
      <w:pPr>
        <w:pStyle w:val="NormalHanging12a"/>
      </w:pPr>
      <w:r w:rsidRPr="003517FB">
        <w:t>80.</w:t>
      </w:r>
      <w:r w:rsidRPr="003517FB">
        <w:tab/>
        <w:t>solicită ca Global Gateway să fie codificată și integrată în Regulamentul privind Europa globală, care urmează să fie adoptat înainte de următorul cadru financiar multianual pentru perioada 2028-2034; consideră că o astfel de îmbunătățire este necesară de urgență pentru a asigura securitatea juridică și transparența mandatului; subliniază principiile directoare ale Parlamentului în acest sens, și anume rolul operațional central al Consiliului de guvernanță al Global Gateway în definirea și selectarea proiectelor, trecerea de la o abordare dirijată de Comisie la o abordare ascendentă, axată pe o agendă sustenabilă transformatoare în interes reciproc, o implicare mai puternică a sectoarelor de afaceri, a partenerilor și a Parlamentului, precum și o responsabilitate mai mare;</w:t>
      </w:r>
    </w:p>
    <w:p w14:paraId="4AE32DA6" w14:textId="77777777" w:rsidR="00AD03E0" w:rsidRPr="003517FB" w:rsidRDefault="00AD03E0" w:rsidP="00AD03E0">
      <w:pPr>
        <w:pStyle w:val="Normal12a"/>
      </w:pPr>
      <w:r w:rsidRPr="003517FB">
        <w:rPr>
          <w:b/>
          <w:i/>
        </w:rPr>
        <w:t>Finanțare și achiziții publice viitoare</w:t>
      </w:r>
    </w:p>
    <w:p w14:paraId="085B1BFD" w14:textId="77777777" w:rsidR="00AD03E0" w:rsidRPr="003517FB" w:rsidRDefault="00AD03E0" w:rsidP="00AD03E0">
      <w:pPr>
        <w:pStyle w:val="NormalHanging12a"/>
      </w:pPr>
      <w:r w:rsidRPr="003517FB">
        <w:t>81.</w:t>
      </w:r>
      <w:r w:rsidRPr="003517FB">
        <w:tab/>
        <w:t xml:space="preserve">subliniază că instrumentele financiare disponibile la nivel național și european pentru proiectele Global Gateway trebuie adaptate pentru a ține seama de contextul strategic, de imperativul lanțului de aprovizionare, de particularitățile sectorului și de mediul concurențial și trebuie transformate într-un set de instrumente care să permită crearea de parteneriate reciproc avantajoase și asigurarea unor condiții de concurență echitabile pentru întreprinderile europene din țările partenere; subliniază că asigurarea unui echilibru între finanțarea AOD și cea din afara AOD este esențială; reamintește Comisiei cerința actuală ca cel puțin 93 % din cheltuielile din cadrul IVCDCI – Europa globală să îndeplinească criteriile pentru AOD; </w:t>
      </w:r>
    </w:p>
    <w:p w14:paraId="5A8E950A" w14:textId="6AABBC50" w:rsidR="00D67702" w:rsidRPr="003517FB" w:rsidRDefault="00607CF6" w:rsidP="00AD03E0">
      <w:pPr>
        <w:pStyle w:val="NormalHanging12a"/>
      </w:pPr>
      <w:r w:rsidRPr="003517FB">
        <w:t>82</w:t>
      </w:r>
      <w:r w:rsidR="00D67702" w:rsidRPr="003517FB">
        <w:t>.</w:t>
      </w:r>
      <w:r w:rsidR="00D67702" w:rsidRPr="003517FB">
        <w:tab/>
        <w:t>consideră că un anumit număr de proiecte emblematice ar trebui alocate rezilienței economice a UE;</w:t>
      </w:r>
    </w:p>
    <w:p w14:paraId="2A4D74DB" w14:textId="2B2E9CEB" w:rsidR="00AD03E0" w:rsidRPr="003517FB" w:rsidRDefault="00607CF6" w:rsidP="00AD03E0">
      <w:pPr>
        <w:pStyle w:val="NormalHanging12a"/>
      </w:pPr>
      <w:r w:rsidRPr="003517FB">
        <w:t>83</w:t>
      </w:r>
      <w:r w:rsidR="00AD03E0" w:rsidRPr="003517FB">
        <w:t>.</w:t>
      </w:r>
      <w:r w:rsidR="00AD03E0" w:rsidRPr="003517FB">
        <w:tab/>
        <w:t>subliniază că proiectele puse în aplicare în cadrul Global Gateway au în centru implicarea sectorului privat al UE, a țărilor partenere și a partenerilor de încredere; reliefează că entitățile din UE sau partenerii care împărtășesc aceeași viziune trebuie să reprezinte o cotă semnificativă din orice consorții care participă la proiectele Global Gateway;</w:t>
      </w:r>
    </w:p>
    <w:p w14:paraId="7888B505" w14:textId="36469E7C" w:rsidR="00AD03E0" w:rsidRPr="003517FB" w:rsidRDefault="00607CF6" w:rsidP="00AD03E0">
      <w:pPr>
        <w:pStyle w:val="NormalHanging12a"/>
      </w:pPr>
      <w:r w:rsidRPr="003517FB">
        <w:t>84</w:t>
      </w:r>
      <w:r w:rsidR="00AD03E0" w:rsidRPr="003517FB">
        <w:t>.</w:t>
      </w:r>
      <w:r w:rsidR="00AD03E0" w:rsidRPr="003517FB">
        <w:tab/>
        <w:t xml:space="preserve">subliniază că politicile de achiziții publice, procesele de diligență necesară și conceperea licitațiilor au o influență puternică asupra succesului sau eșecului proiectelor Global Gateway; solicită utilizarea criteriilor de mediu, sociale și de guvernanță, precum și a criteriilor privind calitatea, inovarea, reziliența și participarea europeană, și securitatea, fiabilitatea, sustenabilitatea și competitivitatea; solicită Comisiei să definească „achizițiile strategice” și să se asigure că procedurile de achiziții și criteriile de selecție a </w:t>
      </w:r>
      <w:r w:rsidR="00AD03E0" w:rsidRPr="003517FB">
        <w:lastRenderedPageBreak/>
        <w:t>proiectelor reflectă cerințele menționate mai sus, punând accent pe criteriile calitative în detrimentul prețului, menținând transparența, promovând concurența loială și raportul calitate-preț și protejând interesele strategice și autonomia UE, precum și alinierea la valorile sale; invită Comisia să ia în considerare posibilitatea unor ajustări ale abordării și normelor sale în materie de achiziții publice pentru a asigura condiții de concurență echitabile pentru întreprinderile europene;</w:t>
      </w:r>
    </w:p>
    <w:p w14:paraId="2F957B40" w14:textId="4E3AD94E" w:rsidR="00AD03E0" w:rsidRPr="003517FB" w:rsidRDefault="00607CF6" w:rsidP="00AD03E0">
      <w:pPr>
        <w:pStyle w:val="NormalHanging12a"/>
      </w:pPr>
      <w:r w:rsidRPr="003517FB">
        <w:t>85</w:t>
      </w:r>
      <w:r w:rsidR="00AD03E0" w:rsidRPr="003517FB">
        <w:t>.</w:t>
      </w:r>
      <w:r w:rsidR="00AD03E0" w:rsidRPr="003517FB">
        <w:tab/>
        <w:t>invită Comisia să pună în aplicare astfel de criterii de eligibilitate pentru întreprinderile care participă la proiectele Global Gateway, pentru a se asigura că întreprinderile din UE, din țările care împărtășesc aceeași viziune și din țările partenere păstrează întotdeauna controlul operațional în proiectele în cauză;</w:t>
      </w:r>
    </w:p>
    <w:p w14:paraId="14A61899" w14:textId="42AF7282" w:rsidR="00AD03E0" w:rsidRPr="003517FB" w:rsidRDefault="00607CF6" w:rsidP="00AD03E0">
      <w:pPr>
        <w:pStyle w:val="NormalHanging12a"/>
      </w:pPr>
      <w:r w:rsidRPr="003517FB">
        <w:t>86</w:t>
      </w:r>
      <w:r w:rsidR="00AD03E0" w:rsidRPr="003517FB">
        <w:t>.</w:t>
      </w:r>
      <w:r w:rsidR="00AD03E0" w:rsidRPr="003517FB">
        <w:tab/>
        <w:t>felicită Banca Europeană de Investiții (BEI) pentru punerea în aplicare a foii sale de parcurs strategice privind achizițiile publice și pentru punerea în aplicare deja a unei părți substanțiale a proiectelor finanțate de BEI de către întreprinderi din UE; solicită BEI să își evalueze în mod critic și să își modifice abordarea de aversiune la risc;</w:t>
      </w:r>
    </w:p>
    <w:p w14:paraId="430A70F6" w14:textId="77777777" w:rsidR="00AD03E0" w:rsidRPr="003517FB" w:rsidRDefault="00AD03E0" w:rsidP="00AD03E0">
      <w:pPr>
        <w:pStyle w:val="NormalHanging12a"/>
        <w:rPr>
          <w:b/>
          <w:i/>
        </w:rPr>
      </w:pPr>
      <w:r w:rsidRPr="003517FB">
        <w:rPr>
          <w:b/>
          <w:i/>
        </w:rPr>
        <w:t xml:space="preserve">Promovarea comerțului și a investițiilor </w:t>
      </w:r>
    </w:p>
    <w:p w14:paraId="029C5CDF" w14:textId="5FC8B1A7" w:rsidR="00AD03E0" w:rsidRPr="003517FB" w:rsidRDefault="00607CF6" w:rsidP="00AD03E0">
      <w:pPr>
        <w:pStyle w:val="NormalHanging12a"/>
        <w:rPr>
          <w:bCs/>
          <w:iCs/>
        </w:rPr>
      </w:pPr>
      <w:r w:rsidRPr="003517FB">
        <w:t>87</w:t>
      </w:r>
      <w:r w:rsidR="00AD03E0" w:rsidRPr="003517FB">
        <w:t>.</w:t>
      </w:r>
      <w:r w:rsidR="00AD03E0" w:rsidRPr="003517FB">
        <w:tab/>
        <w:t xml:space="preserve">scoate în evidență că, pentru proiectele care au o dimensiune comercială și de investiții, Global Gateway ar trebui să consolideze și să faciliteze relațiile comerciale și de investiții reciproc avantajoase, în special prin dezvoltarea și deschiderea de noi rute comerciale și oportunități de afaceri, inclusiv pentru IMM-uri, și prin sprijinirea dezvoltării și modernizării infrastructurii de facilitare a comerțului, care este esențială pentru a aborda costurile comerciale ridicate; recunoaște că, într-un mediu global tot mai competitiv, în care dependențele comerciale sunt puternic folosite ca armă și utilizate ca instrumente de constrângere economică, Global Gateway joacă un rol esențial în sprijinirea diversificării lanțurilor de aprovizionare, în reducerea dependențelor critice în sectoare-cheie, în consolidarea poziției geopolitice a UE și în îmbunătățirea rezilienței sale strategice, a securității economice și a competitivității sale pe termen lung, așa cum a solicitat Mario </w:t>
      </w:r>
      <w:proofErr w:type="spellStart"/>
      <w:r w:rsidR="00AD03E0" w:rsidRPr="003517FB">
        <w:t>Draghi</w:t>
      </w:r>
      <w:proofErr w:type="spellEnd"/>
      <w:r w:rsidR="00AD03E0" w:rsidRPr="003517FB">
        <w:t xml:space="preserve"> în raportul său din 9 septembrie 2024 privind competitivitatea europeană, sprijinind totodată, în conformitate cu principiul coerenței politicilor în favoarea dezvoltării, prioritățile de dezvoltare ale țărilor partenere și respectând procesele lor decizionale democratice;</w:t>
      </w:r>
    </w:p>
    <w:p w14:paraId="43A37FC6" w14:textId="31543800" w:rsidR="00AD03E0" w:rsidRPr="003517FB" w:rsidRDefault="00607CF6" w:rsidP="00AD03E0">
      <w:pPr>
        <w:pStyle w:val="NormalHanging12a"/>
        <w:rPr>
          <w:bCs/>
          <w:iCs/>
        </w:rPr>
      </w:pPr>
      <w:r w:rsidRPr="003517FB">
        <w:t>88</w:t>
      </w:r>
      <w:r w:rsidR="00AD03E0" w:rsidRPr="003517FB">
        <w:t>.</w:t>
      </w:r>
      <w:r w:rsidR="00AD03E0" w:rsidRPr="003517FB">
        <w:tab/>
        <w:t>subliniază că succesul investițiilor Global Gateway depinde de un cadru comercial stabil și previzibil; solicită ca investițiile Global Gateway să includă, după caz, componente de facilitare a comerțului, asigurând o dezvoltare reală și sustenabilă, precum și câștiguri precum acces pe piață și potențial de export pentru țările partenere; solicită să se asigure sinergii între inițiativele Global Gateway și politica comercială a UE, inclusiv acordurile comerciale, precum și prioritățile de implementare în cadrul capitolelor lor privind comerțul și dezvoltarea durabilă, al sistemului generalizat de preferințe și al altor cadre și mecanisme comerciale existente; evidențiază că asigurarea unor astfel de sinergii necesită, de asemenea, examinarea securității și a riscurilor strategice ale proiectelor emblematice Global Gateway, în particular dacă întreprinderile controlate de stat din state autoritare pot dobândi controlul asupra infrastructurii digitale, maritime, de transport, energetice sau de comunicații critice; solicită ca strategia Global Gateway să fie bine aliniată la normele OMC și, în măsura posibilului, să sprijine includerea țărilor partenere în sistemul comercial regional și mondial bazat pe norme; invită Comisia să evalueze fluxurile comerciale și de investiții generate în cadrul strategiei Global Gateway;</w:t>
      </w:r>
    </w:p>
    <w:p w14:paraId="7269A193" w14:textId="06F513CC" w:rsidR="00AD03E0" w:rsidRPr="003517FB" w:rsidRDefault="00607CF6" w:rsidP="00AD03E0">
      <w:pPr>
        <w:pStyle w:val="NormalHanging12a"/>
        <w:rPr>
          <w:bCs/>
          <w:iCs/>
        </w:rPr>
      </w:pPr>
      <w:r w:rsidRPr="003517FB">
        <w:lastRenderedPageBreak/>
        <w:t>89</w:t>
      </w:r>
      <w:r w:rsidR="00AD03E0" w:rsidRPr="003517FB">
        <w:t>.</w:t>
      </w:r>
      <w:r w:rsidR="00AD03E0" w:rsidRPr="003517FB">
        <w:tab/>
        <w:t>solicită ca Global Gateway să implice mai direct sectorul privat, prin promovarea comerțului și a investițiilor, și să garanteze angajamentul întreprinderilor europene de a se implica în țări partenere în proiecte emblematice;</w:t>
      </w:r>
    </w:p>
    <w:p w14:paraId="596882A8" w14:textId="03052AA4" w:rsidR="00AD03E0" w:rsidRPr="003517FB" w:rsidRDefault="00607CF6" w:rsidP="00AD03E0">
      <w:pPr>
        <w:pStyle w:val="NormalHanging12a"/>
        <w:rPr>
          <w:bCs/>
          <w:iCs/>
        </w:rPr>
      </w:pPr>
      <w:r w:rsidRPr="003517FB">
        <w:t>90</w:t>
      </w:r>
      <w:r w:rsidR="00AD03E0" w:rsidRPr="003517FB">
        <w:t>.</w:t>
      </w:r>
      <w:r w:rsidR="00AD03E0" w:rsidRPr="003517FB">
        <w:tab/>
        <w:t>solicită o asistență tehnică mai mare pentru a sprijini capacitatea instituțională și reforma în materie de reglementare, în special cu scopul de a raționaliza procesele comerciale și de a întări capacitatea țărilor partenere de a respecta standardele internaționale, inclusiv standardele sanitare și fitosanitare, standardele tehnice, standardele de sustenabilitate, digitalizarea vamală și trasabilitatea lanțului valoric; evidențiază că Global Gateway trebuie, cu toate acestea, să respecte spațiul național de reglementare și să nu fie condiționată de reforme în materie de reglementare care slăbesc autoritățile de reglementare;</w:t>
      </w:r>
    </w:p>
    <w:p w14:paraId="0A0CB177" w14:textId="78418B86" w:rsidR="00BE039E" w:rsidRPr="003517FB" w:rsidRDefault="00607CF6" w:rsidP="00AD03E0">
      <w:pPr>
        <w:pStyle w:val="NormalHanging12a"/>
        <w:rPr>
          <w:bCs/>
          <w:iCs/>
        </w:rPr>
      </w:pPr>
      <w:r w:rsidRPr="003517FB">
        <w:t>91</w:t>
      </w:r>
      <w:r w:rsidR="00AD03E0" w:rsidRPr="003517FB">
        <w:t>.</w:t>
      </w:r>
      <w:r w:rsidR="00AD03E0" w:rsidRPr="003517FB">
        <w:tab/>
        <w:t xml:space="preserve">solicită ca Global Gateway să sprijine proiectele de facilitare a comerțului care pot realiza o creștere economică favorabilă incluziunii sociale și sustenabilă din punct de vedere ecologic, integrarea și crearea de locuri de muncă și care respectă drepturile omului; evidențiază că aceste proiecte, în special coridoarele de transport, nu trebuie să afecteze negativ condițiile de muncă sau protecția muncii și a mediului; solicită asigurări că proiectele amplifică competitivitatea reciprocă, inclusiv prin facilitarea alinierii la obiectivele climatice și că susțin respectarea măsurilor autonome de sustenabilitate legate de comerț ale UE care abordează emisiile de dioxid de carbon și impactul negativ asupra mediului și promovează drepturile omului; consideră că Global Gateway, deși urmărește să asigure o aprovizionare </w:t>
      </w:r>
      <w:proofErr w:type="spellStart"/>
      <w:r w:rsidR="00AD03E0" w:rsidRPr="003517FB">
        <w:t>rezilientă</w:t>
      </w:r>
      <w:proofErr w:type="spellEnd"/>
      <w:r w:rsidR="00AD03E0" w:rsidRPr="003517FB">
        <w:t xml:space="preserve"> cu materii prime critice necesare pentru tranziția verde și pentru securitatea economică a UE, ar trebui să țină seama de dezvoltarea incluzivă și să se asigure că partenerii comerciali beneficiază de extracția resurselor prin prelucrare locală, transfer de competențe și know-how și generează valoare adăugată pentru comunitățile locale; reamintește că, în conformitate cu eforturile în direcția diplomației verzi a UE, Global Gateway ar trebui să contribuie la tranziția energetică; solicită ca finanțarea Global Gateway să asigure interoperabilitatea cu standardele UE, cu procedurile transparente și cu respectarea standardelor de mediu, sociale și de guvernanță, inclusiv prin sisteme de monitorizare continuă;</w:t>
      </w:r>
    </w:p>
    <w:p w14:paraId="764C3849" w14:textId="77777777" w:rsidR="00AD03E0" w:rsidRPr="003517FB" w:rsidRDefault="00AD03E0" w:rsidP="00AD03E0">
      <w:pPr>
        <w:pStyle w:val="NormalHanging12a"/>
        <w:rPr>
          <w:b/>
          <w:i/>
        </w:rPr>
      </w:pPr>
      <w:r w:rsidRPr="003517FB">
        <w:rPr>
          <w:b/>
          <w:i/>
        </w:rPr>
        <w:t>Instrumente financiare</w:t>
      </w:r>
    </w:p>
    <w:p w14:paraId="65182F3F" w14:textId="05928B7F" w:rsidR="00AD03E0" w:rsidRPr="003517FB" w:rsidRDefault="00607CF6" w:rsidP="00AD03E0">
      <w:pPr>
        <w:pStyle w:val="NormalHanging12a"/>
        <w:rPr>
          <w:bCs/>
          <w:iCs/>
        </w:rPr>
      </w:pPr>
      <w:r w:rsidRPr="003517FB">
        <w:t>92</w:t>
      </w:r>
      <w:r w:rsidR="00AD03E0" w:rsidRPr="003517FB">
        <w:t>.</w:t>
      </w:r>
      <w:r w:rsidR="00AD03E0" w:rsidRPr="003517FB">
        <w:tab/>
        <w:t>subliniază că UE a implementat operațiuni de finanțare a dezvoltării și de investiții bazate pe garanții cu mult timp înainte de lansarea Global Gateway în 2021, inclusiv prin intermediul Fondului european pentru dezvoltare durabilă Plus;</w:t>
      </w:r>
    </w:p>
    <w:p w14:paraId="6BD95EEC" w14:textId="61FE3C42" w:rsidR="00AD03E0" w:rsidRPr="003517FB" w:rsidRDefault="00607CF6" w:rsidP="00AD03E0">
      <w:pPr>
        <w:pStyle w:val="NormalHanging12a"/>
        <w:rPr>
          <w:bCs/>
          <w:iCs/>
        </w:rPr>
      </w:pPr>
      <w:r w:rsidRPr="003517FB">
        <w:t>93</w:t>
      </w:r>
      <w:r w:rsidR="00AD03E0" w:rsidRPr="003517FB">
        <w:t>.</w:t>
      </w:r>
      <w:r w:rsidR="00AD03E0" w:rsidRPr="003517FB">
        <w:tab/>
        <w:t xml:space="preserve">invită Comisia să efectueze o evaluare a impactului Fondului european pentru dezvoltare durabilă și al Fondului european pentru dezvoltare durabilă Plus, care ar trebui să stea la baza următorului Fond „Europa globală” care sprijină Global Gateway în următorul cadru financiar multianual, evaluare care trebuie să măsoare și progresele în ceea ce privește reducerea inegalităților și stimularea dezvoltării umane, a incluziunii și a accesibilității, precum și promovarea standardelor sociale și de mediu; insistă asupra faptului că orice instrumente financiare viitoare trebuie să se bazeze pe o evaluare solidă a finanțării existente; este de părere că sunt necesare o mai mare transparență și o raportare mai strictă, precum și o gestionare a riscurilor și structuri de guvernanță îmbunătățite, inclusiv în ceea ce privește detaliile nomenclatorului bugetar; consideră că barierele care împiedică în prezent IMM-urile europene să participe pe scară mai largă la proiectele Global Gateway ar trebui eliminate, recunoscând totodată provocările care </w:t>
      </w:r>
      <w:r w:rsidR="00AD03E0" w:rsidRPr="003517FB">
        <w:lastRenderedPageBreak/>
        <w:t>decurg din contextul finanțării la scară largă și din faptul că societățile multinaționale sunt parteneri-cheie din sectorul privat;</w:t>
      </w:r>
    </w:p>
    <w:p w14:paraId="0D1B782D" w14:textId="715AA7DC" w:rsidR="00AD03E0" w:rsidRPr="003517FB" w:rsidRDefault="00607CF6" w:rsidP="00AD03E0">
      <w:pPr>
        <w:pStyle w:val="NormalHanging12a"/>
        <w:rPr>
          <w:bCs/>
          <w:iCs/>
        </w:rPr>
      </w:pPr>
      <w:r w:rsidRPr="003517FB">
        <w:t>94</w:t>
      </w:r>
      <w:r w:rsidR="00AD03E0" w:rsidRPr="003517FB">
        <w:t>.</w:t>
      </w:r>
      <w:r w:rsidR="00AD03E0" w:rsidRPr="003517FB">
        <w:tab/>
        <w:t>subliniază importanța unei abordări „Echipa Europa” favorabile incluziunii; încurajează Comisia, BEI, Banca Europeană pentru Reconstrucție și Dezvoltare și instituțiile naționale de finanțare a dezvoltării să conceapă și să pună în aplicare instrumente de reducere a riscurilor în cadrul Global Gateway pentru a le face mai simple și mai previzibile și să lucreze într-un mod care să deschidă în mod activ accesul întreprinderilor din toate statele membre, inclusiv al celor care nu dispun de instituții naționale de finanțare a dezvoltării, oferind cerințe proporționale de participare și oportunități adaptate pentru IMM-uri, precum și să conceapă sisteme specifice de asigurare a riscurilor politice pentru proiectele Global Gateway;</w:t>
      </w:r>
    </w:p>
    <w:p w14:paraId="71DE1450" w14:textId="3DE694BD" w:rsidR="00AD03E0" w:rsidRPr="003517FB" w:rsidRDefault="00607CF6" w:rsidP="00AD03E0">
      <w:pPr>
        <w:pStyle w:val="NormalHanging12a"/>
        <w:rPr>
          <w:bCs/>
          <w:iCs/>
        </w:rPr>
      </w:pPr>
      <w:r w:rsidRPr="003517FB">
        <w:t>95</w:t>
      </w:r>
      <w:r w:rsidR="00AD03E0" w:rsidRPr="003517FB">
        <w:t>.</w:t>
      </w:r>
      <w:r w:rsidR="00AD03E0" w:rsidRPr="003517FB">
        <w:tab/>
        <w:t>subliniază importanța instrumentelor de promovare a comerțului și a exporturilor, inclusiv a agențiilor de creditare a exportului, a garanțiilor, a produselor de asigurare și a parteneriatelor de afaceri, drept componente integrante ale setului de instrumente Global Gateway; încurajează Comisia și statele membre să consolideze coordonarea privind utilizarea agențiilor de creditare a exportului, precum și activitățile de diplomație economică și vizitele politice la nivel înalt în cadrul unei abordări „Echipa Europa”, cu scopul de a facilita exporturile sustenabile și intrarea pe piață a întreprinderilor europene în țările partenere, în special a IMM-urilor; solicită garanții solide pentru a asigura respectarea deplină a normelor internaționale, a obiectivelor de dezvoltare ale UE și a standardelor UE privind drepturile omului, mediul, transparența climatică și sustenabilitatea datoriei;</w:t>
      </w:r>
    </w:p>
    <w:p w14:paraId="6FBE2337" w14:textId="51E4ED34" w:rsidR="00AD03E0" w:rsidRPr="003517FB" w:rsidRDefault="00607CF6" w:rsidP="00AD03E0">
      <w:pPr>
        <w:pStyle w:val="NormalHanging12a"/>
        <w:rPr>
          <w:bCs/>
          <w:iCs/>
        </w:rPr>
      </w:pPr>
      <w:r w:rsidRPr="003517FB">
        <w:t>96</w:t>
      </w:r>
      <w:r w:rsidR="00AD03E0" w:rsidRPr="003517FB">
        <w:t>.</w:t>
      </w:r>
      <w:r w:rsidR="00AD03E0" w:rsidRPr="003517FB">
        <w:tab/>
        <w:t>solicită Comisiei și statelor membre să asigure transparența deplină a oricăror operațiuni care implică acțiuni comune sau coordonate între agențiile europene de creditare a exportului și instituțiile de finanțare a dezvoltării, inclusiv prin publicarea criteriilor de selecție a proiectelor, a beneficiarilor și a evaluărilor impactului;</w:t>
      </w:r>
    </w:p>
    <w:p w14:paraId="6C59F362" w14:textId="566CB5DC" w:rsidR="00AD03E0" w:rsidRPr="003517FB" w:rsidRDefault="00607CF6" w:rsidP="00AD03E0">
      <w:pPr>
        <w:pStyle w:val="NormalHanging12a"/>
      </w:pPr>
      <w:r w:rsidRPr="003517FB">
        <w:t>97</w:t>
      </w:r>
      <w:r w:rsidR="00AD03E0" w:rsidRPr="003517FB">
        <w:t>.</w:t>
      </w:r>
      <w:r w:rsidR="00AD03E0" w:rsidRPr="003517FB">
        <w:tab/>
        <w:t>reamintește că BEI Global, componenta pentru dezvoltare a Băncii Europene de Investiții, este unul dintre principalii promotori ai Global Gateway și, prin urmare, se preconizează că va aplica cele mai înalte standarde de transparență și responsabilitate în proiectele sale; îndeamnă Comisia și partenerii de implementare să publice informații pe această temă în timp util și într-un mod accesibil; încurajează Comisia să maximizeze cooperarea cu BEI, în calitate de bancă a UE, ceea ce ar trebui să se reflecte în următorul cadru financiar multianual; încurajează instituțiile de finanțare a dezvoltării care implementează proiecte Global Gateway, cum ar fi BEI, să pună la dispoziția publicului fiecare evaluare a datoriei aferentă proiectului; își reiterează apelul ca BEI Global să se axeze pe o agendă de dezvoltare echitabilă și durabilă în țările beneficiare;</w:t>
      </w:r>
    </w:p>
    <w:p w14:paraId="51DAE0ED" w14:textId="2389AE30" w:rsidR="00AD03E0" w:rsidRPr="003517FB" w:rsidRDefault="00607CF6" w:rsidP="00AD03E0">
      <w:pPr>
        <w:pStyle w:val="NormalHanging12a"/>
      </w:pPr>
      <w:r w:rsidRPr="003517FB">
        <w:t>98</w:t>
      </w:r>
      <w:r w:rsidR="00AD03E0" w:rsidRPr="003517FB">
        <w:t>.</w:t>
      </w:r>
      <w:r w:rsidR="00AD03E0" w:rsidRPr="003517FB">
        <w:tab/>
        <w:t>subliniază necesitatea unei utilizări mai mari a finanțării mixte și a instrumentelor concesionale, după caz, pentru ca proiectele să devină viabile din punct de vedere comercial; salută eforturile BEI de a maximiza și mai mult eficiența și de a raționaliza procesele, inclusiv prin aplicarea încrederii reciproce cu partenerii specializați ai Echipei Europa ori de câte ori este posibil;</w:t>
      </w:r>
    </w:p>
    <w:p w14:paraId="54F3B458" w14:textId="73EC252D" w:rsidR="00AD03E0" w:rsidRPr="003517FB" w:rsidRDefault="00607CF6" w:rsidP="00AD03E0">
      <w:pPr>
        <w:pStyle w:val="NormalHanging12a"/>
      </w:pPr>
      <w:r w:rsidRPr="003517FB">
        <w:t>99</w:t>
      </w:r>
      <w:r w:rsidR="00AD03E0" w:rsidRPr="003517FB">
        <w:t>.</w:t>
      </w:r>
      <w:r w:rsidR="00AD03E0" w:rsidRPr="003517FB">
        <w:tab/>
        <w:t xml:space="preserve">solicită, de asemenea, să se evalueze în ce măsură ar putea fi mobilizate resursele de AOD în cadrul Global Gateway cu ajutorul BEI, pentru a se realiza, de asemenea, o distincție mai clară între agenda de competitivitate a UE provenită din surse care nu reprezintă AOD și agenda de dezvoltare acoperită de AOD; subliniază că tehnologiile noi și inovatoare și IMM-urile au nevoie de instrumente de finanțare specifice și că ar </w:t>
      </w:r>
      <w:r w:rsidR="00AD03E0" w:rsidRPr="003517FB">
        <w:lastRenderedPageBreak/>
        <w:t>trebui să fie disponibile granturi, precum și împrumuturi, instrumente de reducere a riscurilor și, eventual, capitaluri proprii;</w:t>
      </w:r>
    </w:p>
    <w:p w14:paraId="245A826A" w14:textId="455B22F6" w:rsidR="00AD03E0" w:rsidRPr="003517FB" w:rsidRDefault="00607CF6" w:rsidP="00AD03E0">
      <w:pPr>
        <w:pStyle w:val="NormalHanging12a"/>
      </w:pPr>
      <w:r w:rsidRPr="003517FB">
        <w:t>100</w:t>
      </w:r>
      <w:r w:rsidR="00AD03E0" w:rsidRPr="003517FB">
        <w:t>.</w:t>
      </w:r>
      <w:r w:rsidR="00AD03E0" w:rsidRPr="003517FB">
        <w:tab/>
        <w:t xml:space="preserve">reamintește că, pe lângă BEI Global, și alte bănci multilaterale de dezvoltare implicate în punerea în aplicare a Global Gateway trebuie să respecte standarde înalte de transparență și responsabilitate; subliniază că toate băncile multilaterale de dezvoltare care participă la operațiunile Global Gateway ar trebui să demonstreze </w:t>
      </w:r>
      <w:proofErr w:type="spellStart"/>
      <w:r w:rsidR="00AD03E0" w:rsidRPr="003517FB">
        <w:t>adiționalitatea</w:t>
      </w:r>
      <w:proofErr w:type="spellEnd"/>
      <w:r w:rsidR="00AD03E0" w:rsidRPr="003517FB">
        <w:t xml:space="preserve"> pentru dezvoltare, să evite practicile care măresc vulnerabilitățile la datorii în țările partenere și să își alinieze finanțarea cu rezultate de dezvoltare echitabile, durabile și benefice la nivel local; invită Comisia să asigure respectarea integrală a acestor principii;</w:t>
      </w:r>
    </w:p>
    <w:p w14:paraId="3F49EC4F" w14:textId="77777777" w:rsidR="00AD03E0" w:rsidRPr="003517FB" w:rsidRDefault="00AD03E0" w:rsidP="00AD03E0">
      <w:pPr>
        <w:pStyle w:val="NormalCenter12a"/>
      </w:pPr>
      <w:r w:rsidRPr="003517FB">
        <w:t>°</w:t>
      </w:r>
    </w:p>
    <w:p w14:paraId="11FB5756" w14:textId="77777777" w:rsidR="00AD03E0" w:rsidRPr="003517FB" w:rsidRDefault="00AD03E0" w:rsidP="00AD03E0">
      <w:pPr>
        <w:pStyle w:val="NormalCenter12a"/>
      </w:pPr>
      <w:r w:rsidRPr="003517FB">
        <w:t>°</w:t>
      </w:r>
      <w:r w:rsidRPr="003517FB">
        <w:tab/>
        <w:t>°</w:t>
      </w:r>
    </w:p>
    <w:p w14:paraId="72524067" w14:textId="54591BB2" w:rsidR="0090180A" w:rsidRPr="003517FB" w:rsidRDefault="00607CF6" w:rsidP="0090180A">
      <w:pPr>
        <w:pStyle w:val="NormalHanging12a"/>
      </w:pPr>
      <w:r w:rsidRPr="003517FB">
        <w:t>101</w:t>
      </w:r>
      <w:r w:rsidR="00AD03E0" w:rsidRPr="003517FB">
        <w:t>.</w:t>
      </w:r>
      <w:r w:rsidR="00AD03E0" w:rsidRPr="003517FB">
        <w:tab/>
        <w:t>încredințează Președintei sarcina de a transmite prezenta rezoluție Președintelui Consiliului European, Consiliului și Comisiei.</w:t>
      </w:r>
    </w:p>
    <w:p w14:paraId="0FC01910" w14:textId="5840BEC6" w:rsidR="00E365E1" w:rsidRPr="003517FB" w:rsidRDefault="00E365E1" w:rsidP="000D5AAD"/>
    <w:sectPr w:rsidR="00E365E1" w:rsidRPr="003517FB" w:rsidSect="0090180A">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956878" w14:textId="77777777" w:rsidR="000D5AAD" w:rsidRPr="0090180A" w:rsidRDefault="000D5AAD">
      <w:r w:rsidRPr="0090180A">
        <w:separator/>
      </w:r>
    </w:p>
  </w:endnote>
  <w:endnote w:type="continuationSeparator" w:id="0">
    <w:p w14:paraId="7BE9154E" w14:textId="77777777" w:rsidR="000D5AAD" w:rsidRPr="0090180A" w:rsidRDefault="000D5AAD">
      <w:r w:rsidRPr="0090180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EA3D13" w14:textId="77777777" w:rsidR="000D5AAD" w:rsidRPr="0090180A" w:rsidRDefault="000D5AAD">
      <w:r w:rsidRPr="0090180A">
        <w:separator/>
      </w:r>
    </w:p>
  </w:footnote>
  <w:footnote w:type="continuationSeparator" w:id="0">
    <w:p w14:paraId="31CF2124" w14:textId="77777777" w:rsidR="000D5AAD" w:rsidRPr="0090180A" w:rsidRDefault="000D5AAD">
      <w:r w:rsidRPr="0090180A">
        <w:continuationSeparator/>
      </w:r>
    </w:p>
  </w:footnote>
  <w:footnote w:id="1">
    <w:p w14:paraId="6543810F" w14:textId="2803863B" w:rsidR="00AD03E0" w:rsidRPr="0090180A" w:rsidRDefault="00AD03E0" w:rsidP="0090180A">
      <w:pPr>
        <w:pStyle w:val="FootnoteText"/>
        <w:ind w:left="567" w:hanging="567"/>
        <w:rPr>
          <w:sz w:val="24"/>
          <w:lang w:val="ro-RO"/>
        </w:rPr>
      </w:pPr>
      <w:r w:rsidRPr="0090180A">
        <w:rPr>
          <w:rStyle w:val="FootnoteReference"/>
          <w:sz w:val="24"/>
          <w:lang w:val="ro-RO"/>
        </w:rPr>
        <w:footnoteRef/>
      </w:r>
      <w:r w:rsidR="0090180A" w:rsidRPr="0090180A">
        <w:rPr>
          <w:sz w:val="24"/>
          <w:lang w:val="ro-RO"/>
        </w:rPr>
        <w:t xml:space="preserve"> </w:t>
      </w:r>
      <w:r w:rsidR="0090180A" w:rsidRPr="0090180A">
        <w:rPr>
          <w:sz w:val="24"/>
          <w:lang w:val="ro-RO"/>
        </w:rPr>
        <w:tab/>
      </w:r>
      <w:r w:rsidRPr="0090180A">
        <w:rPr>
          <w:sz w:val="24"/>
          <w:lang w:val="ro-RO"/>
        </w:rPr>
        <w:t>JO C 210, 30.6.2017, p. 1.</w:t>
      </w:r>
    </w:p>
  </w:footnote>
  <w:footnote w:id="2">
    <w:p w14:paraId="69BB1BAD" w14:textId="277B22EA" w:rsidR="00AD03E0" w:rsidRPr="0090180A" w:rsidRDefault="00AD03E0" w:rsidP="0090180A">
      <w:pPr>
        <w:pStyle w:val="FootnoteText"/>
        <w:ind w:left="567" w:hanging="567"/>
        <w:rPr>
          <w:sz w:val="24"/>
          <w:lang w:val="ro-RO"/>
        </w:rPr>
      </w:pPr>
      <w:r w:rsidRPr="0090180A">
        <w:rPr>
          <w:rStyle w:val="FootnoteReference"/>
          <w:sz w:val="24"/>
          <w:lang w:val="ro-RO"/>
        </w:rPr>
        <w:footnoteRef/>
      </w:r>
      <w:r w:rsidR="0090180A" w:rsidRPr="0090180A">
        <w:rPr>
          <w:sz w:val="24"/>
          <w:lang w:val="ro-RO"/>
        </w:rPr>
        <w:t xml:space="preserve"> </w:t>
      </w:r>
      <w:r w:rsidR="0090180A" w:rsidRPr="0090180A">
        <w:rPr>
          <w:sz w:val="24"/>
          <w:lang w:val="ro-RO"/>
        </w:rPr>
        <w:tab/>
      </w:r>
      <w:r w:rsidRPr="0090180A">
        <w:rPr>
          <w:sz w:val="24"/>
          <w:lang w:val="ro-RO"/>
        </w:rPr>
        <w:t xml:space="preserve">JO L 209, 14.6.2021, p. 1, ELI: </w:t>
      </w:r>
      <w:hyperlink r:id="rId1" w:tgtFrame="http://data.europa.eu/eli/reg/2021/947/oj" w:history="1">
        <w:r w:rsidRPr="0090180A">
          <w:rPr>
            <w:rStyle w:val="Hyperlink"/>
            <w:sz w:val="24"/>
            <w:lang w:val="ro-RO"/>
          </w:rPr>
          <w:t>http://data.europa.eu/eli/reg/2021/947/oj.</w:t>
        </w:r>
      </w:hyperlink>
    </w:p>
  </w:footnote>
  <w:footnote w:id="3">
    <w:p w14:paraId="4A21A605" w14:textId="5DD40D9B" w:rsidR="00AD03E0" w:rsidRPr="0090180A" w:rsidRDefault="00AD03E0" w:rsidP="0090180A">
      <w:pPr>
        <w:pStyle w:val="FootnoteText"/>
        <w:ind w:left="567" w:hanging="567"/>
        <w:rPr>
          <w:sz w:val="24"/>
          <w:lang w:val="ro-RO"/>
        </w:rPr>
      </w:pPr>
      <w:r w:rsidRPr="0090180A">
        <w:rPr>
          <w:rStyle w:val="FootnoteReference"/>
          <w:sz w:val="24"/>
          <w:lang w:val="ro-RO"/>
        </w:rPr>
        <w:footnoteRef/>
      </w:r>
      <w:r w:rsidR="0090180A" w:rsidRPr="0090180A">
        <w:rPr>
          <w:sz w:val="24"/>
          <w:lang w:val="ro-RO"/>
        </w:rPr>
        <w:t xml:space="preserve"> </w:t>
      </w:r>
      <w:r w:rsidR="0090180A" w:rsidRPr="0090180A">
        <w:rPr>
          <w:sz w:val="24"/>
          <w:lang w:val="ro-RO"/>
        </w:rPr>
        <w:tab/>
      </w:r>
      <w:r w:rsidRPr="0090180A">
        <w:rPr>
          <w:sz w:val="24"/>
          <w:lang w:val="ro-RO"/>
        </w:rPr>
        <w:t xml:space="preserve">JO L 330, 20.9.2021, ELI: </w:t>
      </w:r>
      <w:hyperlink r:id="rId2" w:tgtFrame="http://data.europa.eu/eli/reg/2021/1529/oj" w:history="1">
        <w:r w:rsidRPr="0090180A">
          <w:rPr>
            <w:rStyle w:val="Hyperlink"/>
            <w:sz w:val="24"/>
            <w:lang w:val="ro-RO"/>
          </w:rPr>
          <w:t>http://data.europa.eu/eli/reg/2021/1529/oj</w:t>
        </w:r>
      </w:hyperlink>
      <w:hyperlink r:id="rId3" w:tgtFrame="http://data.europa.eu/eli/reg/2021/1529/oj." w:history="1">
        <w:r w:rsidRPr="0090180A">
          <w:rPr>
            <w:rStyle w:val="Hyperlink"/>
            <w:sz w:val="24"/>
            <w:lang w:val="ro-RO"/>
          </w:rPr>
          <w:t>.</w:t>
        </w:r>
      </w:hyperlink>
    </w:p>
  </w:footnote>
  <w:footnote w:id="4">
    <w:p w14:paraId="07EAF66C" w14:textId="417E96F9" w:rsidR="00AD03E0" w:rsidRPr="0090180A" w:rsidRDefault="00AD03E0" w:rsidP="0090180A">
      <w:pPr>
        <w:pStyle w:val="FootnoteText"/>
        <w:ind w:left="567" w:hanging="567"/>
        <w:rPr>
          <w:sz w:val="24"/>
          <w:lang w:val="ro-RO"/>
        </w:rPr>
      </w:pPr>
      <w:r w:rsidRPr="0090180A">
        <w:rPr>
          <w:rStyle w:val="FootnoteReference"/>
          <w:sz w:val="24"/>
          <w:lang w:val="ro-RO"/>
        </w:rPr>
        <w:footnoteRef/>
      </w:r>
      <w:r w:rsidR="0090180A" w:rsidRPr="0090180A">
        <w:rPr>
          <w:sz w:val="24"/>
          <w:lang w:val="ro-RO"/>
        </w:rPr>
        <w:t xml:space="preserve"> </w:t>
      </w:r>
      <w:r w:rsidR="0090180A" w:rsidRPr="0090180A">
        <w:rPr>
          <w:sz w:val="24"/>
          <w:lang w:val="ro-RO"/>
        </w:rPr>
        <w:tab/>
      </w:r>
      <w:r w:rsidRPr="0090180A">
        <w:rPr>
          <w:sz w:val="24"/>
          <w:lang w:val="ro-RO"/>
        </w:rPr>
        <w:t xml:space="preserve">JO L 201, 3.8.2010, ELI: </w:t>
      </w:r>
      <w:hyperlink r:id="rId4" w:tgtFrame="http://data.europa.eu/eli/dec/2010/427/oj" w:history="1">
        <w:r w:rsidRPr="0090180A">
          <w:rPr>
            <w:rStyle w:val="Hyperlink"/>
            <w:sz w:val="24"/>
            <w:lang w:val="ro-RO"/>
          </w:rPr>
          <w:t>http://data.europa.eu/eli/dec/2010/427/oj.</w:t>
        </w:r>
      </w:hyperlink>
    </w:p>
  </w:footnote>
  <w:footnote w:id="5">
    <w:p w14:paraId="5BFC3039" w14:textId="38BDC825" w:rsidR="00AD03E0" w:rsidRPr="0090180A" w:rsidRDefault="00AD03E0" w:rsidP="0090180A">
      <w:pPr>
        <w:pStyle w:val="FootnoteText"/>
        <w:ind w:left="567" w:hanging="567"/>
        <w:rPr>
          <w:sz w:val="24"/>
          <w:lang w:val="ro-RO"/>
        </w:rPr>
      </w:pPr>
      <w:r w:rsidRPr="0090180A">
        <w:rPr>
          <w:rStyle w:val="FootnoteReference"/>
          <w:sz w:val="24"/>
          <w:lang w:val="ro-RO"/>
        </w:rPr>
        <w:footnoteRef/>
      </w:r>
      <w:r w:rsidR="0090180A" w:rsidRPr="0090180A">
        <w:rPr>
          <w:sz w:val="24"/>
          <w:lang w:val="ro-RO"/>
        </w:rPr>
        <w:t xml:space="preserve"> </w:t>
      </w:r>
      <w:r w:rsidR="0090180A" w:rsidRPr="0090180A">
        <w:rPr>
          <w:sz w:val="24"/>
          <w:lang w:val="ro-RO"/>
        </w:rPr>
        <w:tab/>
      </w:r>
      <w:r w:rsidRPr="0090180A">
        <w:rPr>
          <w:sz w:val="24"/>
          <w:lang w:val="ro-RO"/>
        </w:rPr>
        <w:t>JO C 456, 10.11.2021, p. 117.</w:t>
      </w:r>
    </w:p>
  </w:footnote>
  <w:footnote w:id="6">
    <w:p w14:paraId="74D2F43D" w14:textId="0D7F940E" w:rsidR="00AD03E0" w:rsidRPr="0090180A" w:rsidRDefault="00AD03E0" w:rsidP="0090180A">
      <w:pPr>
        <w:pStyle w:val="FootnoteText"/>
        <w:ind w:left="567" w:hanging="567"/>
        <w:rPr>
          <w:sz w:val="24"/>
          <w:lang w:val="ro-RO"/>
        </w:rPr>
      </w:pPr>
      <w:r w:rsidRPr="0090180A">
        <w:rPr>
          <w:rStyle w:val="FootnoteReference"/>
          <w:sz w:val="24"/>
          <w:lang w:val="ro-RO"/>
        </w:rPr>
        <w:footnoteRef/>
      </w:r>
      <w:r w:rsidR="0090180A" w:rsidRPr="0090180A">
        <w:rPr>
          <w:sz w:val="24"/>
          <w:lang w:val="ro-RO"/>
        </w:rPr>
        <w:t xml:space="preserve"> </w:t>
      </w:r>
      <w:r w:rsidR="0090180A" w:rsidRPr="0090180A">
        <w:rPr>
          <w:sz w:val="24"/>
          <w:lang w:val="ro-RO"/>
        </w:rPr>
        <w:tab/>
      </w:r>
      <w:r w:rsidRPr="0090180A">
        <w:rPr>
          <w:sz w:val="24"/>
          <w:lang w:val="ro-RO"/>
        </w:rPr>
        <w:t>JO C 167, 11.5.2023, p. 57.</w:t>
      </w:r>
    </w:p>
  </w:footnote>
  <w:footnote w:id="7">
    <w:p w14:paraId="5BF0B9D3" w14:textId="59339F39" w:rsidR="00AD03E0" w:rsidRPr="0090180A" w:rsidRDefault="00AD03E0" w:rsidP="0090180A">
      <w:pPr>
        <w:pStyle w:val="FootnoteText"/>
        <w:ind w:left="567" w:hanging="567"/>
        <w:rPr>
          <w:sz w:val="24"/>
          <w:lang w:val="ro-RO"/>
        </w:rPr>
      </w:pPr>
      <w:r w:rsidRPr="0090180A">
        <w:rPr>
          <w:rStyle w:val="FootnoteReference"/>
          <w:sz w:val="24"/>
          <w:lang w:val="ro-RO"/>
        </w:rPr>
        <w:footnoteRef/>
      </w:r>
      <w:r w:rsidR="0090180A" w:rsidRPr="0090180A">
        <w:rPr>
          <w:sz w:val="24"/>
          <w:lang w:val="ro-RO"/>
        </w:rPr>
        <w:t xml:space="preserve"> </w:t>
      </w:r>
      <w:r w:rsidR="0090180A" w:rsidRPr="0090180A">
        <w:rPr>
          <w:sz w:val="24"/>
          <w:lang w:val="ro-RO"/>
        </w:rPr>
        <w:tab/>
      </w:r>
      <w:r w:rsidRPr="0090180A">
        <w:rPr>
          <w:sz w:val="24"/>
          <w:lang w:val="ro-RO"/>
        </w:rPr>
        <w:t xml:space="preserve">JO C, C/2024/4163, 2.8.2024, ELI: </w:t>
      </w:r>
      <w:hyperlink r:id="rId5" w:tgtFrame="http://data.europa.eu/eli/C/2024/4163/oj" w:history="1">
        <w:r w:rsidRPr="0090180A">
          <w:rPr>
            <w:rStyle w:val="Hyperlink"/>
            <w:sz w:val="24"/>
            <w:lang w:val="ro-RO"/>
          </w:rPr>
          <w:t>http://data.europa.eu/eli/C/2024/4163/oj</w:t>
        </w:r>
      </w:hyperlink>
      <w:r w:rsidRPr="0090180A">
        <w:rPr>
          <w:sz w:val="24"/>
          <w:lang w:val="ro-RO"/>
        </w:rPr>
        <w:t>.</w:t>
      </w:r>
    </w:p>
  </w:footnote>
  <w:footnote w:id="8">
    <w:p w14:paraId="3D15C29F" w14:textId="662871D7" w:rsidR="00AD03E0" w:rsidRPr="0090180A" w:rsidRDefault="00AD03E0" w:rsidP="0090180A">
      <w:pPr>
        <w:pStyle w:val="FootnoteText"/>
        <w:ind w:left="567" w:hanging="567"/>
        <w:rPr>
          <w:sz w:val="24"/>
          <w:lang w:val="ro-RO"/>
        </w:rPr>
      </w:pPr>
      <w:r w:rsidRPr="0090180A">
        <w:rPr>
          <w:rStyle w:val="FootnoteReference"/>
          <w:sz w:val="24"/>
          <w:lang w:val="ro-RO"/>
        </w:rPr>
        <w:footnoteRef/>
      </w:r>
      <w:r w:rsidR="0090180A" w:rsidRPr="0090180A">
        <w:rPr>
          <w:sz w:val="24"/>
          <w:lang w:val="ro-RO"/>
        </w:rPr>
        <w:t xml:space="preserve"> </w:t>
      </w:r>
      <w:r w:rsidR="0090180A" w:rsidRPr="0090180A">
        <w:rPr>
          <w:sz w:val="24"/>
          <w:lang w:val="ro-RO"/>
        </w:rPr>
        <w:tab/>
      </w:r>
      <w:r w:rsidRPr="0090180A">
        <w:rPr>
          <w:sz w:val="24"/>
          <w:lang w:val="ro-RO"/>
        </w:rPr>
        <w:t xml:space="preserve">JO C, C/2024/5719, 17.10.2024, ELI: </w:t>
      </w:r>
      <w:hyperlink r:id="rId6" w:tgtFrame="http://data.europa.eu/eli/C/2024/5719/oj" w:history="1">
        <w:r w:rsidRPr="0090180A">
          <w:rPr>
            <w:rStyle w:val="Hyperlink"/>
            <w:sz w:val="24"/>
            <w:lang w:val="ro-RO"/>
          </w:rPr>
          <w:t>http://data.europa.eu/eli/C/2024/5719/oj</w:t>
        </w:r>
      </w:hyperlink>
      <w:r w:rsidRPr="0090180A">
        <w:rPr>
          <w:sz w:val="24"/>
          <w:lang w:val="ro-RO"/>
        </w:rPr>
        <w:t>.</w:t>
      </w:r>
    </w:p>
  </w:footnote>
  <w:footnote w:id="9">
    <w:p w14:paraId="06D827FB" w14:textId="0CC52A42" w:rsidR="00AD03E0" w:rsidRPr="0090180A" w:rsidRDefault="00AD03E0" w:rsidP="0090180A">
      <w:pPr>
        <w:pStyle w:val="FootnoteText"/>
        <w:ind w:left="567" w:hanging="567"/>
        <w:rPr>
          <w:sz w:val="24"/>
          <w:lang w:val="ro-RO"/>
        </w:rPr>
      </w:pPr>
      <w:r w:rsidRPr="0090180A">
        <w:rPr>
          <w:rStyle w:val="FootnoteReference"/>
          <w:sz w:val="24"/>
          <w:lang w:val="ro-RO"/>
        </w:rPr>
        <w:footnoteRef/>
      </w:r>
      <w:r w:rsidR="0090180A" w:rsidRPr="0090180A">
        <w:rPr>
          <w:sz w:val="24"/>
          <w:lang w:val="ro-RO"/>
        </w:rPr>
        <w:t xml:space="preserve"> </w:t>
      </w:r>
      <w:r w:rsidR="0090180A" w:rsidRPr="0090180A">
        <w:rPr>
          <w:sz w:val="24"/>
          <w:lang w:val="ro-RO"/>
        </w:rPr>
        <w:tab/>
      </w:r>
      <w:r w:rsidRPr="0090180A">
        <w:rPr>
          <w:sz w:val="24"/>
          <w:lang w:val="ro-RO"/>
        </w:rPr>
        <w:t xml:space="preserve">JO C, C/2024/5716, 17.10.2024, ELI: </w:t>
      </w:r>
      <w:hyperlink r:id="rId7" w:tgtFrame="http://data.europa.eu/eli/C/2024/5716/oj" w:history="1">
        <w:r w:rsidRPr="0090180A">
          <w:rPr>
            <w:rStyle w:val="Hyperlink"/>
            <w:sz w:val="24"/>
            <w:lang w:val="ro-RO"/>
          </w:rPr>
          <w:t>http://data.europa.eu/eli/C/2024/5716/oj</w:t>
        </w:r>
      </w:hyperlink>
      <w:r w:rsidRPr="0090180A">
        <w:rPr>
          <w:sz w:val="24"/>
          <w:lang w:val="ro-RO"/>
        </w:rPr>
        <w:t>.</w:t>
      </w:r>
    </w:p>
  </w:footnote>
  <w:footnote w:id="10">
    <w:p w14:paraId="2D826FF9" w14:textId="3CF6E17F" w:rsidR="00AD03E0" w:rsidRPr="0090180A" w:rsidRDefault="00AD03E0" w:rsidP="0090180A">
      <w:pPr>
        <w:pStyle w:val="FootnoteText"/>
        <w:ind w:left="567" w:hanging="567"/>
        <w:rPr>
          <w:sz w:val="24"/>
          <w:lang w:val="ro-RO"/>
        </w:rPr>
      </w:pPr>
      <w:r w:rsidRPr="0090180A">
        <w:rPr>
          <w:rStyle w:val="FootnoteReference"/>
          <w:sz w:val="24"/>
          <w:lang w:val="ro-RO"/>
        </w:rPr>
        <w:footnoteRef/>
      </w:r>
      <w:r w:rsidR="0090180A" w:rsidRPr="0090180A">
        <w:rPr>
          <w:sz w:val="24"/>
          <w:lang w:val="ro-RO"/>
        </w:rPr>
        <w:t xml:space="preserve"> </w:t>
      </w:r>
      <w:r w:rsidR="0090180A" w:rsidRPr="0090180A">
        <w:rPr>
          <w:sz w:val="24"/>
          <w:lang w:val="ro-RO"/>
        </w:rPr>
        <w:tab/>
      </w:r>
      <w:r w:rsidRPr="0090180A">
        <w:rPr>
          <w:sz w:val="24"/>
          <w:lang w:val="ro-RO"/>
        </w:rPr>
        <w:t xml:space="preserve">JO C, C/2025/4388, 9.9.2025, ELI: </w:t>
      </w:r>
      <w:hyperlink r:id="rId8" w:tgtFrame="http://data.europa.eu/eli/C/2025/4388/oj" w:history="1">
        <w:r w:rsidRPr="0090180A">
          <w:rPr>
            <w:rStyle w:val="Hyperlink"/>
            <w:sz w:val="24"/>
            <w:lang w:val="ro-RO"/>
          </w:rPr>
          <w:t>http://data.europa.eu/eli/C/2025/4388/oj</w:t>
        </w:r>
      </w:hyperlink>
      <w:r w:rsidRPr="0090180A">
        <w:rPr>
          <w:sz w:val="24"/>
          <w:lang w:val="ro-RO"/>
        </w:rPr>
        <w:t>.</w:t>
      </w:r>
    </w:p>
  </w:footnote>
  <w:footnote w:id="11">
    <w:p w14:paraId="000E683F" w14:textId="34096F83" w:rsidR="00AD03E0" w:rsidRPr="0090180A" w:rsidRDefault="00AD03E0" w:rsidP="0090180A">
      <w:pPr>
        <w:pStyle w:val="FootnoteText"/>
        <w:ind w:left="567" w:hanging="567"/>
        <w:rPr>
          <w:sz w:val="24"/>
          <w:lang w:val="ro-RO"/>
        </w:rPr>
      </w:pPr>
      <w:r w:rsidRPr="0090180A">
        <w:rPr>
          <w:rStyle w:val="FootnoteReference"/>
          <w:sz w:val="24"/>
          <w:lang w:val="ro-RO"/>
        </w:rPr>
        <w:footnoteRef/>
      </w:r>
      <w:r w:rsidR="0090180A" w:rsidRPr="0090180A">
        <w:rPr>
          <w:sz w:val="24"/>
          <w:lang w:val="ro-RO"/>
        </w:rPr>
        <w:t xml:space="preserve"> </w:t>
      </w:r>
      <w:r w:rsidR="0090180A" w:rsidRPr="0090180A">
        <w:rPr>
          <w:sz w:val="24"/>
          <w:lang w:val="ro-RO"/>
        </w:rPr>
        <w:tab/>
      </w:r>
      <w:r w:rsidRPr="0090180A">
        <w:rPr>
          <w:sz w:val="24"/>
          <w:lang w:val="ro-RO"/>
        </w:rPr>
        <w:t xml:space="preserve">JO C, C/2025/4390, 9.9.2025, ELI: </w:t>
      </w:r>
      <w:hyperlink r:id="rId9" w:tgtFrame="http://data.europa.eu/eli/C/2025/4390/oj" w:history="1">
        <w:r w:rsidRPr="0090180A">
          <w:rPr>
            <w:rStyle w:val="Hyperlink"/>
            <w:sz w:val="24"/>
            <w:lang w:val="ro-RO"/>
          </w:rPr>
          <w:t>http://data.europa.eu/eli/C/2025/4390/oj</w:t>
        </w:r>
      </w:hyperlink>
      <w:r w:rsidRPr="0090180A">
        <w:rPr>
          <w:sz w:val="24"/>
          <w:lang w:val="ro-RO"/>
        </w:rPr>
        <w:t>.</w:t>
      </w:r>
    </w:p>
  </w:footnote>
  <w:footnote w:id="12">
    <w:p w14:paraId="43C1E29F" w14:textId="6898E562" w:rsidR="00AD03E0" w:rsidRPr="0090180A" w:rsidRDefault="00AD03E0" w:rsidP="0090180A">
      <w:pPr>
        <w:pStyle w:val="FootnoteText"/>
        <w:ind w:left="567" w:hanging="567"/>
        <w:rPr>
          <w:sz w:val="24"/>
          <w:lang w:val="ro-RO"/>
        </w:rPr>
      </w:pPr>
      <w:r w:rsidRPr="0090180A">
        <w:rPr>
          <w:rStyle w:val="FootnoteReference"/>
          <w:sz w:val="24"/>
          <w:lang w:val="ro-RO"/>
        </w:rPr>
        <w:footnoteRef/>
      </w:r>
      <w:r w:rsidR="0090180A" w:rsidRPr="0090180A">
        <w:rPr>
          <w:sz w:val="24"/>
          <w:lang w:val="ro-RO"/>
        </w:rPr>
        <w:t xml:space="preserve"> </w:t>
      </w:r>
      <w:r w:rsidR="0090180A" w:rsidRPr="0090180A">
        <w:rPr>
          <w:sz w:val="24"/>
          <w:lang w:val="ro-RO"/>
        </w:rPr>
        <w:tab/>
      </w:r>
      <w:r w:rsidRPr="0090180A">
        <w:rPr>
          <w:sz w:val="24"/>
          <w:lang w:val="ro-RO"/>
        </w:rPr>
        <w:t xml:space="preserve">JO C, C/2026/574, 24.2.2026, ELI: </w:t>
      </w:r>
      <w:hyperlink r:id="rId10" w:history="1">
        <w:r w:rsidRPr="0090180A">
          <w:rPr>
            <w:rStyle w:val="Hyperlink"/>
            <w:sz w:val="24"/>
            <w:lang w:val="ro-RO"/>
          </w:rPr>
          <w:t>http://data.europa.eu/eli/C/2026/574/oj</w:t>
        </w:r>
      </w:hyperlink>
      <w:r w:rsidRPr="0090180A">
        <w:rPr>
          <w:sz w:val="24"/>
          <w:lang w:val="ro-RO"/>
        </w:rPr>
        <w:t>.</w:t>
      </w:r>
    </w:p>
  </w:footnote>
  <w:footnote w:id="13">
    <w:p w14:paraId="001FCE46" w14:textId="6C766ED3" w:rsidR="00AD03E0" w:rsidRPr="0090180A" w:rsidRDefault="00AD03E0" w:rsidP="0090180A">
      <w:pPr>
        <w:pStyle w:val="FootnoteText"/>
        <w:ind w:left="567" w:hanging="567"/>
        <w:rPr>
          <w:sz w:val="24"/>
          <w:lang w:val="ro-RO"/>
        </w:rPr>
      </w:pPr>
      <w:r w:rsidRPr="0090180A">
        <w:rPr>
          <w:rStyle w:val="FootnoteReference"/>
          <w:sz w:val="24"/>
          <w:lang w:val="ro-RO"/>
        </w:rPr>
        <w:footnoteRef/>
      </w:r>
      <w:r w:rsidR="0090180A" w:rsidRPr="0090180A">
        <w:rPr>
          <w:sz w:val="24"/>
          <w:lang w:val="ro-RO"/>
        </w:rPr>
        <w:t xml:space="preserve"> </w:t>
      </w:r>
      <w:r w:rsidR="0090180A" w:rsidRPr="0090180A">
        <w:rPr>
          <w:sz w:val="24"/>
          <w:lang w:val="ro-RO"/>
        </w:rPr>
        <w:tab/>
      </w:r>
      <w:r w:rsidRPr="0090180A">
        <w:rPr>
          <w:sz w:val="24"/>
          <w:lang w:val="ro-RO"/>
        </w:rPr>
        <w:t xml:space="preserve">Texte adoptate, </w:t>
      </w:r>
      <w:hyperlink r:id="rId11" w:anchor="title1_1" w:tgtFrame="https://www.europarl.europa.eu/doceo/document/TA-10-2025-05-07_EN.html#title1_1" w:history="1">
        <w:r w:rsidRPr="0090180A">
          <w:rPr>
            <w:rStyle w:val="Hyperlink"/>
            <w:sz w:val="24"/>
            <w:lang w:val="ro-RO"/>
          </w:rPr>
          <w:t>P10_TA(2025)0077</w:t>
        </w:r>
      </w:hyperlink>
      <w:r w:rsidRPr="0090180A">
        <w:rPr>
          <w:sz w:val="24"/>
          <w:lang w:val="ro-RO"/>
        </w:rPr>
        <w:t>.</w:t>
      </w:r>
    </w:p>
  </w:footnote>
  <w:footnote w:id="14">
    <w:p w14:paraId="5F3912BE" w14:textId="41B0A269" w:rsidR="00AD03E0" w:rsidRPr="0090180A" w:rsidRDefault="00AD03E0" w:rsidP="0090180A">
      <w:pPr>
        <w:pStyle w:val="FootnoteText"/>
        <w:ind w:left="567" w:hanging="567"/>
        <w:rPr>
          <w:sz w:val="24"/>
          <w:lang w:val="ro-RO"/>
        </w:rPr>
      </w:pPr>
      <w:r w:rsidRPr="0090180A">
        <w:rPr>
          <w:rStyle w:val="FootnoteReference"/>
          <w:sz w:val="24"/>
          <w:lang w:val="ro-RO"/>
        </w:rPr>
        <w:footnoteRef/>
      </w:r>
      <w:r w:rsidR="0090180A" w:rsidRPr="0090180A">
        <w:rPr>
          <w:sz w:val="24"/>
          <w:lang w:val="ro-RO"/>
        </w:rPr>
        <w:t xml:space="preserve"> </w:t>
      </w:r>
      <w:r w:rsidR="0090180A" w:rsidRPr="0090180A">
        <w:rPr>
          <w:sz w:val="24"/>
          <w:lang w:val="ro-RO"/>
        </w:rPr>
        <w:tab/>
      </w:r>
      <w:r w:rsidRPr="0090180A">
        <w:rPr>
          <w:sz w:val="24"/>
          <w:lang w:val="ro-RO"/>
        </w:rPr>
        <w:t xml:space="preserve">Texte adoptate, </w:t>
      </w:r>
      <w:hyperlink r:id="rId12" w:tgtFrame="https://www.europarl.europa.eu/doceo/document/TA-10-2025-0159_EN.html" w:history="1">
        <w:r w:rsidRPr="0090180A">
          <w:rPr>
            <w:rStyle w:val="Hyperlink"/>
            <w:sz w:val="24"/>
            <w:lang w:val="ro-RO"/>
          </w:rPr>
          <w:t>P10_TA(2025)0159</w:t>
        </w:r>
      </w:hyperlink>
      <w:r w:rsidRPr="0090180A">
        <w:rPr>
          <w:sz w:val="24"/>
          <w:lang w:val="ro-RO"/>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6814933">
    <w:abstractNumId w:val="9"/>
  </w:num>
  <w:num w:numId="2" w16cid:durableId="1971587106">
    <w:abstractNumId w:val="9"/>
  </w:num>
  <w:num w:numId="3" w16cid:durableId="35812190">
    <w:abstractNumId w:val="7"/>
  </w:num>
  <w:num w:numId="4" w16cid:durableId="1369329746">
    <w:abstractNumId w:val="7"/>
  </w:num>
  <w:num w:numId="5" w16cid:durableId="77334056">
    <w:abstractNumId w:val="6"/>
  </w:num>
  <w:num w:numId="6" w16cid:durableId="788477129">
    <w:abstractNumId w:val="6"/>
  </w:num>
  <w:num w:numId="7" w16cid:durableId="1869835850">
    <w:abstractNumId w:val="5"/>
  </w:num>
  <w:num w:numId="8" w16cid:durableId="1048341041">
    <w:abstractNumId w:val="5"/>
  </w:num>
  <w:num w:numId="9" w16cid:durableId="399595644">
    <w:abstractNumId w:val="4"/>
  </w:num>
  <w:num w:numId="10" w16cid:durableId="955215383">
    <w:abstractNumId w:val="4"/>
  </w:num>
  <w:num w:numId="11" w16cid:durableId="1789398280">
    <w:abstractNumId w:val="8"/>
  </w:num>
  <w:num w:numId="12" w16cid:durableId="1999650676">
    <w:abstractNumId w:val="8"/>
  </w:num>
  <w:num w:numId="13" w16cid:durableId="880363722">
    <w:abstractNumId w:val="3"/>
  </w:num>
  <w:num w:numId="14" w16cid:durableId="1501963510">
    <w:abstractNumId w:val="3"/>
  </w:num>
  <w:num w:numId="15" w16cid:durableId="1711681495">
    <w:abstractNumId w:val="2"/>
  </w:num>
  <w:num w:numId="16" w16cid:durableId="295335206">
    <w:abstractNumId w:val="2"/>
  </w:num>
  <w:num w:numId="17" w16cid:durableId="1031685896">
    <w:abstractNumId w:val="1"/>
  </w:num>
  <w:num w:numId="18" w16cid:durableId="29455607">
    <w:abstractNumId w:val="1"/>
  </w:num>
  <w:num w:numId="19" w16cid:durableId="963997317">
    <w:abstractNumId w:val="0"/>
  </w:num>
  <w:num w:numId="20" w16cid:durableId="1207914661">
    <w:abstractNumId w:val="0"/>
  </w:num>
  <w:num w:numId="21" w16cid:durableId="954602251">
    <w:abstractNumId w:val="9"/>
  </w:num>
  <w:num w:numId="22" w16cid:durableId="1324821075">
    <w:abstractNumId w:val="7"/>
  </w:num>
  <w:num w:numId="23" w16cid:durableId="1738163597">
    <w:abstractNumId w:val="6"/>
  </w:num>
  <w:num w:numId="24" w16cid:durableId="1186671188">
    <w:abstractNumId w:val="5"/>
  </w:num>
  <w:num w:numId="25" w16cid:durableId="822311160">
    <w:abstractNumId w:val="4"/>
  </w:num>
  <w:num w:numId="26" w16cid:durableId="1184517661">
    <w:abstractNumId w:val="8"/>
  </w:num>
  <w:num w:numId="27" w16cid:durableId="478815103">
    <w:abstractNumId w:val="3"/>
  </w:num>
  <w:num w:numId="28" w16cid:durableId="1888764095">
    <w:abstractNumId w:val="2"/>
  </w:num>
  <w:num w:numId="29" w16cid:durableId="258803230">
    <w:abstractNumId w:val="1"/>
  </w:num>
  <w:num w:numId="30" w16cid:durableId="1533962111">
    <w:abstractNumId w:val="0"/>
  </w:num>
  <w:num w:numId="31" w16cid:durableId="465657510">
    <w:abstractNumId w:val="9"/>
  </w:num>
  <w:num w:numId="32" w16cid:durableId="2046247971">
    <w:abstractNumId w:val="7"/>
  </w:num>
  <w:num w:numId="33" w16cid:durableId="1750037723">
    <w:abstractNumId w:val="6"/>
  </w:num>
  <w:num w:numId="34" w16cid:durableId="297036232">
    <w:abstractNumId w:val="5"/>
  </w:num>
  <w:num w:numId="35" w16cid:durableId="2062359599">
    <w:abstractNumId w:val="4"/>
  </w:num>
  <w:num w:numId="36" w16cid:durableId="1782995215">
    <w:abstractNumId w:val="8"/>
  </w:num>
  <w:num w:numId="37" w16cid:durableId="261301964">
    <w:abstractNumId w:val="3"/>
  </w:num>
  <w:num w:numId="38" w16cid:durableId="1043674511">
    <w:abstractNumId w:val="2"/>
  </w:num>
  <w:num w:numId="39" w16cid:durableId="433791467">
    <w:abstractNumId w:val="1"/>
  </w:num>
  <w:num w:numId="40" w16cid:durableId="117990278">
    <w:abstractNumId w:val="0"/>
  </w:num>
  <w:num w:numId="41" w16cid:durableId="1569025827">
    <w:abstractNumId w:val="10"/>
  </w:num>
  <w:num w:numId="42" w16cid:durableId="681443427">
    <w:abstractNumId w:val="10"/>
  </w:num>
  <w:num w:numId="43" w16cid:durableId="1612204246">
    <w:abstractNumId w:val="10"/>
  </w:num>
  <w:num w:numId="44" w16cid:durableId="9174485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45/2026"/>
    <w:docVar w:name="dvlangue" w:val="RO"/>
    <w:docVar w:name="dvnumam" w:val="0"/>
    <w:docVar w:name="dvpe" w:val="776.922"/>
    <w:docVar w:name="dvrapporteur" w:val="Raportoare: "/>
    <w:docVar w:name="dvtitre" w:val="Rezoluția Parlamentului European din 26 martie 2026 referitor la Global Gateway – efecte în trecut și orientarea în viitor(2025/2073(INI))"/>
  </w:docVars>
  <w:rsids>
    <w:rsidRoot w:val="000D5AAD"/>
    <w:rsid w:val="00002272"/>
    <w:rsid w:val="00064002"/>
    <w:rsid w:val="000677B9"/>
    <w:rsid w:val="000748EC"/>
    <w:rsid w:val="000831BA"/>
    <w:rsid w:val="000A42CC"/>
    <w:rsid w:val="000D5AAD"/>
    <w:rsid w:val="000E7DD9"/>
    <w:rsid w:val="0010095E"/>
    <w:rsid w:val="00125B37"/>
    <w:rsid w:val="00187494"/>
    <w:rsid w:val="001F32AE"/>
    <w:rsid w:val="002767FF"/>
    <w:rsid w:val="002B18FE"/>
    <w:rsid w:val="002B5493"/>
    <w:rsid w:val="00343214"/>
    <w:rsid w:val="003517FB"/>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A0174"/>
    <w:rsid w:val="005A334D"/>
    <w:rsid w:val="005C2568"/>
    <w:rsid w:val="005F1B17"/>
    <w:rsid w:val="006037C0"/>
    <w:rsid w:val="00607CF6"/>
    <w:rsid w:val="006631B6"/>
    <w:rsid w:val="00680577"/>
    <w:rsid w:val="006F74FA"/>
    <w:rsid w:val="00702EA7"/>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A665B"/>
    <w:rsid w:val="008C2AC6"/>
    <w:rsid w:val="0090180A"/>
    <w:rsid w:val="00930C23"/>
    <w:rsid w:val="0093193B"/>
    <w:rsid w:val="009509D8"/>
    <w:rsid w:val="00950B64"/>
    <w:rsid w:val="00981893"/>
    <w:rsid w:val="00A1687D"/>
    <w:rsid w:val="00A43E52"/>
    <w:rsid w:val="00A4678D"/>
    <w:rsid w:val="00A778C7"/>
    <w:rsid w:val="00AB441E"/>
    <w:rsid w:val="00AB6293"/>
    <w:rsid w:val="00AD03E0"/>
    <w:rsid w:val="00AE0928"/>
    <w:rsid w:val="00AF3B82"/>
    <w:rsid w:val="00B12E95"/>
    <w:rsid w:val="00B22876"/>
    <w:rsid w:val="00B558F0"/>
    <w:rsid w:val="00B612F0"/>
    <w:rsid w:val="00BD48FE"/>
    <w:rsid w:val="00BD7BD8"/>
    <w:rsid w:val="00BE039E"/>
    <w:rsid w:val="00BE6ADC"/>
    <w:rsid w:val="00C05BFE"/>
    <w:rsid w:val="00C23CD4"/>
    <w:rsid w:val="00C61C0C"/>
    <w:rsid w:val="00C941CB"/>
    <w:rsid w:val="00CC2357"/>
    <w:rsid w:val="00CF071A"/>
    <w:rsid w:val="00D058B8"/>
    <w:rsid w:val="00D56C11"/>
    <w:rsid w:val="00D67702"/>
    <w:rsid w:val="00D834A0"/>
    <w:rsid w:val="00D872DF"/>
    <w:rsid w:val="00D91E21"/>
    <w:rsid w:val="00DA7FCD"/>
    <w:rsid w:val="00DB2300"/>
    <w:rsid w:val="00E365E1"/>
    <w:rsid w:val="00E820A4"/>
    <w:rsid w:val="00EB006A"/>
    <w:rsid w:val="00EB4772"/>
    <w:rsid w:val="00ED169E"/>
    <w:rsid w:val="00ED4235"/>
    <w:rsid w:val="00F04346"/>
    <w:rsid w:val="00F075DC"/>
    <w:rsid w:val="00F149E9"/>
    <w:rsid w:val="00F5134D"/>
    <w:rsid w:val="00F61475"/>
    <w:rsid w:val="00F74202"/>
    <w:rsid w:val="00F87713"/>
    <w:rsid w:val="00FB4360"/>
    <w:rsid w:val="00FD0C70"/>
    <w:rsid w:val="00FD4A41"/>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D9D6EF"/>
  <w15:chartTrackingRefBased/>
  <w15:docId w15:val="{7324F3F5-208C-40B1-A6FD-24B4EA34CE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AD03E0"/>
    <w:pPr>
      <w:widowControl/>
      <w:spacing w:after="240"/>
    </w:pPr>
    <w:rPr>
      <w:szCs w:val="24"/>
      <w:lang w:eastAsia="en-US"/>
    </w:rPr>
  </w:style>
  <w:style w:type="paragraph" w:customStyle="1" w:styleId="NormalHanging12a">
    <w:name w:val="NormalHanging12a"/>
    <w:basedOn w:val="Normal"/>
    <w:link w:val="NormalHanging12aChar"/>
    <w:rsid w:val="00AD03E0"/>
    <w:pPr>
      <w:widowControl/>
      <w:spacing w:after="240"/>
      <w:ind w:left="566" w:hanging="566"/>
    </w:pPr>
    <w:rPr>
      <w:szCs w:val="24"/>
      <w:lang w:eastAsia="en-US"/>
    </w:rPr>
  </w:style>
  <w:style w:type="paragraph" w:customStyle="1" w:styleId="Normal12">
    <w:name w:val="Normal12"/>
    <w:basedOn w:val="Normal"/>
    <w:rsid w:val="00AD03E0"/>
    <w:pPr>
      <w:widowControl/>
      <w:spacing w:after="240"/>
    </w:pPr>
    <w:rPr>
      <w:szCs w:val="24"/>
      <w:lang w:eastAsia="en-US"/>
    </w:rPr>
  </w:style>
  <w:style w:type="paragraph" w:customStyle="1" w:styleId="NormalHanging">
    <w:name w:val="NormalHanging"/>
    <w:basedOn w:val="Normal"/>
    <w:rsid w:val="00AD03E0"/>
    <w:pPr>
      <w:widowControl/>
      <w:spacing w:after="240"/>
      <w:ind w:left="566" w:hanging="566"/>
    </w:pPr>
    <w:rPr>
      <w:szCs w:val="24"/>
      <w:lang w:eastAsia="en-US"/>
    </w:rPr>
  </w:style>
  <w:style w:type="paragraph" w:customStyle="1" w:styleId="NormalCenter12a">
    <w:name w:val="NormalCenter12a"/>
    <w:basedOn w:val="Normal"/>
    <w:rsid w:val="00AD03E0"/>
    <w:pPr>
      <w:widowControl/>
      <w:spacing w:after="240"/>
      <w:jc w:val="center"/>
    </w:pPr>
    <w:rPr>
      <w:szCs w:val="24"/>
      <w:lang w:eastAsia="en-US"/>
    </w:rPr>
  </w:style>
  <w:style w:type="character" w:styleId="Hyperlink">
    <w:name w:val="Hyperlink"/>
    <w:basedOn w:val="DefaultParagraphFont"/>
    <w:rsid w:val="00AD03E0"/>
    <w:rPr>
      <w:color w:val="0000FF"/>
      <w:u w:val="single"/>
    </w:rPr>
  </w:style>
  <w:style w:type="character" w:customStyle="1" w:styleId="NormalHanging12aChar">
    <w:name w:val="NormalHanging12a Char"/>
    <w:basedOn w:val="DefaultParagraphFont"/>
    <w:link w:val="NormalHanging12a"/>
    <w:rsid w:val="00AD03E0"/>
    <w:rPr>
      <w:sz w:val="24"/>
      <w:szCs w:val="24"/>
      <w:lang w:val="ro-RO" w:eastAsia="en-US"/>
    </w:rPr>
  </w:style>
  <w:style w:type="paragraph" w:styleId="Revision">
    <w:name w:val="Revision"/>
    <w:hidden/>
    <w:uiPriority w:val="99"/>
    <w:semiHidden/>
    <w:rsid w:val="00F61475"/>
    <w:rPr>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4388/oj" TargetMode="External"/><Relationship Id="rId3" Type="http://schemas.openxmlformats.org/officeDocument/2006/relationships/hyperlink" Target="http://data.europa.eu/eli/reg/2021/1529/oj." TargetMode="External"/><Relationship Id="rId7" Type="http://schemas.openxmlformats.org/officeDocument/2006/relationships/hyperlink" Target="http://data.europa.eu/eli/C/2024/5716/oj" TargetMode="External"/><Relationship Id="rId12" Type="http://schemas.openxmlformats.org/officeDocument/2006/relationships/hyperlink" Target="https://www.europarl.europa.eu/doceo/document/TA-10-2025-0159_RO.html" TargetMode="External"/><Relationship Id="rId2" Type="http://schemas.openxmlformats.org/officeDocument/2006/relationships/hyperlink" Target="http://data.europa.eu/eli/reg/2021/1529/oj" TargetMode="External"/><Relationship Id="rId1" Type="http://schemas.openxmlformats.org/officeDocument/2006/relationships/hyperlink" Target="http://data.europa.eu/eli/reg/2021/947/oj" TargetMode="External"/><Relationship Id="rId6" Type="http://schemas.openxmlformats.org/officeDocument/2006/relationships/hyperlink" Target="http://data.europa.eu/eli/C/2024/5719/oj" TargetMode="External"/><Relationship Id="rId11" Type="http://schemas.openxmlformats.org/officeDocument/2006/relationships/hyperlink" Target="https://www.europarl.europa.eu/doceo/document/TA-10-2025-05-07_RO.html" TargetMode="External"/><Relationship Id="rId5" Type="http://schemas.openxmlformats.org/officeDocument/2006/relationships/hyperlink" Target="http://data.europa.eu/eli/C/2024/4163/oj" TargetMode="External"/><Relationship Id="rId10" Type="http://schemas.openxmlformats.org/officeDocument/2006/relationships/hyperlink" Target="http://data.europa.eu/eli/C/2026/574/oj" TargetMode="External"/><Relationship Id="rId4" Type="http://schemas.openxmlformats.org/officeDocument/2006/relationships/hyperlink" Target="http://data.europa.eu/eli/dec/2010/427/oj" TargetMode="External"/><Relationship Id="rId9" Type="http://schemas.openxmlformats.org/officeDocument/2006/relationships/hyperlink" Target="http://data.europa.eu/eli/C/2025/439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24</Pages>
  <Words>11320</Words>
  <Characters>69025</Characters>
  <Application>Microsoft Office Word</Application>
  <DocSecurity>0</DocSecurity>
  <Lines>575</Lines>
  <Paragraphs>160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80185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TEODORESCU-ILIE Camelia</dc:creator>
  <cp:keywords/>
  <cp:lastModifiedBy>GHERMAN Laura-Mirona</cp:lastModifiedBy>
  <cp:revision>2</cp:revision>
  <cp:lastPrinted>2004-11-19T15:42:00Z</cp:lastPrinted>
  <dcterms:created xsi:type="dcterms:W3CDTF">2026-03-26T14:03:00Z</dcterms:created>
  <dcterms:modified xsi:type="dcterms:W3CDTF">2026-03-26T14:03:00Z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A10-0045/2026</vt:lpwstr>
  </property>
  <property fmtid="{D5CDD505-2E9C-101B-9397-08002B2CF9AE}" pid="4" name="&lt;Type&gt;">
    <vt:lpwstr>RR</vt:lpwstr>
  </property>
</Properties>
</file>