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83CC9" w14:paraId="065646C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9B8FC42" w14:textId="77777777" w:rsidR="00751A4A" w:rsidRPr="00383CC9" w:rsidRDefault="008F10EC" w:rsidP="0010095E">
            <w:pPr>
              <w:pStyle w:val="EPName"/>
            </w:pPr>
            <w:r w:rsidRPr="00383CC9">
              <w:t>Európsky parlament</w:t>
            </w:r>
          </w:p>
          <w:p w14:paraId="48B26145" w14:textId="77777777" w:rsidR="00751A4A" w:rsidRPr="00383CC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83CC9">
              <w:t>2024</w:t>
            </w:r>
            <w:r w:rsidR="00817416" w:rsidRPr="00383CC9">
              <w:t>-202</w:t>
            </w:r>
            <w:r w:rsidRPr="00383CC9">
              <w:t>9</w:t>
            </w:r>
          </w:p>
        </w:tc>
        <w:tc>
          <w:tcPr>
            <w:tcW w:w="2268" w:type="dxa"/>
            <w:shd w:val="clear" w:color="auto" w:fill="auto"/>
          </w:tcPr>
          <w:p w14:paraId="7E4A601D" w14:textId="77777777" w:rsidR="00751A4A" w:rsidRPr="00383CC9" w:rsidRDefault="00187494" w:rsidP="0010095E">
            <w:pPr>
              <w:pStyle w:val="EPLogo"/>
            </w:pPr>
            <w:r w:rsidRPr="00383CC9">
              <w:rPr>
                <w:noProof/>
                <w:lang w:eastAsia="ja-JP"/>
              </w:rPr>
              <w:drawing>
                <wp:inline distT="0" distB="0" distL="0" distR="0" wp14:anchorId="276F4024" wp14:editId="71FC5AF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E5044C" w14:textId="77777777" w:rsidR="00D058B8" w:rsidRPr="00383CC9" w:rsidRDefault="00D058B8" w:rsidP="004C5D52">
      <w:pPr>
        <w:pStyle w:val="LineTop"/>
      </w:pPr>
    </w:p>
    <w:p w14:paraId="0AE2BB91" w14:textId="77777777" w:rsidR="00680577" w:rsidRPr="00383CC9" w:rsidRDefault="008F10EC" w:rsidP="00680577">
      <w:pPr>
        <w:pStyle w:val="EPBodyTA1"/>
      </w:pPr>
      <w:r w:rsidRPr="00383CC9">
        <w:t>PRIJATÉ TEXTY</w:t>
      </w:r>
    </w:p>
    <w:p w14:paraId="374268FE" w14:textId="77777777" w:rsidR="00D058B8" w:rsidRPr="00383CC9" w:rsidRDefault="00D058B8" w:rsidP="00D058B8">
      <w:pPr>
        <w:pStyle w:val="LineBottom"/>
      </w:pPr>
    </w:p>
    <w:p w14:paraId="09C29E69" w14:textId="5E19B7CF" w:rsidR="008F10EC" w:rsidRPr="00383CC9" w:rsidRDefault="008F10EC" w:rsidP="008F10EC">
      <w:pPr>
        <w:pStyle w:val="ATHeading1"/>
      </w:pPr>
      <w:bookmarkStart w:id="0" w:name="TANumber"/>
      <w:r w:rsidRPr="00383CC9">
        <w:t>P10_TA(2026)0</w:t>
      </w:r>
      <w:r w:rsidR="00B95DD7" w:rsidRPr="00383CC9">
        <w:t>10</w:t>
      </w:r>
      <w:r w:rsidR="001165B8" w:rsidRPr="00383CC9">
        <w:t>4</w:t>
      </w:r>
      <w:bookmarkEnd w:id="0"/>
    </w:p>
    <w:p w14:paraId="0A43D639" w14:textId="77777777" w:rsidR="008F10EC" w:rsidRPr="00383CC9" w:rsidRDefault="008F10EC" w:rsidP="008F10EC">
      <w:pPr>
        <w:pStyle w:val="ATHeading2"/>
      </w:pPr>
      <w:bookmarkStart w:id="1" w:name="title"/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– minulé vplyvy a budúca orientácia</w:t>
      </w:r>
      <w:bookmarkEnd w:id="1"/>
    </w:p>
    <w:p w14:paraId="677E0566" w14:textId="77777777" w:rsidR="008F10EC" w:rsidRPr="00383CC9" w:rsidRDefault="008F10EC" w:rsidP="008F10EC">
      <w:pPr>
        <w:rPr>
          <w:i/>
          <w:vanish/>
        </w:rPr>
      </w:pPr>
      <w:r w:rsidRPr="00383CC9">
        <w:rPr>
          <w:i/>
        </w:rPr>
        <w:fldChar w:fldCharType="begin"/>
      </w:r>
      <w:r w:rsidRPr="00383CC9">
        <w:rPr>
          <w:i/>
        </w:rPr>
        <w:instrText xml:space="preserve"> TC"(</w:instrText>
      </w:r>
      <w:bookmarkStart w:id="2" w:name="DocNumber"/>
      <w:r w:rsidRPr="00383CC9">
        <w:rPr>
          <w:i/>
        </w:rPr>
        <w:instrText>A10-0045/2026</w:instrText>
      </w:r>
      <w:bookmarkEnd w:id="2"/>
      <w:r w:rsidRPr="00383CC9">
        <w:rPr>
          <w:i/>
        </w:rPr>
        <w:instrText xml:space="preserve"> - Spravodajkyne: Chloé Ridel, Hildegard Bentele)"\l3 \n&gt; \* MERGEFORMAT </w:instrText>
      </w:r>
      <w:r w:rsidRPr="00383CC9">
        <w:rPr>
          <w:i/>
        </w:rPr>
        <w:fldChar w:fldCharType="end"/>
      </w:r>
    </w:p>
    <w:p w14:paraId="68A1F8D6" w14:textId="77777777" w:rsidR="008F10EC" w:rsidRPr="00383CC9" w:rsidRDefault="008F10EC" w:rsidP="008F10EC">
      <w:pPr>
        <w:rPr>
          <w:vanish/>
        </w:rPr>
      </w:pPr>
      <w:bookmarkStart w:id="3" w:name="Commission"/>
      <w:r w:rsidRPr="00383CC9">
        <w:rPr>
          <w:vanish/>
        </w:rPr>
        <w:t>Výbor pre zahraničné veci, Výbor pre rozvoj</w:t>
      </w:r>
      <w:bookmarkEnd w:id="3"/>
    </w:p>
    <w:p w14:paraId="28D42154" w14:textId="77777777" w:rsidR="008F10EC" w:rsidRPr="00383CC9" w:rsidRDefault="008F10EC" w:rsidP="008F10EC">
      <w:pPr>
        <w:rPr>
          <w:vanish/>
        </w:rPr>
      </w:pPr>
      <w:bookmarkStart w:id="4" w:name="PE"/>
      <w:r w:rsidRPr="00383CC9">
        <w:rPr>
          <w:vanish/>
        </w:rPr>
        <w:t>PE776.922</w:t>
      </w:r>
      <w:bookmarkEnd w:id="4"/>
    </w:p>
    <w:p w14:paraId="6D0F6975" w14:textId="4F7766EC" w:rsidR="008F10EC" w:rsidRPr="00383CC9" w:rsidRDefault="008F10EC" w:rsidP="002C7804">
      <w:pPr>
        <w:pStyle w:val="ATHeading3"/>
        <w:spacing w:after="240"/>
      </w:pPr>
      <w:bookmarkStart w:id="5" w:name="Sujet"/>
      <w:r w:rsidRPr="00383CC9">
        <w:t xml:space="preserve">Uznesenie Európskeho parlamentu z </w:t>
      </w:r>
      <w:r w:rsidR="00522F0E" w:rsidRPr="00383CC9">
        <w:t>26</w:t>
      </w:r>
      <w:r w:rsidRPr="00383CC9">
        <w:t xml:space="preserve">. </w:t>
      </w:r>
      <w:r w:rsidR="00522F0E" w:rsidRPr="00383CC9">
        <w:t xml:space="preserve">marca </w:t>
      </w:r>
      <w:r w:rsidRPr="00383CC9">
        <w:t xml:space="preserve">2026 o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– minulé vplyvy a budúca orientácia</w:t>
      </w:r>
      <w:bookmarkEnd w:id="5"/>
      <w:r w:rsidRPr="00383CC9">
        <w:t xml:space="preserve"> </w:t>
      </w:r>
      <w:bookmarkStart w:id="6" w:name="References"/>
      <w:r w:rsidRPr="00383CC9">
        <w:t>(2025/2073(INI))</w:t>
      </w:r>
      <w:bookmarkEnd w:id="6"/>
    </w:p>
    <w:p w14:paraId="33C215BB" w14:textId="77777777" w:rsidR="00145B96" w:rsidRPr="00383CC9" w:rsidRDefault="00145B96" w:rsidP="002C7804">
      <w:pPr>
        <w:pStyle w:val="Normal12"/>
        <w:spacing w:before="120"/>
      </w:pPr>
      <w:r w:rsidRPr="00383CC9">
        <w:rPr>
          <w:i/>
        </w:rPr>
        <w:t>Európsky parlament</w:t>
      </w:r>
      <w:r w:rsidRPr="00383CC9">
        <w:t>,</w:t>
      </w:r>
    </w:p>
    <w:p w14:paraId="37C86B32" w14:textId="77777777" w:rsidR="00145B96" w:rsidRPr="00383CC9" w:rsidRDefault="00145B96" w:rsidP="00145B96">
      <w:pPr>
        <w:pStyle w:val="NormalHanging12a"/>
        <w:rPr>
          <w:bCs/>
          <w:iCs/>
        </w:rPr>
      </w:pPr>
      <w:r w:rsidRPr="00383CC9">
        <w:t>–</w:t>
      </w:r>
      <w:r w:rsidRPr="00383CC9">
        <w:tab/>
        <w:t>so zreteľom na článok 21 Zmluvy o Európskej únii,</w:t>
      </w:r>
    </w:p>
    <w:p w14:paraId="1EC522DA" w14:textId="77777777" w:rsidR="00145B96" w:rsidRPr="00383CC9" w:rsidRDefault="00145B96" w:rsidP="00145B96">
      <w:pPr>
        <w:pStyle w:val="NormalHanging12a"/>
      </w:pPr>
      <w:r w:rsidRPr="00383CC9">
        <w:t>–</w:t>
      </w:r>
      <w:r w:rsidRPr="00383CC9">
        <w:tab/>
        <w:t>so zreteľom na Zmluvu o fungovaní Európskej únie (ďalej len „ZFEÚ“), najmä na jej články 208 a 322 ods. 1,</w:t>
      </w:r>
    </w:p>
    <w:p w14:paraId="0BD6B5D4" w14:textId="77777777" w:rsidR="00145B96" w:rsidRPr="00383CC9" w:rsidRDefault="00145B96" w:rsidP="00145B96">
      <w:pPr>
        <w:pStyle w:val="NormalHanging"/>
      </w:pPr>
      <w:r w:rsidRPr="00383CC9">
        <w:t>–</w:t>
      </w:r>
      <w:r w:rsidRPr="00383CC9">
        <w:tab/>
        <w:t>so zreteľom na spoločné vyhlásenie Rady a zástupcov vlád členských štátov zasadajúcich v Rade, Európskeho parlamentu a Komisie z 30. júna 2017 s názvom Nový Európsky konsenzus o rozvoji – Náš svet, naša dôstojnosť, naša budúcnosť</w:t>
      </w:r>
      <w:r w:rsidRPr="00383CC9">
        <w:rPr>
          <w:rStyle w:val="FootnoteReference"/>
        </w:rPr>
        <w:footnoteReference w:id="1"/>
      </w:r>
      <w:r w:rsidRPr="00383CC9">
        <w:t>,</w:t>
      </w:r>
    </w:p>
    <w:p w14:paraId="470A3512" w14:textId="77777777" w:rsidR="00145B96" w:rsidRPr="00383CC9" w:rsidRDefault="00145B96" w:rsidP="00145B96">
      <w:pPr>
        <w:pStyle w:val="NormalHanging12a"/>
        <w:rPr>
          <w:bCs/>
          <w:iCs/>
        </w:rPr>
      </w:pPr>
      <w:r w:rsidRPr="00383CC9">
        <w:t>–</w:t>
      </w:r>
      <w:r w:rsidRPr="00383CC9">
        <w:tab/>
        <w:t>so zreteľom na Európsky konsenzus o humanitárnej pomoci a na prepojenie medzi humanitárnou oblasťou, rozvojom a mierom, ako ho schválila Rada a Komisia,</w:t>
      </w:r>
    </w:p>
    <w:p w14:paraId="6DA2D013" w14:textId="77777777" w:rsidR="00145B96" w:rsidRPr="00383CC9" w:rsidRDefault="00145B96" w:rsidP="00145B96">
      <w:pPr>
        <w:pStyle w:val="NormalHanging"/>
      </w:pPr>
      <w:r w:rsidRPr="00383CC9">
        <w:t>–</w:t>
      </w:r>
      <w:r w:rsidRPr="00383CC9">
        <w:tab/>
        <w:t xml:space="preserve">so zreteľom na nariadenie Európskeho parlamentu a Rady (EÚ) 2021/947 z 9. júna 2021, ktorým sa zriaďuje Nástroj susedstva a rozvojovej a medzinárodnej spolupráce – Globálna Európa, mení a zrušuje rozhodnutie Európskeho parlamentu a Rady č. 466/2014/EÚ a zrušuje nariadenie Európskeho parlamentu a Rady (EÚ) 2017/1601 a nariadenie Rady (ES, </w:t>
      </w:r>
      <w:proofErr w:type="spellStart"/>
      <w:r w:rsidRPr="00383CC9">
        <w:t>Euratom</w:t>
      </w:r>
      <w:proofErr w:type="spellEnd"/>
      <w:r w:rsidRPr="00383CC9">
        <w:t>) č. 480/2009</w:t>
      </w:r>
      <w:r w:rsidRPr="00383CC9">
        <w:rPr>
          <w:rStyle w:val="FootnoteReference"/>
        </w:rPr>
        <w:footnoteReference w:id="2"/>
      </w:r>
      <w:r w:rsidRPr="00383CC9">
        <w:t xml:space="preserve"> (nariadenie o NDICI – Globálna Európa),</w:t>
      </w:r>
    </w:p>
    <w:p w14:paraId="1A154F42" w14:textId="77777777" w:rsidR="00145B96" w:rsidRPr="00383CC9" w:rsidRDefault="00145B96" w:rsidP="00145B96">
      <w:pPr>
        <w:pStyle w:val="NormalHanging"/>
      </w:pPr>
      <w:r w:rsidRPr="00383CC9">
        <w:t>–</w:t>
      </w:r>
      <w:r w:rsidRPr="00383CC9">
        <w:tab/>
        <w:t>so zreteľom na nariadenie Európskeho parlamentu a Rady (EÚ) 2021/1529 z 15. septembra 2021, ktorým sa zriaďuje nástroj predvstupovej pomoci (IPA III)</w:t>
      </w:r>
      <w:r w:rsidRPr="00383CC9">
        <w:rPr>
          <w:rStyle w:val="FootnoteReference"/>
        </w:rPr>
        <w:footnoteReference w:id="3"/>
      </w:r>
      <w:r w:rsidRPr="00383CC9">
        <w:t>,</w:t>
      </w:r>
    </w:p>
    <w:p w14:paraId="3E8E4F40" w14:textId="77777777" w:rsidR="00145B96" w:rsidRPr="00383CC9" w:rsidRDefault="00145B96" w:rsidP="00145B96">
      <w:pPr>
        <w:pStyle w:val="NormalHanging12a"/>
        <w:rPr>
          <w:bCs/>
          <w:iCs/>
        </w:rPr>
      </w:pPr>
      <w:r w:rsidRPr="00383CC9">
        <w:t>–</w:t>
      </w:r>
      <w:r w:rsidRPr="00383CC9">
        <w:tab/>
        <w:t>so zreteľom na spoločné oznámenie Komisie a vysokého predstaviteľa Únie pre zahraničné veci a bezpečnostnú politiku z 25. novembra 2020 s názvom Akčný plán EÚ pre rodovú rovnosť (GAP) III – Ambiciózny program pre rodovú rovnosť a posilnenie postavenia žien vo vonkajšej činnosti EÚ (JOIN(2020)0017),</w:t>
      </w:r>
    </w:p>
    <w:p w14:paraId="74830D88" w14:textId="77777777" w:rsidR="00145B96" w:rsidRPr="00383CC9" w:rsidRDefault="00145B96" w:rsidP="00145B96">
      <w:pPr>
        <w:pStyle w:val="NormalHanging12a"/>
        <w:rPr>
          <w:bCs/>
          <w:iCs/>
        </w:rPr>
      </w:pPr>
      <w:r w:rsidRPr="00383CC9">
        <w:lastRenderedPageBreak/>
        <w:t>–</w:t>
      </w:r>
      <w:r w:rsidRPr="00383CC9">
        <w:tab/>
        <w:t>so zreteľom na spoločné oznámenie Komisie a vysokého predstaviteľa Únie pre zahraničné veci a bezpečnostnú politiku zo 16. septembra 2021 o stratégii EÚ pre spoluprácu v indicko-tichomorskom regióne (JOIN(2021)0024),</w:t>
      </w:r>
    </w:p>
    <w:p w14:paraId="62AB1EF4" w14:textId="77777777" w:rsidR="00145B96" w:rsidRPr="00383CC9" w:rsidRDefault="00145B96" w:rsidP="00145B96">
      <w:pPr>
        <w:pStyle w:val="NormalHanging"/>
      </w:pPr>
      <w:r w:rsidRPr="00383CC9">
        <w:t>–</w:t>
      </w:r>
      <w:r w:rsidRPr="00383CC9">
        <w:tab/>
        <w:t xml:space="preserve">so zreteľom na spoločné oznámenie Komisie a vysokého predstaviteľa Únie pre zahraničné veci a bezpečnostnú politiku z 1. decembra 2021 s názvom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(JOIN(2021)0030),</w:t>
      </w:r>
    </w:p>
    <w:p w14:paraId="59CF5CEB" w14:textId="77777777" w:rsidR="00145B96" w:rsidRPr="00383CC9" w:rsidRDefault="00145B96" w:rsidP="00145B96">
      <w:pPr>
        <w:pStyle w:val="NormalHanging"/>
      </w:pPr>
      <w:r w:rsidRPr="00383CC9">
        <w:t>–</w:t>
      </w:r>
      <w:r w:rsidRPr="00383CC9">
        <w:tab/>
        <w:t>so zreteľom na spoločné oznámenie Komisie a vysokého predstaviteľa Únie pre zahraničné veci a bezpečnostnú politiku z 2. októbra 2024 s názvom Budovanie udržateľných medzinárodných partnerstiev v duchu Tímu Európa (JOIN(2024)0025),</w:t>
      </w:r>
    </w:p>
    <w:p w14:paraId="032C7AE4" w14:textId="77777777" w:rsidR="00145B96" w:rsidRPr="00383CC9" w:rsidRDefault="00145B96" w:rsidP="00145B96">
      <w:pPr>
        <w:pStyle w:val="NormalHanging12a"/>
        <w:rPr>
          <w:bCs/>
          <w:iCs/>
        </w:rPr>
      </w:pPr>
      <w:r w:rsidRPr="00383CC9">
        <w:t>–</w:t>
      </w:r>
      <w:r w:rsidRPr="00383CC9">
        <w:tab/>
        <w:t>so zreteľom na akčný plán EÚ pre ľudské práva a demokraciu na roky 2020 – 2024,</w:t>
      </w:r>
    </w:p>
    <w:p w14:paraId="5C73364C" w14:textId="77777777" w:rsidR="00145B96" w:rsidRPr="00383CC9" w:rsidRDefault="00145B96" w:rsidP="00145B96">
      <w:pPr>
        <w:pStyle w:val="NormalHanging12a"/>
        <w:rPr>
          <w:bCs/>
          <w:iCs/>
        </w:rPr>
      </w:pPr>
      <w:r w:rsidRPr="00383CC9">
        <w:t>–</w:t>
      </w:r>
      <w:r w:rsidRPr="00383CC9">
        <w:tab/>
        <w:t>so zreteľom na Európsky pilier sociálnych práv a jeho význam pre inkluzívny, udržateľný a spravodlivý hospodársky rozvoj,</w:t>
      </w:r>
    </w:p>
    <w:p w14:paraId="4AF6E7AA" w14:textId="77777777" w:rsidR="00145B96" w:rsidRPr="00383CC9" w:rsidRDefault="00145B96" w:rsidP="00145B96">
      <w:pPr>
        <w:pStyle w:val="NormalHanging12a"/>
        <w:rPr>
          <w:bCs/>
          <w:iCs/>
        </w:rPr>
      </w:pPr>
      <w:r w:rsidRPr="00383CC9">
        <w:t>–</w:t>
      </w:r>
      <w:r w:rsidRPr="00383CC9">
        <w:tab/>
        <w:t>so zreteľom na stratégiu EÚ v oblasti globálneho zdravia,</w:t>
      </w:r>
    </w:p>
    <w:p w14:paraId="7D223E5E" w14:textId="77777777" w:rsidR="00145B96" w:rsidRPr="00383CC9" w:rsidRDefault="00145B96" w:rsidP="00145B96">
      <w:pPr>
        <w:pStyle w:val="NormalHanging"/>
      </w:pPr>
      <w:r w:rsidRPr="00383CC9">
        <w:t>–</w:t>
      </w:r>
      <w:r w:rsidRPr="00383CC9">
        <w:tab/>
        <w:t>so zreteľom na rozhodnutie Rady z 26. júla 2010 o organizácii a fungovaní Európskej služby pre vonkajšiu činnosť</w:t>
      </w:r>
      <w:r w:rsidRPr="00383CC9">
        <w:rPr>
          <w:rStyle w:val="FootnoteReference"/>
        </w:rPr>
        <w:footnoteReference w:id="4"/>
      </w:r>
      <w:r w:rsidRPr="00383CC9">
        <w:t>,</w:t>
      </w:r>
    </w:p>
    <w:p w14:paraId="25BFA5A5" w14:textId="77777777" w:rsidR="00145B96" w:rsidRPr="00383CC9" w:rsidRDefault="00145B96" w:rsidP="00145B96">
      <w:pPr>
        <w:pStyle w:val="NormalHanging"/>
      </w:pPr>
      <w:r w:rsidRPr="00383CC9">
        <w:t>–</w:t>
      </w:r>
      <w:r w:rsidRPr="00383CC9">
        <w:tab/>
        <w:t xml:space="preserve">so zreteľom na poznámku Rady z 28. októbra 2022 o pracovných podmienkach týkajúcich sa riadenia stratégie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>,</w:t>
      </w:r>
    </w:p>
    <w:p w14:paraId="44426A68" w14:textId="77777777" w:rsidR="00145B96" w:rsidRPr="00383CC9" w:rsidRDefault="00145B96" w:rsidP="00145B96">
      <w:pPr>
        <w:pStyle w:val="NormalHanging"/>
      </w:pPr>
      <w:r w:rsidRPr="00383CC9">
        <w:t>–</w:t>
      </w:r>
      <w:r w:rsidRPr="00383CC9">
        <w:tab/>
        <w:t>so zreteľom na závery Rady z 21. júna 2024 o hodnotení nástroja NDICI – Globálna Európa v polovici trvania a z 21. novembra 2023 o prístupe Tím Európa,</w:t>
      </w:r>
    </w:p>
    <w:p w14:paraId="42F8EBDA" w14:textId="77777777" w:rsidR="00145B96" w:rsidRPr="00383CC9" w:rsidRDefault="00145B96" w:rsidP="00145B96">
      <w:pPr>
        <w:pStyle w:val="NormalHanging12a"/>
        <w:rPr>
          <w:bCs/>
          <w:iCs/>
        </w:rPr>
      </w:pPr>
      <w:r w:rsidRPr="00383CC9">
        <w:t>–</w:t>
      </w:r>
      <w:r w:rsidRPr="00383CC9">
        <w:tab/>
        <w:t>so zreteľom na závery Rady z 20. októbra 2025 o vykonávaní stratégie EÚ pre spoluprácu v indicko-tichomorskom regióne,</w:t>
      </w:r>
    </w:p>
    <w:p w14:paraId="627CDC64" w14:textId="77777777" w:rsidR="00145B96" w:rsidRPr="00383CC9" w:rsidRDefault="00145B96" w:rsidP="00145B96">
      <w:pPr>
        <w:pStyle w:val="NormalHanging"/>
      </w:pPr>
      <w:r w:rsidRPr="00383CC9">
        <w:t>–</w:t>
      </w:r>
      <w:r w:rsidRPr="00383CC9">
        <w:tab/>
        <w:t>so zreteľom na návrh Komisie zo 16. júla 2025 na nariadenie Európskeho parlamentu a Rady, ktorým sa zriaďuje Globálna Európa (COM(2025)0551),</w:t>
      </w:r>
    </w:p>
    <w:p w14:paraId="6B1FCC21" w14:textId="77777777" w:rsidR="00145B96" w:rsidRPr="00383CC9" w:rsidRDefault="00145B96" w:rsidP="00145B96">
      <w:pPr>
        <w:pStyle w:val="NormalHanging12a"/>
        <w:rPr>
          <w:bCs/>
          <w:iCs/>
        </w:rPr>
      </w:pPr>
      <w:r w:rsidRPr="00383CC9">
        <w:t>–</w:t>
      </w:r>
      <w:r w:rsidRPr="00383CC9">
        <w:tab/>
        <w:t>so zreteľom na stanovisko Európskeho dvora audítorov 03/2024 – sprievodný dokument k hodnoteniu Komisie týkajúcemu sa záruky pre vonkajšiu činnosť, ktoré bolo uverejnené 12. decembra 2024,</w:t>
      </w:r>
    </w:p>
    <w:p w14:paraId="3DE70C18" w14:textId="010B2724" w:rsidR="00145B96" w:rsidRPr="00383CC9" w:rsidRDefault="00145B96" w:rsidP="00145B96">
      <w:pPr>
        <w:pStyle w:val="NormalHanging12a"/>
        <w:rPr>
          <w:bCs/>
          <w:iCs/>
        </w:rPr>
      </w:pPr>
      <w:r w:rsidRPr="00383CC9">
        <w:t>–</w:t>
      </w:r>
      <w:r w:rsidRPr="00383CC9">
        <w:tab/>
        <w:t>so zreteľom na osobitnú správu Európskeho dvora audítorov č. 17/2025 zo 16. septembra 2025 s názvom Pomoc obchodu, ktorú poskytuje EÚ, pre najmenej rozvinuté krajiny – Potreby sa riešia, ale financovanie EÚ nesmeruje k splneniu cieľa do roku 2030,</w:t>
      </w:r>
      <w:r w:rsidR="00FF493E">
        <w:t xml:space="preserve"> </w:t>
      </w:r>
    </w:p>
    <w:p w14:paraId="63C7C32B" w14:textId="77777777" w:rsidR="00145B96" w:rsidRPr="00383CC9" w:rsidRDefault="00145B96" w:rsidP="00145B96">
      <w:pPr>
        <w:pStyle w:val="NormalHanging12a"/>
        <w:rPr>
          <w:bCs/>
          <w:iCs/>
        </w:rPr>
      </w:pPr>
      <w:r w:rsidRPr="00383CC9">
        <w:t>–</w:t>
      </w:r>
      <w:r w:rsidRPr="00383CC9">
        <w:tab/>
        <w:t>so zreteľom na Dohovor OSN o právach osôb so zdravotným postihnutím (UNCRPD), ktorý v EÚ nadobudol platnosť 22. januára 2011 v súlade s rozhodnutím Rady 2010/48/ES z 26. novembra 2009,</w:t>
      </w:r>
    </w:p>
    <w:p w14:paraId="01972948" w14:textId="77777777" w:rsidR="00145B96" w:rsidRPr="00383CC9" w:rsidRDefault="00145B96" w:rsidP="00145B96">
      <w:pPr>
        <w:pStyle w:val="NormalHanging"/>
      </w:pPr>
      <w:r w:rsidRPr="00383CC9">
        <w:t>–</w:t>
      </w:r>
      <w:r w:rsidRPr="00383CC9">
        <w:tab/>
        <w:t xml:space="preserve">so zreteľom na rezolúciu Organizácie Spojených národov 70/1 z 25. septembra 2015 s názvom Transformujeme náš svet: Agenda 2030 pre udržateľný rozvoj (Agenda 2030) </w:t>
      </w:r>
      <w:r w:rsidRPr="00383CC9">
        <w:lastRenderedPageBreak/>
        <w:t>prijatú na samite Organizácie Spojených národov o udržateľnom rozvoji v New Yorku, v ktorej sa stanovujú ciele v oblasti udržateľného rozvoja;</w:t>
      </w:r>
    </w:p>
    <w:p w14:paraId="1F176EC6" w14:textId="77777777" w:rsidR="00145B96" w:rsidRPr="00383CC9" w:rsidRDefault="00145B96" w:rsidP="00145B96">
      <w:pPr>
        <w:pStyle w:val="NormalHanging12a"/>
        <w:rPr>
          <w:bCs/>
          <w:iCs/>
        </w:rPr>
      </w:pPr>
      <w:r w:rsidRPr="00383CC9">
        <w:t>–</w:t>
      </w:r>
      <w:r w:rsidRPr="00383CC9">
        <w:tab/>
        <w:t>so zreteľom na Parížsku dohodu prijatú 12. decembra 2015 v rámci Rámcového dohovoru Organizácie Spojených národov o zmene klímy, najmä na jej ustanovenia týkajúce sa adaptácie, odolnosti a podpory najzraniteľnejších krajín,</w:t>
      </w:r>
    </w:p>
    <w:p w14:paraId="61015D92" w14:textId="77777777" w:rsidR="00145B96" w:rsidRPr="00383CC9" w:rsidRDefault="00145B96" w:rsidP="00145B96">
      <w:pPr>
        <w:pStyle w:val="NormalHanging12a"/>
        <w:rPr>
          <w:bCs/>
          <w:iCs/>
        </w:rPr>
      </w:pPr>
      <w:r w:rsidRPr="00383CC9">
        <w:t>–</w:t>
      </w:r>
      <w:r w:rsidRPr="00383CC9">
        <w:tab/>
        <w:t>so zreteľom na závery druhého svetového samitu o sociálnom rozvoji, ktorý sa konal od 4. do 6. novembra 2025 v Dauhe a na ktorom sa potvrdilo, že sociálny rozvoj, univerzálna sociálna ochrana a boj proti chudobe a nerovnosti sú základnými piliermi udržateľného rozvoja,</w:t>
      </w:r>
    </w:p>
    <w:p w14:paraId="0C6FA5DD" w14:textId="77777777" w:rsidR="00145B96" w:rsidRPr="00383CC9" w:rsidRDefault="00145B96" w:rsidP="00145B96">
      <w:pPr>
        <w:pStyle w:val="NormalHanging12a"/>
        <w:rPr>
          <w:bCs/>
          <w:iCs/>
        </w:rPr>
      </w:pPr>
      <w:r w:rsidRPr="00383CC9">
        <w:t>–</w:t>
      </w:r>
      <w:r w:rsidRPr="00383CC9">
        <w:tab/>
        <w:t>so zreteľom na rámec OSN pre spoluprácu v oblasti udržateľného rozvoja ako hlavný nástroj plánovania a vykonávania rozvojových činností OSN na úrovni jednotlivých krajín,</w:t>
      </w:r>
    </w:p>
    <w:p w14:paraId="323AB5CD" w14:textId="77777777" w:rsidR="00145B96" w:rsidRPr="00383CC9" w:rsidRDefault="00145B96" w:rsidP="00145B96">
      <w:pPr>
        <w:pStyle w:val="NormalHanging12a"/>
        <w:rPr>
          <w:bCs/>
          <w:iCs/>
        </w:rPr>
      </w:pPr>
      <w:r w:rsidRPr="00383CC9">
        <w:t>–</w:t>
      </w:r>
      <w:r w:rsidRPr="00383CC9">
        <w:tab/>
        <w:t>so zreteľom na akčný program z Addis Abeby o financovaní rozvoja prijatý na tretej medzinárodnej konferencii o financovaní rozvoja, ktorá sa konala od 13. do 16. júla 2015 v Addis Abebe v Etiópii, a na záverečný dokument zo Sevilly prijatý na štvrtej medzinárodnej konferencii o financovaní rozvoja, ktorá sa konala od 30. júna do 3. júla 2025 v Seville v Španielsku,</w:t>
      </w:r>
    </w:p>
    <w:p w14:paraId="115D3AE3" w14:textId="77777777" w:rsidR="00145B96" w:rsidRPr="00383CC9" w:rsidRDefault="00145B96" w:rsidP="00145B96">
      <w:pPr>
        <w:pStyle w:val="NormalHanging12a"/>
        <w:rPr>
          <w:bCs/>
          <w:iCs/>
        </w:rPr>
      </w:pPr>
      <w:r w:rsidRPr="00383CC9">
        <w:t>–</w:t>
      </w:r>
      <w:r w:rsidRPr="00383CC9">
        <w:tab/>
        <w:t>so zreteľom na návrh memoranda o porozumení medzi EÚ a Juhoafrickou republikou o partnerstve pre čistý obchod a investície podpísaný 20. novembra 2025,</w:t>
      </w:r>
    </w:p>
    <w:p w14:paraId="40A8DFE5" w14:textId="77777777" w:rsidR="00145B96" w:rsidRPr="00383CC9" w:rsidRDefault="00145B96" w:rsidP="00145B96">
      <w:pPr>
        <w:pStyle w:val="NormalHanging12a"/>
        <w:rPr>
          <w:bCs/>
          <w:iCs/>
        </w:rPr>
      </w:pPr>
      <w:r w:rsidRPr="00383CC9">
        <w:t>–</w:t>
      </w:r>
      <w:r w:rsidRPr="00383CC9">
        <w:tab/>
        <w:t>so zreteľom na memorandum o porozumení medzi EÚ a Juhoafrickou republikou o vytvorení strategického partnerstva v oblasti udržateľných hodnotových reťazcov minerálov a kovov, podpísané 20. novembra 2025,</w:t>
      </w:r>
    </w:p>
    <w:p w14:paraId="29A22E55" w14:textId="77777777" w:rsidR="00145B96" w:rsidRPr="00383CC9" w:rsidRDefault="00145B96" w:rsidP="00145B96">
      <w:pPr>
        <w:pStyle w:val="NormalHanging12a"/>
        <w:rPr>
          <w:bCs/>
          <w:iCs/>
        </w:rPr>
      </w:pPr>
      <w:r w:rsidRPr="00383CC9">
        <w:t>–</w:t>
      </w:r>
      <w:r w:rsidRPr="00383CC9">
        <w:tab/>
        <w:t>so zreteľom na svoje uznesenie z 21. januára 2021 o prepojenosti a vzťahoch medzi EÚ a Áziou</w:t>
      </w:r>
      <w:r w:rsidRPr="00383CC9">
        <w:rPr>
          <w:rStyle w:val="FootnoteReference"/>
          <w:bCs/>
          <w:iCs/>
        </w:rPr>
        <w:footnoteReference w:id="5"/>
      </w:r>
      <w:r w:rsidRPr="00383CC9">
        <w:t>,</w:t>
      </w:r>
    </w:p>
    <w:p w14:paraId="4DD83A0F" w14:textId="77777777" w:rsidR="00145B96" w:rsidRPr="00383CC9" w:rsidRDefault="00145B96" w:rsidP="00145B96">
      <w:pPr>
        <w:pStyle w:val="NormalHanging"/>
      </w:pPr>
      <w:r w:rsidRPr="00383CC9">
        <w:t>–</w:t>
      </w:r>
      <w:r w:rsidRPr="00383CC9">
        <w:tab/>
        <w:t>so zreteľom na svoje uznesenie z 24. novembra 2022 o budúcej európskej finančnej štruktúre pre rozvoj</w:t>
      </w:r>
      <w:r w:rsidRPr="00383CC9">
        <w:rPr>
          <w:rStyle w:val="FootnoteReference"/>
        </w:rPr>
        <w:footnoteReference w:id="6"/>
      </w:r>
      <w:r w:rsidRPr="00383CC9">
        <w:t>,</w:t>
      </w:r>
    </w:p>
    <w:p w14:paraId="7B3840B7" w14:textId="77777777" w:rsidR="00145B96" w:rsidRPr="00383CC9" w:rsidRDefault="00145B96" w:rsidP="00145B96">
      <w:pPr>
        <w:pStyle w:val="NormalHanging"/>
      </w:pPr>
      <w:r w:rsidRPr="00383CC9">
        <w:t>–</w:t>
      </w:r>
      <w:r w:rsidRPr="00383CC9">
        <w:tab/>
        <w:t>so zreteľom na svoje uznesenie z 12. decembra 2023 o vykonávaní Nástroja susedstva a rozvojovej a medzinárodnej spolupráce – Globálna Európa</w:t>
      </w:r>
      <w:r w:rsidRPr="00383CC9">
        <w:rPr>
          <w:rStyle w:val="FootnoteReference"/>
        </w:rPr>
        <w:footnoteReference w:id="7"/>
      </w:r>
      <w:r w:rsidRPr="00383CC9">
        <w:t>,</w:t>
      </w:r>
    </w:p>
    <w:p w14:paraId="3817A291" w14:textId="77777777" w:rsidR="00145B96" w:rsidRPr="00383CC9" w:rsidRDefault="00145B96" w:rsidP="00145B96">
      <w:pPr>
        <w:pStyle w:val="NormalHanging"/>
      </w:pPr>
      <w:r w:rsidRPr="00383CC9">
        <w:t>–</w:t>
      </w:r>
      <w:r w:rsidRPr="00383CC9">
        <w:tab/>
        <w:t>so zreteľom na svoje uznesenie zo 17. januára 2024 o bezpečnostných a obranných dôsledkoch vplyvu Číny na kritickú infraštruktúru v Európskej únii</w:t>
      </w:r>
      <w:r w:rsidRPr="00383CC9">
        <w:rPr>
          <w:rStyle w:val="FootnoteReference"/>
        </w:rPr>
        <w:footnoteReference w:id="8"/>
      </w:r>
      <w:r w:rsidRPr="00383CC9">
        <w:t>,</w:t>
      </w:r>
    </w:p>
    <w:p w14:paraId="7DC478B4" w14:textId="77777777" w:rsidR="00145B96" w:rsidRPr="00383CC9" w:rsidRDefault="00145B96" w:rsidP="00145B96">
      <w:pPr>
        <w:pStyle w:val="NormalHanging"/>
      </w:pPr>
      <w:r w:rsidRPr="00383CC9">
        <w:t>–</w:t>
      </w:r>
      <w:r w:rsidRPr="00383CC9">
        <w:tab/>
        <w:t>so zreteľom na svoje uznesenie zo 17. januára 2024 o vypracovaní komplexnej európskej stratégie pre prístavy</w:t>
      </w:r>
      <w:r w:rsidRPr="00383CC9">
        <w:rPr>
          <w:rStyle w:val="FootnoteReference"/>
        </w:rPr>
        <w:footnoteReference w:id="9"/>
      </w:r>
      <w:r w:rsidRPr="00383CC9">
        <w:t>,</w:t>
      </w:r>
    </w:p>
    <w:p w14:paraId="75577E09" w14:textId="77777777" w:rsidR="00145B96" w:rsidRPr="00383CC9" w:rsidRDefault="00145B96" w:rsidP="00145B96">
      <w:pPr>
        <w:pStyle w:val="NormalHanging"/>
      </w:pPr>
      <w:r w:rsidRPr="00383CC9">
        <w:lastRenderedPageBreak/>
        <w:t>–</w:t>
      </w:r>
      <w:r w:rsidRPr="00383CC9">
        <w:tab/>
        <w:t>so zreteľom na svoje uznesenie z 2. apríla 2025 o vykonávaní spoločnej zahraničnej a bezpečnostnej politiky – výročná správa za rok 2024</w:t>
      </w:r>
      <w:r w:rsidRPr="00383CC9">
        <w:rPr>
          <w:rStyle w:val="FootnoteReference"/>
        </w:rPr>
        <w:footnoteReference w:id="10"/>
      </w:r>
      <w:r w:rsidRPr="00383CC9">
        <w:t>,</w:t>
      </w:r>
    </w:p>
    <w:p w14:paraId="388B07CC" w14:textId="77777777" w:rsidR="00145B96" w:rsidRPr="00383CC9" w:rsidRDefault="00145B96" w:rsidP="00145B96">
      <w:pPr>
        <w:pStyle w:val="NormalHanging"/>
      </w:pPr>
      <w:r w:rsidRPr="00383CC9">
        <w:t>–</w:t>
      </w:r>
      <w:r w:rsidRPr="00383CC9">
        <w:tab/>
        <w:t>so zreteľom na svoje uznesenie z 2. apríla 2025 o ľudských právach a demokracii vo svete a politike Európskej únie v tejto oblasti – výročná správa za rok 2024</w:t>
      </w:r>
      <w:r w:rsidRPr="00383CC9">
        <w:rPr>
          <w:rStyle w:val="FootnoteReference"/>
        </w:rPr>
        <w:footnoteReference w:id="11"/>
      </w:r>
      <w:r w:rsidRPr="00383CC9">
        <w:t>,</w:t>
      </w:r>
    </w:p>
    <w:p w14:paraId="48B6DF92" w14:textId="77777777" w:rsidR="00145B96" w:rsidRPr="00383CC9" w:rsidRDefault="00145B96" w:rsidP="00145B96">
      <w:pPr>
        <w:pStyle w:val="NormalHanging"/>
      </w:pPr>
      <w:r w:rsidRPr="00383CC9">
        <w:t>–</w:t>
      </w:r>
      <w:r w:rsidRPr="00383CC9">
        <w:tab/>
        <w:t>so zreteľom na svoje uznesenie zo 6. mája 2025 o kontrole finančnej činnosti Európskej investičnej banky – výročná správa za rok 2023</w:t>
      </w:r>
      <w:r w:rsidRPr="00383CC9">
        <w:rPr>
          <w:rStyle w:val="FootnoteReference"/>
        </w:rPr>
        <w:footnoteReference w:id="12"/>
      </w:r>
      <w:r w:rsidRPr="00383CC9">
        <w:t>,</w:t>
      </w:r>
    </w:p>
    <w:p w14:paraId="2AABC24D" w14:textId="77777777" w:rsidR="00145B96" w:rsidRPr="00383CC9" w:rsidRDefault="00145B96" w:rsidP="00145B96">
      <w:pPr>
        <w:pStyle w:val="NormalHanging"/>
      </w:pPr>
      <w:r w:rsidRPr="00383CC9">
        <w:t>–</w:t>
      </w:r>
      <w:r w:rsidRPr="00383CC9">
        <w:tab/>
        <w:t>so zreteľom na svoje rozhodnutie zo 7. mája 2025 o absolutóriu za plnenie všeobecného rozpočtu Európskej únie za rozpočtový rok 2023, oddiel III – Komisia, výkonné agentúry a deviaty, desiaty a jedenásty Európsky rozvojový fond</w:t>
      </w:r>
      <w:r w:rsidRPr="00383CC9">
        <w:rPr>
          <w:rStyle w:val="FootnoteReference"/>
        </w:rPr>
        <w:footnoteReference w:id="13"/>
      </w:r>
      <w:r w:rsidRPr="00383CC9">
        <w:t>,</w:t>
      </w:r>
    </w:p>
    <w:p w14:paraId="1A49CAC8" w14:textId="77777777" w:rsidR="00145B96" w:rsidRPr="00383CC9" w:rsidRDefault="00145B96" w:rsidP="00145B96">
      <w:pPr>
        <w:pStyle w:val="NormalHanging"/>
      </w:pPr>
      <w:r w:rsidRPr="00383CC9">
        <w:t>–</w:t>
      </w:r>
      <w:r w:rsidRPr="00383CC9">
        <w:tab/>
        <w:t>so zreteľom na svoje uznesenie z 9. júla 2025 o vykonávaní a plnení cieľov udržateľného rozvoja so zreteľom na politické fórum na vysokej úrovni v roku 2025</w:t>
      </w:r>
      <w:r w:rsidRPr="00383CC9">
        <w:rPr>
          <w:rStyle w:val="FootnoteReference"/>
        </w:rPr>
        <w:footnoteReference w:id="14"/>
      </w:r>
      <w:r w:rsidRPr="00383CC9">
        <w:t>,</w:t>
      </w:r>
    </w:p>
    <w:p w14:paraId="1BF52716" w14:textId="77777777" w:rsidR="00145B96" w:rsidRPr="00383CC9" w:rsidRDefault="00145B96" w:rsidP="00145B96">
      <w:pPr>
        <w:pStyle w:val="NormalHanging"/>
      </w:pPr>
      <w:r w:rsidRPr="00383CC9">
        <w:t>–</w:t>
      </w:r>
      <w:r w:rsidRPr="00383CC9">
        <w:tab/>
        <w:t>so zreteľom na článok 55 rokovacieho poriadku,</w:t>
      </w:r>
    </w:p>
    <w:p w14:paraId="26E934F6" w14:textId="77777777" w:rsidR="00145B96" w:rsidRPr="00383CC9" w:rsidRDefault="00145B96" w:rsidP="00145B96">
      <w:pPr>
        <w:pStyle w:val="NormalHanging"/>
      </w:pPr>
      <w:r w:rsidRPr="00383CC9">
        <w:t>–</w:t>
      </w:r>
      <w:r w:rsidRPr="00383CC9">
        <w:tab/>
        <w:t>so zreteľom na spoločné rokovania Výboru pre zahraničné veci a Výboru pre rozvoj podľa článku 59 rokovacieho poriadku,</w:t>
      </w:r>
    </w:p>
    <w:p w14:paraId="5BA17D29" w14:textId="77777777" w:rsidR="00145B96" w:rsidRPr="00383CC9" w:rsidRDefault="00145B96" w:rsidP="00145B96">
      <w:pPr>
        <w:pStyle w:val="NormalHanging"/>
      </w:pPr>
      <w:r w:rsidRPr="00383CC9">
        <w:t>–</w:t>
      </w:r>
      <w:r w:rsidRPr="00383CC9">
        <w:tab/>
        <w:t>so zreteľom na stanovisko Výboru pre medzinárodný obchod,</w:t>
      </w:r>
    </w:p>
    <w:p w14:paraId="5D4B65C9" w14:textId="77777777" w:rsidR="00145B96" w:rsidRPr="00383CC9" w:rsidRDefault="00145B96" w:rsidP="00145B96">
      <w:pPr>
        <w:pStyle w:val="NormalHanging"/>
      </w:pPr>
      <w:r w:rsidRPr="00383CC9">
        <w:t>–</w:t>
      </w:r>
      <w:r w:rsidRPr="00383CC9">
        <w:tab/>
        <w:t>so zreteľom na správu Výboru pre zahraničné veci a Výboru pre rozvoj (A10-0045/2026),</w:t>
      </w:r>
    </w:p>
    <w:p w14:paraId="308CAC55" w14:textId="77777777" w:rsidR="00145B96" w:rsidRPr="00383CC9" w:rsidRDefault="00145B96" w:rsidP="00145B96">
      <w:pPr>
        <w:pStyle w:val="NormalHanging12a"/>
      </w:pPr>
      <w:r w:rsidRPr="00383CC9">
        <w:t>A.</w:t>
      </w:r>
      <w:r w:rsidRPr="00383CC9">
        <w:tab/>
        <w:t xml:space="preserve">keďže stratégia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bola vytvorená 1. decembra 2021 s cieľom stať sa hlavným rámcom EÚ pre udržateľnú prepojenosť a globálne investície, ako aj alternatívou k čínskej iniciatíve Jedno pásmo, jedna cesta, a zosúladiť sa so širším cieľom medzinárodného spoločenstva, ktorým je zapojenie súkromného sektora s cieľom prejsť pri financovaní rozvoja z „miliárd na bilióny“ na riešenie najnákladnejších aspektov cieľov udržateľného rozvoja; keďže ide o stratégiu a politickú iniciatívu, ktorá sama osebe nie je nástrojom ani nariadením; keďže stratégia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vychádza z finančnej štruktúry vonkajšej činnosti EÚ, najmä z politiky EÚ v oblasti rozvojovej spolupráce a rozpočtu EÚ, a najmä z nástroja NDICI – Globálna Európa, pokiaľ ide o jej právny rámec a financovanie;</w:t>
      </w:r>
    </w:p>
    <w:p w14:paraId="1FBC0A54" w14:textId="77777777" w:rsidR="00145B96" w:rsidRPr="00383CC9" w:rsidRDefault="00145B96" w:rsidP="00145B96">
      <w:pPr>
        <w:pStyle w:val="NormalHanging12a"/>
      </w:pPr>
      <w:r w:rsidRPr="00383CC9">
        <w:t>B.</w:t>
      </w:r>
      <w:r w:rsidRPr="00383CC9">
        <w:tab/>
        <w:t xml:space="preserve">keďže v prostredí zvýšenej geopolitickej rivality a neistoty stratégia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>, ak sa bude správne uplatňovať a komunikovať, zvýši geopolitickú váhu a viditeľnosť EÚ na globálnej scéne posilnením inteligentných, čistých a bezpečných prepojení medzi EÚ a jej partnermi v oblasti digitálnych technológií, energetiky a dopravy a posilnením systémov zdravotníctva, vzdelávania a výskumu na celom svete v rámci Agendy 2030 a príslušných cieľov udržateľného rozvoja, ako aj obnovením priemyselnej konkurencieschopnosti Európy, znížením jej závislosti v kritických odvetviach a vyvážením rastúceho vplyvu Číny;</w:t>
      </w:r>
    </w:p>
    <w:p w14:paraId="0BE4FD01" w14:textId="77777777" w:rsidR="00145B96" w:rsidRPr="00383CC9" w:rsidRDefault="00145B96" w:rsidP="00145B96">
      <w:pPr>
        <w:pStyle w:val="NormalHanging12a"/>
      </w:pPr>
      <w:r w:rsidRPr="00383CC9">
        <w:lastRenderedPageBreak/>
        <w:t>C.</w:t>
      </w:r>
      <w:r w:rsidRPr="00383CC9">
        <w:tab/>
        <w:t xml:space="preserve">keďže najvzdialenejšie regióny EÚ a zámorské krajiny a územia (ZKÚ) sa nachádzajú v blízkosti strategických oblastí pre rozvoj projektov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>; keďže rozvoj týchto oblastí pozitívne ovplyvňuje bezpečnosť a prosperitu najvzdialenejších regiónov a ZKÚ;</w:t>
      </w:r>
    </w:p>
    <w:p w14:paraId="6ACAC396" w14:textId="77777777" w:rsidR="00145B96" w:rsidRPr="00383CC9" w:rsidRDefault="00145B96" w:rsidP="00145B96">
      <w:pPr>
        <w:pStyle w:val="NormalHanging12a"/>
      </w:pPr>
      <w:r w:rsidRPr="00383CC9">
        <w:t>D.</w:t>
      </w:r>
      <w:r w:rsidRPr="00383CC9">
        <w:tab/>
        <w:t xml:space="preserve">keďže financovanie EÚ v rámci stratégie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nesmú využívať subjekty, ktoré poškodzujú európske bezpečnostné a hospodárske záujmy, vrátane spoločností, na ktoré sa vzťahujú sankcie EÚ, štátnych alebo štátom kontrolovaných podnikov systémových konkurentov alebo subjektov zapojených do obchádzania sankcií, transferu položiek s dvojakým použitím do Ruska alebo iných nepriateľských činností; keďže účasť na projektoch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by mala byť podmienená úplným dodržiavaním reštriktívnych opatrení EÚ a dôveryhodným úsilím o zabránenie ich obchádzaniu;</w:t>
      </w:r>
    </w:p>
    <w:p w14:paraId="7FBE427B" w14:textId="77777777" w:rsidR="00145B96" w:rsidRPr="00383CC9" w:rsidRDefault="00145B96" w:rsidP="00145B96">
      <w:pPr>
        <w:pStyle w:val="NormalHanging12a"/>
      </w:pPr>
      <w:r w:rsidRPr="00383CC9">
        <w:t>E.</w:t>
      </w:r>
      <w:r w:rsidRPr="00383CC9">
        <w:tab/>
        <w:t xml:space="preserve">keďže geopolitický vplyv a schopnosť uzatvárať dlhodobé partnerstvá prinášajúce vzájomný prospech vo veľkej miere závisia od hospodárskej sily, prístupu na trhy a inštitucionálnej kapacity, ako aj od vzájomne dohodnutých plánov; keďže partnerstvo a investície v rámci stratégie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by mali byť založené na reciprocite a preukázateľnom, konkrétnom vzájomnom prospechu a záujme; keďže prechod od partnerstva darca-príjemca k vzájomne prospešným investičným partnerstvám si bude vyžadovať nové riešenia prispôsobené konkrétnym okolnostiam;</w:t>
      </w:r>
    </w:p>
    <w:p w14:paraId="41096597" w14:textId="77777777" w:rsidR="00145B96" w:rsidRPr="00383CC9" w:rsidRDefault="00145B96" w:rsidP="00145B96">
      <w:pPr>
        <w:pStyle w:val="NormalHanging12a"/>
      </w:pPr>
      <w:r w:rsidRPr="00383CC9">
        <w:t>F.</w:t>
      </w:r>
      <w:r w:rsidRPr="00383CC9">
        <w:tab/>
        <w:t>keďže vzájomná závislosť v oblasti digitálnych technológií, energetiky a dodávateľských reťazcov vytvára pre EÚ príležitosti aj zraniteľné miesta; keďže účinné zapojenie súkromného sektora a realizácia projektov, primerané financovanie a silná koordinácia s partnermi vrátane občianskej spoločnosti prispievajú k dôveryhodnosti EÚ ako globálneho aktéra;</w:t>
      </w:r>
    </w:p>
    <w:p w14:paraId="208B23E7" w14:textId="77777777" w:rsidR="00145B96" w:rsidRPr="00383CC9" w:rsidRDefault="00145B96" w:rsidP="00145B96">
      <w:pPr>
        <w:pStyle w:val="NormalHanging12a"/>
      </w:pPr>
      <w:r w:rsidRPr="00383CC9">
        <w:t>G.</w:t>
      </w:r>
      <w:r w:rsidRPr="00383CC9">
        <w:tab/>
        <w:t>keďže je v záujme EÚ podporovať sociálny, hospodársky, ľudský a environmentálny rozvoj, a to aj prostredníctvom partnerstiev s občianskou spoločnosťou, posilnenej diplomacie a obchodnej spolupráce;</w:t>
      </w:r>
    </w:p>
    <w:p w14:paraId="14ED2ACA" w14:textId="77777777" w:rsidR="00145B96" w:rsidRPr="00383CC9" w:rsidRDefault="00145B96" w:rsidP="00145B96">
      <w:pPr>
        <w:pStyle w:val="NormalHanging12a"/>
      </w:pPr>
      <w:r w:rsidRPr="00383CC9">
        <w:t>H.</w:t>
      </w:r>
      <w:r w:rsidRPr="00383CC9">
        <w:tab/>
        <w:t>keďže hlavným cieľom rozvojovej spolupráce EÚ, ako sa stanovuje v článku 208 ZFEÚ, je obmedzovanie chudoby a v dlhodobom horizonte jej odstránenie, čo si vyžaduje investície a spoluprácu okrem iného v oblasti vzdelávania, vytvárania pracovných miest, zdravotníctva a sociálnej ochrany, s cieľom zabezpečiť dosiahnutie Agendy 2030 a cieľov udržateľného rozvoja a zároveň chrániť a presadzovať geopolitické záujmy EÚ;</w:t>
      </w:r>
    </w:p>
    <w:p w14:paraId="698F4100" w14:textId="77777777" w:rsidR="00145B96" w:rsidRPr="00383CC9" w:rsidRDefault="00145B96" w:rsidP="00145B96">
      <w:pPr>
        <w:pStyle w:val="NormalHanging12a"/>
      </w:pPr>
      <w:r w:rsidRPr="00383CC9">
        <w:t>I.</w:t>
      </w:r>
      <w:r w:rsidRPr="00383CC9">
        <w:tab/>
        <w:t xml:space="preserve">keďže NDICI – Globálna Európa má jasne definované kvantitatívne ciele v oblasti ľudského rozvoja, rodovej rovnosti a opatrení v oblasti klímy; keďže stratégia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sa zaväzuje dodržiavať vysoké štandardy ľudských, sociálnych a zamestnaneckých práv, transparentnosť, vytvárať rovnocenné partnerstvá namiesto závislosti a ponúkať demokratický investičný program;</w:t>
      </w:r>
    </w:p>
    <w:p w14:paraId="37BD90FD" w14:textId="77777777" w:rsidR="00145B96" w:rsidRPr="00383CC9" w:rsidRDefault="00145B96" w:rsidP="00145B96">
      <w:pPr>
        <w:pStyle w:val="NormalHanging12a"/>
      </w:pPr>
      <w:r w:rsidRPr="00383CC9">
        <w:t>J.</w:t>
      </w:r>
      <w:r w:rsidRPr="00383CC9">
        <w:tab/>
        <w:t xml:space="preserve">keďže udržateľné investície v partnerských krajinách, ktoré sú založené na hodnotách, prispievajú ku globálnej stabilite a bezpečnosti; keďže 23 % svetovej populácie žije v nestabilných podmienkach; keďže naďalej zostáva v strategickom záujme EÚ využívať špecifické nástroje na angažovanosť v nestabilných štátoch a štátoch zasiahnutých konfliktom, a to aj prostredníctvom stratégie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; keďže verejno-súkromné </w:t>
      </w:r>
      <w:r w:rsidRPr="00383CC9">
        <w:lastRenderedPageBreak/>
        <w:t>partnerstvá a projekty v oblasti infraštruktúry v takýchto krajinách môžu byť úspešné a mať významný pozitívny vplyv, ak sú správne navrhnuté;</w:t>
      </w:r>
    </w:p>
    <w:p w14:paraId="7E701AA4" w14:textId="77777777" w:rsidR="00145B96" w:rsidRPr="00383CC9" w:rsidRDefault="00145B96" w:rsidP="00145B96">
      <w:pPr>
        <w:pStyle w:val="NormalHanging12a"/>
      </w:pPr>
      <w:r w:rsidRPr="00383CC9">
        <w:t>K.</w:t>
      </w:r>
      <w:r w:rsidRPr="00383CC9">
        <w:tab/>
        <w:t>keďže investičná medzera v oblasti cieľov udržateľného rozvoja (SDG) v rozvojových krajinách v súčasnosti predstavuje 4 bilióny USD ročne; keďže záväzok súkromného sektora plniť ciele udržateľného rozvoja ponúka možnosť zvýšiť rozsah rozvojových opatrení a ich udržateľnosť vytváraním dôstojných pracovných miest, stimulovaním hospodárskeho rastu a odstraňovaním chudoby;</w:t>
      </w:r>
    </w:p>
    <w:p w14:paraId="2DBAF286" w14:textId="77777777" w:rsidR="00145B96" w:rsidRPr="00383CC9" w:rsidRDefault="00145B96" w:rsidP="00145B96">
      <w:pPr>
        <w:pStyle w:val="NormalHanging12a"/>
      </w:pPr>
      <w:r w:rsidRPr="00383CC9">
        <w:t>L.</w:t>
      </w:r>
      <w:r w:rsidRPr="00383CC9">
        <w:tab/>
        <w:t>keďže EÚ a jej členské štáty sa zaviazali vynakladať 0,7 % svojho hrubého národného dôchodku na oficiálnu rozvojovú pomoc, ktorá je určená na podporu hospodárskeho rozvoja a blahobytu rozvojových krajín; keďže geopolitické hľadiská nesmú prevažovať nad zásadami účinnosti rozvoja ani narúšať priority partnerských krajín;</w:t>
      </w:r>
    </w:p>
    <w:p w14:paraId="77F6DCB6" w14:textId="77777777" w:rsidR="00145B96" w:rsidRPr="00383CC9" w:rsidRDefault="00145B96" w:rsidP="00145B96">
      <w:pPr>
        <w:pStyle w:val="NormalHanging12a"/>
      </w:pPr>
      <w:r w:rsidRPr="00383CC9">
        <w:t>M.</w:t>
      </w:r>
      <w:r w:rsidRPr="00383CC9">
        <w:tab/>
        <w:t>keďže trvalé výsledky nemožno dosiahnuť bez záväzku partnerských krajín posilniť demokratický rozvoj v dlhodobom horizonte;</w:t>
      </w:r>
    </w:p>
    <w:p w14:paraId="547E30BF" w14:textId="77777777" w:rsidR="00145B96" w:rsidRPr="00383CC9" w:rsidRDefault="00145B96" w:rsidP="00145B96">
      <w:pPr>
        <w:pStyle w:val="NormalHanging12a"/>
      </w:pPr>
      <w:r w:rsidRPr="00383CC9">
        <w:t>N.</w:t>
      </w:r>
      <w:r w:rsidRPr="00383CC9">
        <w:tab/>
        <w:t xml:space="preserve">keďže úspech stratégie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závisí od prístupu „Tím Európa“, ktorý sa v posledných troch rokoch usiloval preukázať zodpovednosť, angažovanosť a jednotnejší hlas EÚ vo svete; keďže koncept Tím Európa by sa mohol ďalej zlepšiť, pokiaľ ide o spoločné plánovanie, navrhovanie projektov, riadenie, rozhodovanie a zapojenie zainteresovaných strán;</w:t>
      </w:r>
    </w:p>
    <w:p w14:paraId="0820E855" w14:textId="77777777" w:rsidR="00145B96" w:rsidRPr="00383CC9" w:rsidRDefault="00145B96" w:rsidP="00145B96">
      <w:pPr>
        <w:pStyle w:val="NormalHanging12a"/>
      </w:pPr>
      <w:r w:rsidRPr="00383CC9">
        <w:t>O.</w:t>
      </w:r>
      <w:r w:rsidRPr="00383CC9">
        <w:tab/>
        <w:t xml:space="preserve">keďže niektoré hlavné projekty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už boli označené za priority v rámci partnerstva G7 pre globálnu infraštruktúru a investície;</w:t>
      </w:r>
    </w:p>
    <w:p w14:paraId="717DA94B" w14:textId="77777777" w:rsidR="00145B96" w:rsidRPr="00383CC9" w:rsidRDefault="00145B96" w:rsidP="00145B96">
      <w:pPr>
        <w:pStyle w:val="NormalHanging12a"/>
      </w:pPr>
      <w:r w:rsidRPr="00383CC9">
        <w:t>P.</w:t>
      </w:r>
      <w:r w:rsidRPr="00383CC9">
        <w:tab/>
        <w:t>keďže niektoré členské štáty vypracovali plány národného partnerstva; keďže členské štáty sa vyzývajú, aby si vymieňali najlepšie postupy;</w:t>
      </w:r>
    </w:p>
    <w:p w14:paraId="7CD486B9" w14:textId="5CD9EE05" w:rsidR="00145B96" w:rsidRPr="00383CC9" w:rsidRDefault="00145B96" w:rsidP="00145B96">
      <w:pPr>
        <w:pStyle w:val="NormalHanging12a"/>
      </w:pPr>
      <w:r w:rsidRPr="00383CC9">
        <w:t>Q.</w:t>
      </w:r>
      <w:r w:rsidRPr="00383CC9">
        <w:tab/>
        <w:t xml:space="preserve">keďže </w:t>
      </w:r>
      <w:r w:rsidR="00522F0E" w:rsidRPr="00383CC9">
        <w:t>Európsky p</w:t>
      </w:r>
      <w:r w:rsidRPr="00383CC9">
        <w:t xml:space="preserve">arlament uvítal stratégiu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ako koordinovanú reakciu EÚ na globálne výzvy, pričom poukázal na nedostatky v jej riadení vrátane zosúladenia s prioritami partnerských krajín, vplyvu, zapojenia zainteresovaných strán a transparentnosti, ako aj na nedostatok pravidelných správ o vplyve hlavných iniciatív; keďže rozhodovací proces v rámci stratégie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nie je stanovený v právnych predpisoch, ale riadi sa vnútornými postupmi Komisie a rozhodnutiami Rady;</w:t>
      </w:r>
    </w:p>
    <w:p w14:paraId="00415761" w14:textId="2F8D1D85" w:rsidR="00145B96" w:rsidRPr="00383CC9" w:rsidRDefault="00145B96" w:rsidP="00145B96">
      <w:pPr>
        <w:pStyle w:val="NormalHanging12a"/>
      </w:pPr>
      <w:r w:rsidRPr="00383CC9">
        <w:t>R.</w:t>
      </w:r>
      <w:r w:rsidRPr="00383CC9">
        <w:tab/>
        <w:t xml:space="preserve">keďže </w:t>
      </w:r>
      <w:r w:rsidR="00522F0E" w:rsidRPr="00383CC9">
        <w:t>Európsky p</w:t>
      </w:r>
      <w:r w:rsidRPr="00383CC9">
        <w:t xml:space="preserve">arlament by mal v plnej miere uplatňovať svoj vplyv v rámci svojej úlohy demokratickej kontroly v politike a riadení stratégie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>, ako aj pri zabezpečovaní zodpovednosti pri hodnotení projektov;</w:t>
      </w:r>
    </w:p>
    <w:p w14:paraId="65C1D491" w14:textId="77777777" w:rsidR="00145B96" w:rsidRPr="00383CC9" w:rsidRDefault="00145B96" w:rsidP="00145B96">
      <w:pPr>
        <w:pStyle w:val="NormalHanging12a"/>
        <w:rPr>
          <w:bCs/>
          <w:iCs/>
        </w:rPr>
      </w:pPr>
      <w:r w:rsidRPr="00383CC9">
        <w:t>S.</w:t>
      </w:r>
      <w:r w:rsidRPr="00383CC9">
        <w:tab/>
        <w:t xml:space="preserve">keďže v rámci súčasnej stratégie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nemajú volené orgány v prijímajúcich krajinách, vrátane parlamentov, občianskej spoločnosti a nezávislých expertov žiadnu aktívnu úlohu pri rozhodovaní ani pri monitorovaní a zabezpečovaní zodpovednosti;</w:t>
      </w:r>
    </w:p>
    <w:p w14:paraId="58049E96" w14:textId="77777777" w:rsidR="00145B96" w:rsidRPr="00383CC9" w:rsidRDefault="00145B96" w:rsidP="00145B96">
      <w:pPr>
        <w:pStyle w:val="NormalHanging12a"/>
        <w:rPr>
          <w:bCs/>
          <w:iCs/>
        </w:rPr>
      </w:pPr>
      <w:r w:rsidRPr="00383CC9">
        <w:t>T.</w:t>
      </w:r>
      <w:r w:rsidRPr="00383CC9">
        <w:tab/>
        <w:t xml:space="preserve">keďže verejnosť má obmedzený prístup k informáciám o projektoch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>;</w:t>
      </w:r>
    </w:p>
    <w:p w14:paraId="4444B589" w14:textId="77777777" w:rsidR="00145B96" w:rsidRPr="00383CC9" w:rsidRDefault="00145B96" w:rsidP="00145B96">
      <w:pPr>
        <w:pStyle w:val="NormalHanging12a"/>
        <w:rPr>
          <w:bCs/>
          <w:iCs/>
        </w:rPr>
      </w:pPr>
      <w:r w:rsidRPr="00383CC9">
        <w:t>U.</w:t>
      </w:r>
      <w:r w:rsidRPr="00383CC9">
        <w:tab/>
        <w:t>keďže ciele a lepšie nástroje monitorovania a hodnotenia by mohli pomôcť pri posudzovaní prínosu projektov k rozvojovým cieľom a predchádzať nepriaznivým vplyvom v prijímajúcich krajinách;</w:t>
      </w:r>
    </w:p>
    <w:p w14:paraId="1AF528D5" w14:textId="77777777" w:rsidR="00145B96" w:rsidRPr="00383CC9" w:rsidRDefault="00145B96" w:rsidP="00B95DD7">
      <w:pPr>
        <w:pStyle w:val="NormalHanging12a"/>
      </w:pPr>
      <w:r w:rsidRPr="00383CC9">
        <w:rPr>
          <w:b/>
          <w:i/>
        </w:rPr>
        <w:t>Hodnotenie, strategické ciele a vízia</w:t>
      </w:r>
    </w:p>
    <w:p w14:paraId="4A2C219C" w14:textId="77777777" w:rsidR="00145B96" w:rsidRPr="00383CC9" w:rsidRDefault="00145B96" w:rsidP="00B95DD7">
      <w:pPr>
        <w:pStyle w:val="NormalHanging12a"/>
      </w:pPr>
      <w:r w:rsidRPr="00383CC9">
        <w:lastRenderedPageBreak/>
        <w:t>1.</w:t>
      </w:r>
      <w:r w:rsidRPr="00383CC9">
        <w:tab/>
        <w:t xml:space="preserve">pripomína, že iniciatíva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je strategickou geopolitickou koncepciou integrujúcou zahraničné, hospodárske a rozvojové politiky vrátane angažovanosti EÚ v oblasti ochrany klímy a adaptácie na jej zmenu, digitálnej transformácie a sektorov zdravotníctva, výskumu, vzdelávania a dopravy, s cieľom vytvoriť dlhodobé, strategické a vzájomne prospešné partnerstvá s osobitným zreteľom na budovanie a zabezpečenie udržateľných dodávateľských reťazcov a odolnosti v EÚ aj partnerských krajinách, najmä intenzívnejším zapojením súkromného sektora; zdôrazňuje, že iniciatíva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by sa mala stať dlhodobou stratégiou založenou na nadrezortnom prístupe; v tejto súvislosti víta prechod od modelu darca – príjemca k rovnocenným partnerstvám; zdôrazňuje, že dôraz by sa mal klásť na inteligentné investície do kvalitnej infraštruktúry, ktoré rešpektujú vysoké sociálne a environmentálne normy a sú v súlade so záujmami a hodnotami EÚ vrátane právneho štátu, ľudských práv a príslušných medzinárodných noriem a štandardov; zdôrazňuje, že na to, aby nástroj dosiahol želaný rozsah, je nevyhnutná koordinácia s medzinárodnými inštitúciami, zapojenie súkromného sektora a prispôsobená strategická komunikácia, a to aj v prijímajúcich krajinách;</w:t>
      </w:r>
    </w:p>
    <w:p w14:paraId="1A123A49" w14:textId="77777777" w:rsidR="00145B96" w:rsidRPr="00383CC9" w:rsidRDefault="00145B96" w:rsidP="00145B96">
      <w:pPr>
        <w:pStyle w:val="NormalHanging12a"/>
      </w:pPr>
      <w:r w:rsidRPr="00383CC9">
        <w:t>2.</w:t>
      </w:r>
      <w:r w:rsidRPr="00383CC9">
        <w:tab/>
        <w:t xml:space="preserve">zdôrazňuje, že nové </w:t>
      </w:r>
      <w:proofErr w:type="spellStart"/>
      <w:r w:rsidRPr="00383CC9">
        <w:t>geostrategické</w:t>
      </w:r>
      <w:proofErr w:type="spellEnd"/>
      <w:r w:rsidRPr="00383CC9">
        <w:t xml:space="preserve"> výzvy, ako je prebiehajúca ruská útočná vojna proti Ukrajine, ako aj rastúci vplyv a asertivita Číny a Ruska, zrušenie Agentúry Spojených štátov pre medzinárodný rozvoj (USAID) a prehĺbenie škrtov v oficiálnej rozvojovej pomoci, a to aj vo viacerých členských štátoch EÚ, vytvorili značné medzery vo financovaní pri poskytovaní základných verejných služieb; zdôrazňuje, že aktéri EÚ v oblasti zahraničnej a bezpečnostnej politiky a rozvoja musia lepšie využívať obmedzené zdroje a lepšie koordinovať svoje činnosti s cieľom zvýšiť pákový efekt, prítomnosť, vplyv a viditeľnosť EÚ na celom svete prostredníctvom vzájomne prospešných investícií, podporovať udržateľný a inkluzívny rast v partnerských krajinách, posilňovať rovnosť a živobytie miestnych komunít a pokrok pri dosahovaní cieľov udržateľného rozvoja;</w:t>
      </w:r>
    </w:p>
    <w:p w14:paraId="4852C97A" w14:textId="77777777" w:rsidR="00145B96" w:rsidRPr="00383CC9" w:rsidRDefault="00145B96" w:rsidP="00145B96">
      <w:pPr>
        <w:pStyle w:val="NormalHanging12a"/>
        <w:rPr>
          <w:bCs/>
          <w:iCs/>
        </w:rPr>
      </w:pPr>
      <w:r w:rsidRPr="00383CC9">
        <w:t>3.</w:t>
      </w:r>
      <w:r w:rsidRPr="00383CC9">
        <w:tab/>
        <w:t xml:space="preserve">poznamenáva, že stratégia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má potenciál sprevádzať, uľahčovať a posilňovať udržateľné európske investície na celom svete, ktoré partnerským krajinám poskytujú príležitosť rozvíjať ich priemyselné odvetvia a vytvárať pridanú hodnotu a dôstojné pracovné miesta na miestnej úrovni a poskytujú týmto krajinám prístup na popredné trhy v EÚ; zdôrazňuje, že dlhodobé partnerstvá, ktoré EÚ ponúka v rámci stratégie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>, môžu vytvoriť skutočnú alternatívnu ponuku pre partnerské krajiny, pokiaľ ide o ich rozvojové a hospodárske ciele, a zároveň prispieť k všeobecným cieľom EÚ v oblasti konkurencieschopnosti, odolnosti, diverzifikácie a strategickej autonómie, ako aj k dosiahnutiu spoločne dohodnutých medzinárodných cieľov;</w:t>
      </w:r>
    </w:p>
    <w:p w14:paraId="2B0827AF" w14:textId="77777777" w:rsidR="00145B96" w:rsidRPr="00383CC9" w:rsidRDefault="00145B96" w:rsidP="00145B96">
      <w:pPr>
        <w:pStyle w:val="NormalHanging12a"/>
        <w:rPr>
          <w:bCs/>
          <w:iCs/>
        </w:rPr>
      </w:pPr>
      <w:r w:rsidRPr="00383CC9">
        <w:t>4.</w:t>
      </w:r>
      <w:r w:rsidRPr="00383CC9">
        <w:tab/>
        <w:t xml:space="preserve">berie na vedomie politickú vôľu predsedníčky Komisie rozšíriť stratégiu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počas volebného obdobia 2024 – 2029; konštatuje, že Rada od roku 2022 schválila viac ako 250 hlavných projektov; ďalej konštatuje, že podľa Komisie sa do konca roka 2024 zmobilizovalo 306 miliárd EUR; vyjadruje poľutovanie nad nedostatočnou jasnosťou a transparentnosťou, pokiaľ ide o výsledky v oblasti financovania a spôsob, akým sa dosiahla suma 306 miliárd EUR;</w:t>
      </w:r>
    </w:p>
    <w:p w14:paraId="72E740A9" w14:textId="77777777" w:rsidR="00145B96" w:rsidRPr="00383CC9" w:rsidRDefault="00145B96" w:rsidP="00145B96">
      <w:pPr>
        <w:pStyle w:val="NormalHanging12a"/>
      </w:pPr>
      <w:r w:rsidRPr="00383CC9">
        <w:t>5.</w:t>
      </w:r>
      <w:r w:rsidRPr="00383CC9">
        <w:tab/>
        <w:t xml:space="preserve">konštatuje, že výber projektov sa riadil príliš centralizovaným prístupom zhora nadol bez dostatočného zapojenia zainteresovaných strán; konštatuje, že koncepcia a kritériá projektov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zostali nejasné tak pre členské štáty, ako aj pre partnerské krajiny; zdôrazňuje, že je dôležité uprednostňovať model, v ktorom dopyt v </w:t>
      </w:r>
      <w:r w:rsidRPr="00383CC9">
        <w:lastRenderedPageBreak/>
        <w:t>partnerských krajinách zodpovedá ponukám európskych podnikov v súlade so zahraničnými, hospodárskymi a rozvojovými cieľmi EÚ a medzinárodnými záväzkami, najmä Agendou 2030 a Parížskou dohodou;</w:t>
      </w:r>
    </w:p>
    <w:p w14:paraId="2CA8764D" w14:textId="53B239C7" w:rsidR="00145B96" w:rsidRPr="00383CC9" w:rsidRDefault="00145B96" w:rsidP="00145B96">
      <w:pPr>
        <w:pStyle w:val="NormalHanging12a"/>
        <w:rPr>
          <w:bCs/>
          <w:iCs/>
        </w:rPr>
      </w:pPr>
      <w:r w:rsidRPr="00383CC9">
        <w:t>6.</w:t>
      </w:r>
      <w:r w:rsidRPr="00383CC9">
        <w:tab/>
        <w:t xml:space="preserve">berie na vedomie skutočnosť, že stratégia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je založená na nariadení o nástroji NDICI – Globálna Európa; ďalej berie na vedomie návrh Komisie týkajúci sa nového nástroja Globálna Európa a konštatuje, že Komisia nevyužila príležitosť zahrnúť do neho žiadne zásadné kodifikujúce ustanovenia o stratégii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; konštatuje, že </w:t>
      </w:r>
      <w:r w:rsidR="00522F0E" w:rsidRPr="00383CC9">
        <w:t>Európsky p</w:t>
      </w:r>
      <w:r w:rsidRPr="00383CC9">
        <w:t xml:space="preserve">arlament je ako </w:t>
      </w:r>
      <w:proofErr w:type="spellStart"/>
      <w:r w:rsidRPr="00383CC9">
        <w:t>spoluzákonodarca</w:t>
      </w:r>
      <w:proofErr w:type="spellEnd"/>
      <w:r w:rsidRPr="00383CC9">
        <w:t xml:space="preserve"> ochotný predložiť objasňujúce návrhy;</w:t>
      </w:r>
    </w:p>
    <w:p w14:paraId="55CF38D2" w14:textId="77777777" w:rsidR="00145B96" w:rsidRPr="00383CC9" w:rsidRDefault="00145B96" w:rsidP="00145B96">
      <w:pPr>
        <w:pStyle w:val="NormalHanging12a"/>
        <w:rPr>
          <w:bCs/>
          <w:iCs/>
        </w:rPr>
      </w:pPr>
      <w:r w:rsidRPr="00383CC9">
        <w:t>7.</w:t>
      </w:r>
      <w:r w:rsidRPr="00383CC9">
        <w:tab/>
        <w:t xml:space="preserve">zdôrazňuje, že stratégia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musí zostať zakotvená v hlavnom cieli rozvojovej spolupráce EÚ, ktorým je znižovanie a dlhodobé odstránenie chudoby;</w:t>
      </w:r>
    </w:p>
    <w:p w14:paraId="09C3A9C2" w14:textId="77777777" w:rsidR="00145B96" w:rsidRPr="00383CC9" w:rsidRDefault="00145B96" w:rsidP="00145B96">
      <w:pPr>
        <w:pStyle w:val="NormalHanging12a"/>
        <w:rPr>
          <w:bCs/>
          <w:iCs/>
        </w:rPr>
      </w:pPr>
      <w:r w:rsidRPr="00383CC9">
        <w:t>8.</w:t>
      </w:r>
      <w:r w:rsidRPr="00383CC9">
        <w:tab/>
        <w:t xml:space="preserve">zdôrazňuje, že je nevyhnutné zabezpečiť rovnováhu medzi oficiálnou rozvojovou pomocou a financovaním mimo oficiálnej rozvojovej pomoci, a zároveň vyzýva Komisiu, aby posilnila koordináciu s nástrojmi a politikami, ktoré nesúvisia s rozvojom; žiada Komisiu, aby uviedla, či projekty stratégie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spĺňajú kritériá ODA;</w:t>
      </w:r>
    </w:p>
    <w:p w14:paraId="3254264F" w14:textId="775F658D" w:rsidR="00145B96" w:rsidRPr="00383CC9" w:rsidRDefault="00145B96" w:rsidP="00145B96">
      <w:pPr>
        <w:pStyle w:val="NormalHanging12a"/>
        <w:rPr>
          <w:bCs/>
          <w:iCs/>
        </w:rPr>
      </w:pPr>
      <w:r w:rsidRPr="00383CC9">
        <w:t>9.</w:t>
      </w:r>
      <w:r w:rsidRPr="00383CC9">
        <w:tab/>
        <w:t xml:space="preserve">vyzýva Komisiu, aby stanovila jasné a transparentné metodiky posudzovania vplyvu intervencií stratégie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financovaných z oficiálnej rozvojovej pomoci EÚ a so zapojením aktérov súkromného sektora EÚ na rozvoj a ich oprávnenosti, pokiaľ ide o kritériá Výboru pre rozvojovú pomoc Organizácie pre hospodársku spoluprácu a rozvoj; zdôrazňuje, že takéto metodiky by mali byť doplnené o posúdenia strategického významu, pričom by sa mala zohľadniť dôveryhodná konektivita a podobné zmýšľanie, odolnosť a dlhodobá udržateľnosť projektov, a vyzýva na pravidelné podávanie správ </w:t>
      </w:r>
      <w:r w:rsidR="00522F0E" w:rsidRPr="00383CC9">
        <w:t>Európskemu p</w:t>
      </w:r>
      <w:r w:rsidRPr="00383CC9">
        <w:t xml:space="preserve">arlamentu spôsobom, ktorý odráža dvojaké rozvojové a geopolitické ciele stratégie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>;</w:t>
      </w:r>
    </w:p>
    <w:p w14:paraId="614E6C54" w14:textId="77777777" w:rsidR="00145B96" w:rsidRPr="00383CC9" w:rsidRDefault="00145B96" w:rsidP="00145B96">
      <w:pPr>
        <w:pStyle w:val="NormalHanging12a"/>
        <w:rPr>
          <w:bCs/>
          <w:iCs/>
        </w:rPr>
      </w:pPr>
      <w:r w:rsidRPr="00383CC9">
        <w:t>10.</w:t>
      </w:r>
      <w:r w:rsidRPr="00383CC9">
        <w:tab/>
        <w:t xml:space="preserve">zdôrazňuje význam systematickejšieho monitorovania a hodnotenia vplyvov projektov stratégie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s cieľom zvýšiť zodpovednosť, transparentnosť a účinnosť iniciatívy;</w:t>
      </w:r>
    </w:p>
    <w:p w14:paraId="189EC53C" w14:textId="77777777" w:rsidR="00145B96" w:rsidRPr="00383CC9" w:rsidRDefault="00145B96" w:rsidP="00145B96">
      <w:pPr>
        <w:pStyle w:val="NormalHanging12a"/>
        <w:rPr>
          <w:bCs/>
          <w:iCs/>
        </w:rPr>
      </w:pPr>
      <w:r w:rsidRPr="00383CC9">
        <w:t>11.</w:t>
      </w:r>
      <w:r w:rsidRPr="00383CC9">
        <w:tab/>
        <w:t xml:space="preserve">zdôrazňuje, že investície do posilnenia postavenia žien a sociálneho kapitálu sú nielen v súlade s hodnotami EÚ, ale aj ekonomicky výhodné; zdôrazňuje význam uplatňovania rodovo </w:t>
      </w:r>
      <w:proofErr w:type="spellStart"/>
      <w:r w:rsidRPr="00383CC9">
        <w:t>responzívneho</w:t>
      </w:r>
      <w:proofErr w:type="spellEnd"/>
      <w:r w:rsidRPr="00383CC9">
        <w:t xml:space="preserve"> prístupu v programovaní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s cieľom zabezpečiť, aby investície prispievali k rodovej rovnosti;</w:t>
      </w:r>
    </w:p>
    <w:p w14:paraId="1E0145CC" w14:textId="77777777" w:rsidR="00145B96" w:rsidRPr="00383CC9" w:rsidRDefault="00145B96" w:rsidP="00145B96">
      <w:pPr>
        <w:pStyle w:val="NormalHanging12a"/>
      </w:pPr>
      <w:r w:rsidRPr="00383CC9">
        <w:t>12.</w:t>
      </w:r>
      <w:r w:rsidRPr="00383CC9">
        <w:tab/>
        <w:t xml:space="preserve">vyjadruje poľutovanie nad tým, že priorita stanovená v článku 12 ods. 2 nariadenia o NDICI – Globálna Európa pre spoločné programovanie a vykonávanie Komisiou a členskými štátmi nebola úspešne uplatnená a bola nahradená voľnejšou spoluprácou „Tím Európa“; žiada, aby sa povinné spoločné programovanie začlenilo do budúceho nástroja Globálna Európa a primerane vykonávalo, ako to dôsledne požadujú zainteresované strany stratégie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>;</w:t>
      </w:r>
    </w:p>
    <w:p w14:paraId="31DF6306" w14:textId="77777777" w:rsidR="00145B96" w:rsidRPr="00383CC9" w:rsidRDefault="00145B96" w:rsidP="00145B96">
      <w:pPr>
        <w:pStyle w:val="NormalHanging12a"/>
      </w:pPr>
      <w:r w:rsidRPr="00383CC9">
        <w:t>13.</w:t>
      </w:r>
      <w:r w:rsidRPr="00383CC9">
        <w:tab/>
        <w:t>vyzýva členské štáty, aby vykonali komplexné hodnotenie rámca Tím Európa vrátane iniciatív Tím Európa a poskytli informácie o súčasnom stave ich pokroku, zapojených aktéroch, ich financovaní a hlavných výsledkoch rozvoja;</w:t>
      </w:r>
    </w:p>
    <w:p w14:paraId="61E6B4B2" w14:textId="77777777" w:rsidR="00145B96" w:rsidRPr="00383CC9" w:rsidRDefault="00145B96" w:rsidP="00145B96">
      <w:pPr>
        <w:pStyle w:val="Normal12a"/>
      </w:pPr>
      <w:r w:rsidRPr="00383CC9">
        <w:rPr>
          <w:b/>
          <w:i/>
        </w:rPr>
        <w:t xml:space="preserve">Geopolitický význam stratégie </w:t>
      </w:r>
      <w:proofErr w:type="spellStart"/>
      <w:r w:rsidRPr="00383CC9">
        <w:rPr>
          <w:b/>
          <w:i/>
        </w:rPr>
        <w:t>Global</w:t>
      </w:r>
      <w:proofErr w:type="spellEnd"/>
      <w:r w:rsidRPr="00383CC9">
        <w:rPr>
          <w:b/>
          <w:i/>
        </w:rPr>
        <w:t xml:space="preserve"> </w:t>
      </w:r>
      <w:proofErr w:type="spellStart"/>
      <w:r w:rsidRPr="00383CC9">
        <w:rPr>
          <w:b/>
          <w:i/>
        </w:rPr>
        <w:t>Gateway</w:t>
      </w:r>
      <w:proofErr w:type="spellEnd"/>
      <w:r w:rsidRPr="00383CC9">
        <w:rPr>
          <w:b/>
          <w:i/>
        </w:rPr>
        <w:t xml:space="preserve"> </w:t>
      </w:r>
    </w:p>
    <w:p w14:paraId="6AAEF07F" w14:textId="77777777" w:rsidR="00145B96" w:rsidRPr="00383CC9" w:rsidRDefault="00145B96" w:rsidP="00145B96">
      <w:pPr>
        <w:pStyle w:val="NormalHanging12a"/>
        <w:rPr>
          <w:bCs/>
          <w:iCs/>
        </w:rPr>
      </w:pPr>
      <w:r w:rsidRPr="00383CC9">
        <w:lastRenderedPageBreak/>
        <w:t>14.</w:t>
      </w:r>
      <w:r w:rsidRPr="00383CC9">
        <w:tab/>
        <w:t xml:space="preserve">vyzýva EÚ, aby posilnila svoju strategickú pozíciu, partnerstvá a globálnu dôveryhodnosť tým, že stratégiou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ponúkne udržateľnú, transparentnú a demokratickú vzorovú alternatívu ku konkurenčným modelom a iniciatívam v oblasti infraštruktúry, ktorá bude v súlade so základnými hodnotami EÚ; ďalej vyzýva Komisiu, aby účinne a rýchlo podporovala stratégiu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ako udržateľnú alternatívu k agresívnym iniciatívam konkurentov, ako sú Čína a Rusko, ktorých podpora sa z dlhodobého hľadiska často ukázala ako spojená s vážnymi negatívnymi dôsledkami, vrátane obrovskej závislosti od dlhu; </w:t>
      </w:r>
    </w:p>
    <w:p w14:paraId="544D1E30" w14:textId="77777777" w:rsidR="00145B96" w:rsidRPr="00383CC9" w:rsidRDefault="00145B96" w:rsidP="00145B96">
      <w:pPr>
        <w:pStyle w:val="NormalHanging12a"/>
        <w:rPr>
          <w:bCs/>
          <w:iCs/>
        </w:rPr>
      </w:pPr>
      <w:r w:rsidRPr="00383CC9">
        <w:t>15.</w:t>
      </w:r>
      <w:r w:rsidRPr="00383CC9">
        <w:tab/>
        <w:t xml:space="preserve">zdôrazňuje význam jedinečného 360-stupňového prístupu stratégie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, ktorý dopĺňa investície o podporu na posilnenie právneho štátu v partnerských krajinách vrátane nezávislosti súdnictva a protikorupčných opatrení, ako aj pre zodpovedné a demokratické inštitúcie, čím sa zabezpečí, aby projekty financované EÚ mali skutočný vplyv a boli v súlade so základnými hodnotami EÚ a cieľmi udržateľného rozvoja a s budovaním priaznivého regulačného prostredia v súlade s medzinárodnými normami a environmentálnymi, sociálnymi rámcami a rámcami riadenia; </w:t>
      </w:r>
    </w:p>
    <w:p w14:paraId="2D8C006A" w14:textId="77777777" w:rsidR="00145B96" w:rsidRPr="00383CC9" w:rsidRDefault="00145B96" w:rsidP="00145B96">
      <w:pPr>
        <w:pStyle w:val="NormalHanging12a"/>
        <w:rPr>
          <w:bCs/>
          <w:iCs/>
        </w:rPr>
      </w:pPr>
      <w:r w:rsidRPr="00383CC9">
        <w:t>16.</w:t>
      </w:r>
      <w:r w:rsidRPr="00383CC9">
        <w:tab/>
        <w:t xml:space="preserve">zdôrazňuje, že účinnosť stratégie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závisí od jej schopnosti reagovať na skutočné priority partnerských krajín; vyzýva Komisiu, Európsku službu pre vonkajšiu činnosť a členské štáty, aby zabezpečili, že iniciatívy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budú čo </w:t>
      </w:r>
      <w:proofErr w:type="spellStart"/>
      <w:r w:rsidRPr="00383CC9">
        <w:t>najinkluzívnejšie</w:t>
      </w:r>
      <w:proofErr w:type="spellEnd"/>
      <w:r w:rsidRPr="00383CC9">
        <w:t xml:space="preserve"> a najzodpovednejšie, navrhnuté spoločne s miestnymi zainteresovanými stranami a zosúladené s národnými a regionálnymi rozvojovými stratégiami partnerských krajín v súlade so zásadou zodpovednosti jednotlivých krajín; zdôrazňuje potrebu prepojenia politického dialógu, investícií, rozvojovej spolupráce a diplomatických opatrení s cieľom zabezpečiť strategickú súdržnosť a trvalý vplyv;</w:t>
      </w:r>
    </w:p>
    <w:p w14:paraId="6EF8A857" w14:textId="77777777" w:rsidR="00145B96" w:rsidRPr="00383CC9" w:rsidRDefault="00145B96" w:rsidP="00145B96">
      <w:pPr>
        <w:pStyle w:val="NormalHanging12a"/>
        <w:rPr>
          <w:bCs/>
          <w:iCs/>
        </w:rPr>
      </w:pPr>
      <w:r w:rsidRPr="00383CC9">
        <w:t>17.</w:t>
      </w:r>
      <w:r w:rsidRPr="00383CC9">
        <w:tab/>
        <w:t xml:space="preserve">vyzýva Komisiu, aby navrhla projekty v rámci stratégie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s cieľom zabezpečiť silnú komplementárnosť a súlad s iniciatívami podporujúcimi medzinárodný poriadok založený na pravidlách a </w:t>
      </w:r>
      <w:proofErr w:type="spellStart"/>
      <w:r w:rsidRPr="00383CC9">
        <w:t>multilateralizmus</w:t>
      </w:r>
      <w:proofErr w:type="spellEnd"/>
      <w:r w:rsidRPr="00383CC9">
        <w:t xml:space="preserve"> vzhľadom na vytváranie blokov a zvýšené napätie;</w:t>
      </w:r>
    </w:p>
    <w:p w14:paraId="545EF688" w14:textId="77777777" w:rsidR="00145B96" w:rsidRPr="00383CC9" w:rsidRDefault="00145B96" w:rsidP="00145B96">
      <w:pPr>
        <w:pStyle w:val="NormalHanging12a"/>
        <w:rPr>
          <w:bCs/>
          <w:iCs/>
        </w:rPr>
      </w:pPr>
      <w:r w:rsidRPr="00383CC9">
        <w:t>18.</w:t>
      </w:r>
      <w:r w:rsidRPr="00383CC9">
        <w:tab/>
        <w:t xml:space="preserve">vyzýva na hlbšiu koordináciu s podobne zmýšľajúcimi partnermi, ktorí sú ochotní dodržiavať uvedené zásady a snažia sa </w:t>
      </w:r>
      <w:proofErr w:type="spellStart"/>
      <w:r w:rsidRPr="00383CC9">
        <w:t>diverzifikovať</w:t>
      </w:r>
      <w:proofErr w:type="spellEnd"/>
      <w:r w:rsidRPr="00383CC9">
        <w:t xml:space="preserve"> svoje vzťahy a riešiť rozvojové potreby, a to nad rámec transakčných dohôd, a zároveň sú v súlade so strategickými záujmami EÚ vrátane tých, ktoré obhajuje v skupinách G7, G20 a OSN, s cieľom maximalizovať kolektívny vplyv a zabezpečiť jednotné normy, financovanie a realizáciu projektov v konkurenčnom geopolitickom prostredí;</w:t>
      </w:r>
    </w:p>
    <w:p w14:paraId="5A24B305" w14:textId="77777777" w:rsidR="00145B96" w:rsidRPr="00383CC9" w:rsidRDefault="00145B96" w:rsidP="00145B96">
      <w:pPr>
        <w:pStyle w:val="NormalHanging12a"/>
        <w:rPr>
          <w:bCs/>
          <w:iCs/>
        </w:rPr>
      </w:pPr>
      <w:r w:rsidRPr="00383CC9">
        <w:t>19.</w:t>
      </w:r>
      <w:r w:rsidRPr="00383CC9">
        <w:tab/>
        <w:t xml:space="preserve">je znepokojený správami, že viaceré projekty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realizujú čínske spoločnosti, čo je v priamom rozpore s cieľom iniciatívy predstaviť alternatívu k iniciatíve Jedno pásmo, jedna cesta a vytvoriť skutočnú národnú hodnotu v partnerských krajinách; vyzýva preto na okamžité prešetrenie účasti všetkých čínskych spoločností na stratégii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>;</w:t>
      </w:r>
    </w:p>
    <w:p w14:paraId="4CF4AB12" w14:textId="77777777" w:rsidR="00145B96" w:rsidRPr="00383CC9" w:rsidRDefault="00145B96" w:rsidP="00145B96">
      <w:pPr>
        <w:pStyle w:val="NormalHanging12a"/>
        <w:rPr>
          <w:bCs/>
          <w:iCs/>
        </w:rPr>
      </w:pPr>
      <w:r w:rsidRPr="00383CC9">
        <w:t>20.</w:t>
      </w:r>
      <w:r w:rsidRPr="00383CC9">
        <w:tab/>
        <w:t>pripomína, že základná zásada súdržnosti politík v záujme rozvoja zakotvená v článku 208 ods. 1 ZFEÚ zaväzuje EÚ a jej členské štáty zohľadňovať ciele rozvojovej spolupráce vo všetkých politikách, ktoré môžu ovplyvniť rozvojové krajiny;</w:t>
      </w:r>
    </w:p>
    <w:p w14:paraId="6153ACBA" w14:textId="77777777" w:rsidR="00145B96" w:rsidRPr="00383CC9" w:rsidRDefault="00145B96" w:rsidP="00145B96">
      <w:pPr>
        <w:pStyle w:val="NormalHanging12a"/>
        <w:rPr>
          <w:bCs/>
          <w:iCs/>
        </w:rPr>
      </w:pPr>
      <w:r w:rsidRPr="00383CC9">
        <w:t>21.</w:t>
      </w:r>
      <w:r w:rsidRPr="00383CC9">
        <w:tab/>
        <w:t xml:space="preserve">vyzýva na účinnejšie zosúladenie stratégie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so spoločnou zahraničnou a bezpečnostnou politikou EÚ a cieľmi udržateľného rozvoja; vyzýva EÚ, aby vo väčšej miere využívala svoju normatívnu silu, zakotvila demokraciu, zásady právneho štátu, </w:t>
      </w:r>
      <w:r w:rsidRPr="00383CC9">
        <w:lastRenderedPageBreak/>
        <w:t xml:space="preserve">ľudské práva a udržateľný rozvoj ako základ pre všetky projekty v rámci stratégie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>, pričom zabezpečí doplnkovosť;</w:t>
      </w:r>
    </w:p>
    <w:p w14:paraId="62163795" w14:textId="77777777" w:rsidR="00145B96" w:rsidRPr="00383CC9" w:rsidRDefault="00145B96" w:rsidP="00145B96">
      <w:pPr>
        <w:pStyle w:val="NormalHanging12a"/>
        <w:rPr>
          <w:bCs/>
          <w:iCs/>
        </w:rPr>
      </w:pPr>
      <w:r w:rsidRPr="00383CC9">
        <w:t>22.</w:t>
      </w:r>
      <w:r w:rsidRPr="00383CC9">
        <w:tab/>
        <w:t xml:space="preserve">zdôrazňuje, že posilňovanie stability a bezpečnosti v partnerských krajinách prispieva k podpore hospodárskych príležitostí, odolnosti a dlhodobého udržateľného rozvoja, čím sa riešia základné príčiny nelegálnej migrácie; </w:t>
      </w:r>
    </w:p>
    <w:p w14:paraId="095F2B12" w14:textId="77777777" w:rsidR="00145B96" w:rsidRPr="00383CC9" w:rsidRDefault="00145B96" w:rsidP="00145B96">
      <w:pPr>
        <w:pStyle w:val="NormalHanging12a"/>
        <w:rPr>
          <w:bCs/>
          <w:iCs/>
        </w:rPr>
      </w:pPr>
      <w:r w:rsidRPr="00383CC9">
        <w:t>23.</w:t>
      </w:r>
      <w:r w:rsidRPr="00383CC9">
        <w:tab/>
        <w:t xml:space="preserve">zdôrazňuje, že začlenenie programu súdržnosti politík v záujme udržateľného rozvoja do stratégie EÚ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je nevyhnutné pre spoločný prístup k udržateľnému a </w:t>
      </w:r>
      <w:proofErr w:type="spellStart"/>
      <w:r w:rsidRPr="00383CC9">
        <w:t>geoekonomickému</w:t>
      </w:r>
      <w:proofErr w:type="spellEnd"/>
      <w:r w:rsidRPr="00383CC9">
        <w:t xml:space="preserve"> rozvoju;</w:t>
      </w:r>
    </w:p>
    <w:p w14:paraId="23040026" w14:textId="77777777" w:rsidR="00145B96" w:rsidRPr="00383CC9" w:rsidRDefault="00145B96" w:rsidP="00145B96">
      <w:pPr>
        <w:pStyle w:val="NormalHanging12a"/>
      </w:pPr>
      <w:r w:rsidRPr="00383CC9">
        <w:t>24.</w:t>
      </w:r>
      <w:r w:rsidRPr="00383CC9">
        <w:tab/>
        <w:t>žiada, aby sa uprednostňovali investície do energetiky, kritických surovín a zelenej transformácie s cieľom znížiť závislosť EÚ od zahraničných konkurentov, a to aj do sietí obnoviteľných zdrojov energie, koridorov čistého vodíka a udržateľnej dopravy, čím sa posilní globálny udržateľný rozvoj aj energetická autonómia EÚ; ďalej vyzýva na posilnenie digitálnej suverenity a dôveryhodnej konektivity pri súčasnom presadzovaní demokratických digitálnych noriem na globálnej úrovni;</w:t>
      </w:r>
    </w:p>
    <w:p w14:paraId="6B866487" w14:textId="77777777" w:rsidR="00145B96" w:rsidRPr="00383CC9" w:rsidRDefault="00145B96" w:rsidP="00145B96">
      <w:pPr>
        <w:pStyle w:val="NormalHanging12a"/>
        <w:rPr>
          <w:bCs/>
          <w:iCs/>
        </w:rPr>
      </w:pPr>
      <w:r w:rsidRPr="00383CC9">
        <w:t>25.</w:t>
      </w:r>
      <w:r w:rsidRPr="00383CC9">
        <w:tab/>
        <w:t xml:space="preserve">zdôrazňuje, že je potrebné, aby investície v rámci stratégie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boli v súlade s existujúcimi procesmi náležitej starostlivosti EÚ, aby boli otvorené a prospešné pre miestnych a regionálnych účastníkov trhu a občiansku spoločnosť a aby pomohli odstrániť nedostatky v infraštruktúre a nerovnosti vrátane tých, ktoré súvisia s digitálnou a energetickou chudobou, najmä vo vidieckych a okrajových oblastiach, čím sa zabezpečí, aby miestne komunity a producentské krajiny pocítili prínosy spojené s výrobou energie z obnoviteľných zdrojov a nerastných surovín, ako sú príjmy a pracovné miesta; vyzýva, aby tieto rozdiely identifikovali partnerské krajiny po konzultácii s miestnymi podnikmi, komunitami a aktérmi občianskej spoločnosti; zdôrazňuje, že tieto projekty musia vytvárať miestnu hodnotu a rešpektovať zásady univerzálnej dostupnosti a dizajnu pre všetkých, čím sa zabezpečí, aby infraštruktúra nevytvárala nové prekážky a podporovala plné začlenenie osôb so zdravotným postihnutím v najzraniteľnejších prostrediach;</w:t>
      </w:r>
    </w:p>
    <w:p w14:paraId="1DCB8E20" w14:textId="77777777" w:rsidR="00145B96" w:rsidRPr="00383CC9" w:rsidRDefault="00145B96" w:rsidP="00145B96">
      <w:pPr>
        <w:pStyle w:val="NormalHanging12a"/>
        <w:rPr>
          <w:bCs/>
          <w:iCs/>
        </w:rPr>
      </w:pPr>
      <w:r w:rsidRPr="00383CC9">
        <w:t>26.</w:t>
      </w:r>
      <w:r w:rsidRPr="00383CC9">
        <w:tab/>
        <w:t xml:space="preserve">zdôrazňuje, že energetické projekty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by mali byť navrhnuté dostatočne flexibilne, aby mohli reagovať na meniace sa technologické a trhové potreby v partnerských krajinách; vyzýva Komisiu, aby zahrnula mechanizmy pravidelného preskúmania a v prípade potreby prerozdelenia alebo úpravy investícií s cieľom zabezpečiť, aby projekty zostali relevantné, nákladovo efektívne a zosúladené s vyvíjajúcimi sa energetickými potrebami partnerských krajín;</w:t>
      </w:r>
    </w:p>
    <w:p w14:paraId="25181780" w14:textId="77777777" w:rsidR="00145B96" w:rsidRPr="00383CC9" w:rsidRDefault="00145B96" w:rsidP="00145B96">
      <w:pPr>
        <w:pStyle w:val="NormalHanging12a"/>
        <w:rPr>
          <w:bCs/>
          <w:iCs/>
        </w:rPr>
      </w:pPr>
      <w:r w:rsidRPr="00383CC9">
        <w:t>27.</w:t>
      </w:r>
      <w:r w:rsidRPr="00383CC9">
        <w:tab/>
        <w:t xml:space="preserve">zdôrazňuje, že investície do zelenej energie v rámci stratégie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musia zohľadňovať konflikty a musia byť založené na zásadách spravodlivej a transparentnej správy zdrojov, najmä ak ide o ťažbu kritických surovín; vyzýva na monitorovanie potenciálnych škodlivých vplyvov na životné prostredie a ľudské práva, ako aj rizika prehlbovania nerovností a konfliktov, a to aj v nestabilných kontextoch; zdôrazňuje najmä, že sa to týka veľkých projektov v oblasti infraštruktúry, ako sú hybridné elektrárne, projekty v oblasti vodíka, ťažba lítia, dátové centrá, rozširovanie prístavov, letiská a dopravné koridory;</w:t>
      </w:r>
    </w:p>
    <w:p w14:paraId="284A53FB" w14:textId="77777777" w:rsidR="00145B96" w:rsidRPr="00383CC9" w:rsidRDefault="00145B96" w:rsidP="00145B96">
      <w:pPr>
        <w:pStyle w:val="NormalHanging12a"/>
        <w:rPr>
          <w:bCs/>
          <w:iCs/>
        </w:rPr>
      </w:pPr>
      <w:r w:rsidRPr="00383CC9">
        <w:t>28.</w:t>
      </w:r>
      <w:r w:rsidRPr="00383CC9">
        <w:tab/>
        <w:t xml:space="preserve">zdôrazňuje, že narastajúci nedostatok vody začína predstavovať veľkú hrozbu pre perspektívy hospodárskeho rastu v partnerských krajinách, a navrhuje, aby stratégia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zahŕňala projekty a politiky v oblasti vody; uznáva, že udržateľný </w:t>
      </w:r>
      <w:r w:rsidRPr="00383CC9">
        <w:lastRenderedPageBreak/>
        <w:t xml:space="preserve">hospodársky rozvoj závisí aj od zdravých vodných útvarov, a vyzýva na systematické začleňovanie modrého rozmeru do investícií v rámci stratégie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>, ktoré podporujú zabezpečenie dostupnosti vody, odolnosť voči zmene klímy a dlhodobý sociálno-ekonomický rozvoj;</w:t>
      </w:r>
    </w:p>
    <w:p w14:paraId="46848CCA" w14:textId="77777777" w:rsidR="00145B96" w:rsidRPr="00383CC9" w:rsidRDefault="00145B96" w:rsidP="00145B96">
      <w:pPr>
        <w:pStyle w:val="NormalHanging12a"/>
        <w:rPr>
          <w:bCs/>
          <w:iCs/>
        </w:rPr>
      </w:pPr>
      <w:r w:rsidRPr="00383CC9">
        <w:t>29.</w:t>
      </w:r>
      <w:r w:rsidRPr="00383CC9">
        <w:tab/>
        <w:t xml:space="preserve">zdôrazňuje potenciál, ktorý stratégia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ponúka pre úsilie o zmiernenie zmeny klímy, pričom investície môžu prispieť k tvorbe vysokokvalitných uhlíkových kreditov v partnerských krajinách a priniesť vzájomne prospešné výsledky;</w:t>
      </w:r>
    </w:p>
    <w:p w14:paraId="6619FB98" w14:textId="77777777" w:rsidR="00145B96" w:rsidRPr="00383CC9" w:rsidRDefault="00145B96" w:rsidP="00145B96">
      <w:pPr>
        <w:pStyle w:val="NormalHanging12a"/>
        <w:rPr>
          <w:bCs/>
          <w:iCs/>
        </w:rPr>
      </w:pPr>
      <w:r w:rsidRPr="00383CC9">
        <w:t>30.</w:t>
      </w:r>
      <w:r w:rsidRPr="00383CC9">
        <w:tab/>
        <w:t xml:space="preserve">žiada o objasnenie, do akej miery je stratégia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naďalej plne súčasťou partnerstva pre globálnu infraštruktúru a investície, spoločného záväzku skupiny G7 podporovať verejné a súkromné investície do udržateľnej, inkluzívnej, odolnej a vysokokvalitnej infraštruktúry;</w:t>
      </w:r>
    </w:p>
    <w:p w14:paraId="0DD5EABC" w14:textId="77777777" w:rsidR="00145B96" w:rsidRPr="00383CC9" w:rsidRDefault="00145B96" w:rsidP="00145B96">
      <w:pPr>
        <w:pStyle w:val="NormalHanging12a"/>
        <w:rPr>
          <w:bCs/>
          <w:iCs/>
        </w:rPr>
      </w:pPr>
      <w:r w:rsidRPr="00383CC9">
        <w:t>31.</w:t>
      </w:r>
      <w:r w:rsidRPr="00383CC9">
        <w:tab/>
        <w:t>vyzýva na užšiu spoluprácu s podobne zmýšľajúcimi partnermi s cieľom vybudovať odolnú sieť dôveryhodnej konektivity, najmä, ale nie výlučne, s partnermi, ako sú Spojené kráľovstvo, Kanada, Japonsko, Austrália, Nový Zéland, Kórejská republika, India a Taiwan;</w:t>
      </w:r>
    </w:p>
    <w:p w14:paraId="629AF314" w14:textId="77777777" w:rsidR="00145B96" w:rsidRPr="00383CC9" w:rsidRDefault="00145B96" w:rsidP="00145B96">
      <w:pPr>
        <w:pStyle w:val="NormalHanging12a"/>
      </w:pPr>
      <w:r w:rsidRPr="00383CC9">
        <w:t>32.</w:t>
      </w:r>
      <w:r w:rsidRPr="00383CC9">
        <w:tab/>
        <w:t xml:space="preserve">zdôrazňuje potrebu pokračujúcej spolupráce a koordinácie s OSN a jej agentúrami, ktorá má potenciál zlepšiť globálnu prítomnosť EÚ a jej vnímanie v zahraničí; preto vyzýva Komisiu, aby spolu s členskými štátmi prostredníctvom Tímu Európa a všetkými ostatnými relevantnými, podobne zmýšľajúcimi partnermi v rámci stratégie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>, stavali na miestnych vedomostiach, technických znalostiach a na úlohe OSN pri vytváraní priaznivého prostredia, zabezpečovaní miestnej zodpovednosti, podpore inkluzívneho a udržateľného rozvoja a podpore partnerských krajín pri budovaní odolných systémov v oblasti zdravia, vzdelávania a sociálnej ochrany;</w:t>
      </w:r>
    </w:p>
    <w:p w14:paraId="6D6C3CBA" w14:textId="77777777" w:rsidR="00145B96" w:rsidRPr="00383CC9" w:rsidRDefault="00145B96" w:rsidP="00145B96">
      <w:pPr>
        <w:pStyle w:val="Normal12a"/>
      </w:pPr>
      <w:r w:rsidRPr="00383CC9">
        <w:rPr>
          <w:b/>
          <w:i/>
        </w:rPr>
        <w:t>Rozvojová spolupráca</w:t>
      </w:r>
    </w:p>
    <w:p w14:paraId="6C628C13" w14:textId="77777777" w:rsidR="00145B96" w:rsidRPr="00383CC9" w:rsidRDefault="00145B96" w:rsidP="00145B96">
      <w:pPr>
        <w:pStyle w:val="NormalHanging12a"/>
      </w:pPr>
      <w:r w:rsidRPr="00383CC9">
        <w:t>33.</w:t>
      </w:r>
      <w:r w:rsidRPr="00383CC9">
        <w:tab/>
        <w:t>zdôrazňuje, že EÚ a jej členské štáty sú naďalej najväčšími poskytovateľmi oficiálnej rozvojovej pomoci na svete; zdôrazňuje, že EÚ má veľkú ekonomickú výhodu, pokiaľ ide o jej schopnosť poskytovať prístup na atraktívny vnútorný trh a pritom chápať a rešpektovať miestnu realitu, ako aj reagovať na potreby ľudského rozvoja, ochrany životného prostredia a vytvárania dôstojných pracovných miest na miestnej úrovni;</w:t>
      </w:r>
    </w:p>
    <w:p w14:paraId="1BA4B34F" w14:textId="77777777" w:rsidR="00145B96" w:rsidRPr="00383CC9" w:rsidRDefault="00145B96" w:rsidP="00145B96">
      <w:pPr>
        <w:pStyle w:val="NormalHanging12a"/>
      </w:pPr>
      <w:r w:rsidRPr="00383CC9">
        <w:t>34.</w:t>
      </w:r>
      <w:r w:rsidRPr="00383CC9">
        <w:tab/>
        <w:t xml:space="preserve">zdôrazňuje potenciál stratégie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ako účinného nástroja na mobilizáciu finančných prostriedkov potrebných na dosiahnutie cieľov OSN v oblasti udržateľného rozvoja a na reakciu na záujem mnohých partnerských krajín o súkromné investície a globálnu integráciu miestnych hodnotových reťazcov;</w:t>
      </w:r>
    </w:p>
    <w:p w14:paraId="187FA1A9" w14:textId="77777777" w:rsidR="00145B96" w:rsidRPr="00383CC9" w:rsidRDefault="00145B96" w:rsidP="00145B96">
      <w:pPr>
        <w:pStyle w:val="NormalHanging12a"/>
      </w:pPr>
      <w:r w:rsidRPr="00383CC9">
        <w:t>35.</w:t>
      </w:r>
      <w:r w:rsidRPr="00383CC9">
        <w:tab/>
        <w:t xml:space="preserve">zdôrazňuje, že rozvojová spolupráca EÚ musí naďalej poskytovať podporu partnerským krajinám v kontexte, v ktorom stratégia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nie je primeranou odpoveďou na ich potreby; zdôrazňuje, že nestabilné a konfliktom zasiahnuté oblasti si vyžadujú osobitnú pozornosť a prispôsobené formy investícií, ako sú granty a koordinované opatrenia medzi humanitárnymi, rozvojovými a mierovými aktérmi, a to aj v najmenej rozvinutých krajinách, ktoré dopĺňajú stratégiu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alebo idú nad jej rámec, s osobitným zameraním na spoluprácu s miestnymi aktérmi a posilnenie ich postavenia; požaduje ambicióznu stratégiu s prístupom zameraným na ľudí v nestabilných podmienkach s cieľom realizovať budovanie mieru prostredníctvom prepojenia medzi humanitárnou oblasťou, rozvojom a mierom; v tejto súvislosti zdôrazňuje, že tradičná </w:t>
      </w:r>
      <w:r w:rsidRPr="00383CC9">
        <w:lastRenderedPageBreak/>
        <w:t>oficiálna rozvojová pomoc by nemala byť presmerovaná z oblastí, kde je najviac potrebná, a že musí zostať základným nástrojom na podporu odvetví, ako je zdravotná starostlivosť, vzdelávanie, miestne drobné poľnohospodárstvo, potravinová bezpečnosť, výživa, voda, primerané bývanie a sociálna ochrana, ktoré sú predpokladom stabilných, inkluzívnych a prosperujúcich spoločností, pričom EÚ by mala zlepšiť monitorovanie s cieľom zabezpečiť, aby sa oficiálna rozvojová pomoc nepresmerovala na kriminálne alebo korupčné účely; zdôrazňuje, že verejno-súkromné partnerstvá môžu dopĺňať oficiálnu rozvojovú pomoc na ľudský rozvoj, ale nesmú ju nahrádzať;</w:t>
      </w:r>
    </w:p>
    <w:p w14:paraId="7369A091" w14:textId="77777777" w:rsidR="00145B96" w:rsidRPr="00383CC9" w:rsidRDefault="00145B96" w:rsidP="00145B96">
      <w:pPr>
        <w:pStyle w:val="NormalHanging12a"/>
      </w:pPr>
      <w:r w:rsidRPr="00383CC9">
        <w:t>36.</w:t>
      </w:r>
      <w:r w:rsidRPr="00383CC9">
        <w:tab/>
        <w:t xml:space="preserve">vyzýva na pokračovanie podpory prostredníctvom projektov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na posilnenie globálnej pripravenosti na ohrozenie zdravia investovaním do rozvoja kapacít v oblasti prevencie, pripravenosti a reakcie, ako aj do udržateľných miestnych iniciatív v oblasti výroby a budovania kapacít v partnerských krajinách;</w:t>
      </w:r>
    </w:p>
    <w:p w14:paraId="3641C227" w14:textId="77777777" w:rsidR="00145B96" w:rsidRPr="00383CC9" w:rsidRDefault="00145B96" w:rsidP="00145B96">
      <w:pPr>
        <w:pStyle w:val="NormalHanging12a"/>
      </w:pPr>
      <w:r w:rsidRPr="00383CC9">
        <w:t>37.</w:t>
      </w:r>
      <w:r w:rsidRPr="00383CC9">
        <w:tab/>
        <w:t xml:space="preserve">uznáva, že značný počet partnerských krajín v rámci stratégie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sa do veľkej miery spolieha na poľnohospodárstvo ako na hlavný zdroj príjmov, zamestnanosti a potravinovej bezpečnosti; vyzýva Komisiu, aby zabezpečila, že v budúcich strategických preskúmaniach a hodnoteniach vykonávania stratégie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sa zohľadnia špecifické potreby a rozvojový potenciál poľnohospodárskeho sektora v partnerských krajinách; uznáva, že na dosiahnutie komplexných a udržateľných výsledkov v oblasti ľudského rozvoja je nevyhnutné silné financovanie z verejného sektora, ktoré je podporované trvalými záväzkami darcov; potvrdzuje, že súkromné investície a inovatívne financovanie môžu zohrávať dôležitú doplnkovú úlohu popri silnom verejnom financovaní, ale nie namiesto neho;</w:t>
      </w:r>
    </w:p>
    <w:p w14:paraId="13C2262A" w14:textId="77777777" w:rsidR="00145B96" w:rsidRPr="00383CC9" w:rsidRDefault="00145B96" w:rsidP="00145B96">
      <w:pPr>
        <w:pStyle w:val="NormalHanging12a"/>
        <w:rPr>
          <w:bCs/>
          <w:iCs/>
        </w:rPr>
      </w:pPr>
      <w:r w:rsidRPr="00383CC9">
        <w:t>38.</w:t>
      </w:r>
      <w:r w:rsidRPr="00383CC9">
        <w:tab/>
        <w:t>zdôrazňuje, že 360-stupňový prístup zahŕňa aj podporu rozvoja vzdelávania a odbornej prípravy, rovnosti a začlenenia, najmä pokiaľ ide o mládež a rodovú rovnosť; konštatuje, že si to vyžaduje komplexné politické zásahy a budovanie kapacít; zdôrazňuje, že týmto prístupom môže EÚ vytvoriť rovnaké podmienky pre európske podniky, najmä vo vzťahu k iným zahraničným investorom, pričom bude rešpektovať požiadavky na miestny obsah, podporovať rozvojové potreby partnerských krajín a zvýšiť viditeľnosť Tímu Európa;</w:t>
      </w:r>
    </w:p>
    <w:p w14:paraId="1A3EE47D" w14:textId="77777777" w:rsidR="00145B96" w:rsidRPr="00383CC9" w:rsidRDefault="00145B96" w:rsidP="00145B96">
      <w:pPr>
        <w:pStyle w:val="NormalHanging12a"/>
        <w:rPr>
          <w:bCs/>
          <w:iCs/>
        </w:rPr>
      </w:pPr>
      <w:r w:rsidRPr="00383CC9">
        <w:t>39.</w:t>
      </w:r>
      <w:r w:rsidRPr="00383CC9">
        <w:tab/>
        <w:t xml:space="preserve">zdôrazňuje, že je potrebné, aby projekty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začleňovali práva detí ako súčasť základných zásad Únie, a to zabezpečením ochrany pred vykorisťovaním a detskou prácou, ako aj prostredníctvom programov na zlepšenie prístupu k vzdelaniu, zdravotnej starostlivosti a sociálnej ochrane; vyzýva na konsolidované úsilie o zlepšenie investičného prostredia na miestnej a vnútroštátnej úrovni v partnerských krajinách vrátane budovania kapacít, ktoré by sprevádzalo reformy v oblastiach, ako je uľahčenie investícií, verejné obstarávanie, politika hospodárskej súťaže a celkové podnikateľské prostredie a podpora silných účtovných systémov; zdôrazňuje, že budovanie stabilnej hospodárskej infraštruktúry a spoľahlivého fungujúceho štátu a zvyšovanie miestnej výrobnej kapacity sú dôležitými faktormi pre dlhodobé odstránenie chudoby; pripomína, že miestne spoločnosti často čelia menovým a likvidným problémom v dôsledku nestability výmenných kurzov a obmedzenej konvertibility svojich mien, čo môže obmedzovať ich účasť na medzinárodných projektoch a oslabovať ich finančnú stabilitu;</w:t>
      </w:r>
    </w:p>
    <w:p w14:paraId="79D050F8" w14:textId="77777777" w:rsidR="00145B96" w:rsidRPr="00383CC9" w:rsidRDefault="00145B96" w:rsidP="00145B96">
      <w:pPr>
        <w:pStyle w:val="NormalHanging12a"/>
        <w:rPr>
          <w:bCs/>
          <w:iCs/>
        </w:rPr>
      </w:pPr>
      <w:r w:rsidRPr="00383CC9">
        <w:t>40.</w:t>
      </w:r>
      <w:r w:rsidRPr="00383CC9">
        <w:tab/>
        <w:t xml:space="preserve">zdôrazňuje význam akademickej a vedeckej spolupráce ako piliera digitálneho a inovačného programu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; vyzýva Komisiu, aby využila programy Horizont Európa, Erasmus+ a globálne výmenné programy v synergii s projektmi </w:t>
      </w:r>
      <w:proofErr w:type="spellStart"/>
      <w:r w:rsidRPr="00383CC9">
        <w:lastRenderedPageBreak/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s cieľom umožniť talentovaným študentom študovať v Európe a posilniť miestne odborné znalosti v partnerských krajinách a podporiť spoločný výskum, výmenu poznatkov a rozvoj digitálnych zručností; zdôrazňuje, že takýto prístup by celosvetovo posilnil kapacity v oblasti vzdelávania a výskumu a zabezpečil, aby investície do konektivity sprevádzal rozvoj ľudského kapitálu a transfer technológií;</w:t>
      </w:r>
    </w:p>
    <w:p w14:paraId="47BF37D3" w14:textId="77777777" w:rsidR="00145B96" w:rsidRPr="00383CC9" w:rsidRDefault="00145B96" w:rsidP="00145B96">
      <w:pPr>
        <w:pStyle w:val="NormalHanging12a"/>
        <w:rPr>
          <w:bCs/>
          <w:iCs/>
        </w:rPr>
      </w:pPr>
      <w:r w:rsidRPr="00383CC9">
        <w:t>41.</w:t>
      </w:r>
      <w:r w:rsidRPr="00383CC9">
        <w:tab/>
        <w:t xml:space="preserve">vyzýva EÚ, aby využila svoje politické a hospodárske postavenie na presadzovanie globálneho programu v oblasti spravodlivosti a dlhodobej udržateľnosti; zdôrazňuje, že investície v rámci stratégie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musia prispievať k znižovaniu nerovností, podporovať ľudský rozvoj a presadzovať inkluzívne a spravodlivé systémy, ktoré zapájajú a oslovujú najchudobnejších 40 % obyvateľstva, ako aj osoby najviac ohrozené vylúčením, vrátane osôb so zdravotným postihnutím, žien, dievčat a vysídleného obyvateľstva; zdôrazňuje, že rozvojová spolupráca by mala posilniť finančné systémy partnerských krajín; zdôrazňuje, že takéto úsilie by malo byť založené na 360-stupňovom prístupe stratégie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a malo by sa monitorovať;</w:t>
      </w:r>
    </w:p>
    <w:p w14:paraId="0DCD6BB4" w14:textId="77777777" w:rsidR="00145B96" w:rsidRPr="00383CC9" w:rsidRDefault="00145B96" w:rsidP="00145B96">
      <w:pPr>
        <w:pStyle w:val="NormalHanging12a"/>
        <w:rPr>
          <w:bCs/>
          <w:iCs/>
        </w:rPr>
      </w:pPr>
      <w:r w:rsidRPr="00383CC9">
        <w:t>42.</w:t>
      </w:r>
      <w:r w:rsidRPr="00383CC9">
        <w:tab/>
        <w:t>domnieva sa, že investície by mali podporovať dôstojné, dostupné a udržateľné pracovné miesta s osobitným zameraním na začlenenie zraniteľných skupín do trhu práce; navyše zdôrazňuje, že investície by mali byť podporované odbornou prípravou a zručnosťami, prenosom vedomostí a technológií v spolupráci s príslušnými miestnymi vzdelávacími inštitúciami a strediskami odbornej prípravy, ako aj odbornou prípravou učiteľov, základným vzdelávaním, dostupnou infraštruktúrou a prispôsobenými vzdelávacími materiálmi, pričom by sa malo zabezpečiť, aby programy boli v súlade so sociálno-ekonomickým kontextom každej partnerskej krajiny a aby posilňovali výrobnú štruktúru krajiny;</w:t>
      </w:r>
    </w:p>
    <w:p w14:paraId="1CA987E6" w14:textId="77777777" w:rsidR="00145B96" w:rsidRPr="00383CC9" w:rsidRDefault="00145B96" w:rsidP="00145B96">
      <w:pPr>
        <w:pStyle w:val="NormalHanging12a"/>
        <w:rPr>
          <w:bCs/>
          <w:iCs/>
        </w:rPr>
      </w:pPr>
      <w:r w:rsidRPr="00383CC9">
        <w:t>43.</w:t>
      </w:r>
      <w:r w:rsidRPr="00383CC9">
        <w:tab/>
        <w:t xml:space="preserve">konštatuje, že mnohí partneri nemajú dostatok finančných prostriedkov na rozsiahle projekty v oblasti infraštruktúry; zdôrazňuje, že stratégia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kladie veľký dôraz na rozvoj infraštruktúry a budovanie kapacít, ktoré majú slúžiť ako katalyzátor udržateľného rastu a regionálnej integrácie, ako aj prepojenia s EÚ; konštatuje, že hlavné projekty stratégie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na roky 2023, 2024 a 2025 sa osobitne zameriavali na infraštruktúru, pričom menej ako 10 % sa týkalo vzdelávania a výskum a o niečo viac ako 10 % sa zameriavalo na sektor zdravotníctva; zdôrazňuje, že vyššie úrovne investícií do zdravotníctva, vzdelávania a výskumu by mohli priniesť vyššiu hospodársku a sociálnu návratnosť ako investície do infraštruktúry;</w:t>
      </w:r>
    </w:p>
    <w:p w14:paraId="2ECF3C2D" w14:textId="77777777" w:rsidR="00145B96" w:rsidRPr="00383CC9" w:rsidRDefault="00145B96" w:rsidP="00145B96">
      <w:pPr>
        <w:pStyle w:val="NormalHanging12a"/>
      </w:pPr>
      <w:r w:rsidRPr="00383CC9">
        <w:t>44.</w:t>
      </w:r>
      <w:r w:rsidRPr="00383CC9">
        <w:tab/>
        <w:t xml:space="preserve">poukazuje na to, že mnohé rozvojové krajiny, najmä v subsaharskej Afrike, čelia vysokej úrovni verejného dlhu, čo obmedzuje ich schopnosť investovať a poskytovať sociálne a základné služby; konštatuje, že Čína je najväčším bilaterálnym veriteľom mnohých rozvojových krajín a že jej úverové praktiky prispeli k rastúcej úrovni dlhu; konštatuje, že projekty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sa realizujú vo viacerých veľmi zadlžených chudobných krajinách; zdôrazňuje, že projekty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by nemali viesť k zhoršeniu zadlženosti ani k vytváraniu nových „dlhových pascí“; vyzýva EÚ a jej členské štáty, aby znížili a zmiernili dlhové zaťaženie rozvojových krajín, najmä tých na globálnom Juhu, podporou globálnych dlhových úľav a reštrukturalizácie dlhu, pričom by mali zohľadniť zásady Konferencie OSN pre obchod a rozvoj týkajúce sa podpory zodpovedného poskytovania a získavania štátnych úverov, ako aj zásady OECD týkajúce sa udržateľnosti dlhu; konštatuje, že súčasný systém úverových ratingov neúmerne zvýhodňuje krajiny globálneho Severu v porovnaní s krajinami globálneho Juhu; vyzýva Komisiu, aby zohľadnila tieto vyššie vnímané riziká a náklady na prijaté úvery a pôžičky; navrhuje, aby stratégia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ponúkala swapy v oblasti </w:t>
      </w:r>
      <w:r w:rsidRPr="00383CC9">
        <w:lastRenderedPageBreak/>
        <w:t>spravodlivej transformácie a investícií, odpustenie dlhu za realizáciu ekologických opatrení (</w:t>
      </w:r>
      <w:proofErr w:type="spellStart"/>
      <w:r w:rsidRPr="00383CC9">
        <w:t>debt-for-nature</w:t>
      </w:r>
      <w:proofErr w:type="spellEnd"/>
      <w:r w:rsidRPr="00383CC9">
        <w:t xml:space="preserve"> </w:t>
      </w:r>
      <w:proofErr w:type="spellStart"/>
      <w:r w:rsidRPr="00383CC9">
        <w:t>swaps</w:t>
      </w:r>
      <w:proofErr w:type="spellEnd"/>
      <w:r w:rsidRPr="00383CC9">
        <w:t>) alebo opatrení v oblasti klímy (</w:t>
      </w:r>
      <w:proofErr w:type="spellStart"/>
      <w:r w:rsidRPr="00383CC9">
        <w:t>debt-for-climate</w:t>
      </w:r>
      <w:proofErr w:type="spellEnd"/>
      <w:r w:rsidRPr="00383CC9">
        <w:t xml:space="preserve"> </w:t>
      </w:r>
      <w:proofErr w:type="spellStart"/>
      <w:r w:rsidRPr="00383CC9">
        <w:t>swaps</w:t>
      </w:r>
      <w:proofErr w:type="spellEnd"/>
      <w:r w:rsidRPr="00383CC9">
        <w:t xml:space="preserve">); konštatuje, že projekty zelenej transformácie v rámci stratégie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by sa mali zohľadňovať podľa článku 6 ods. 4 Parížskej dohody vzhľadom na ich príspevok k vysokokvalitným medzinárodným kreditom;</w:t>
      </w:r>
    </w:p>
    <w:p w14:paraId="5F4457F9" w14:textId="77777777" w:rsidR="00145B96" w:rsidRPr="00383CC9" w:rsidRDefault="00145B96" w:rsidP="00145B96">
      <w:pPr>
        <w:pStyle w:val="NormalHanging12a"/>
        <w:rPr>
          <w:bCs/>
          <w:iCs/>
        </w:rPr>
      </w:pPr>
      <w:r w:rsidRPr="00383CC9">
        <w:t>45.</w:t>
      </w:r>
      <w:r w:rsidRPr="00383CC9">
        <w:tab/>
        <w:t>zdôrazňuje, že prístup k financovaniu zostáva pre mnohé rozvojové krajiny kľúčovou výzvou; víta iniciatívy zamerané na podporu rozvojových krajín pri prekonávaní prekážok v prístupe k financovaniu; uznáva význam grantov pri uvoľňovaní iných foriem financovania;</w:t>
      </w:r>
    </w:p>
    <w:p w14:paraId="5BEFCC30" w14:textId="77777777" w:rsidR="00145B96" w:rsidRPr="00383CC9" w:rsidRDefault="00145B96" w:rsidP="00145B96">
      <w:pPr>
        <w:pStyle w:val="NormalHanging12a"/>
        <w:rPr>
          <w:bCs/>
          <w:iCs/>
        </w:rPr>
      </w:pPr>
      <w:r w:rsidRPr="00383CC9">
        <w:t>46.</w:t>
      </w:r>
      <w:r w:rsidRPr="00383CC9">
        <w:tab/>
        <w:t xml:space="preserve">naliehavo vyzýva Komisiu, aby zaviedla potrebné mechanizmy na zabezpečenie toho, aby všetci partneri zapojení do projektov stratégie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v plnej miere dodržiavali právne predpisy EÚ a príslušné medzinárodné normy v oblasti boja proti úplatkárstvu, boja proti korupcii a v oblasti finančnej integrity vrátane kontrol integrity, nástrojov na posudzovanie a riadenie rizík a monitorovacích systémov na predchádzanie korupcii, nezákonným finančným tokom a iným formám neetického správania, ich odhaľovanie a riešenie;</w:t>
      </w:r>
    </w:p>
    <w:p w14:paraId="19793A63" w14:textId="77777777" w:rsidR="00145B96" w:rsidRPr="00383CC9" w:rsidRDefault="00145B96" w:rsidP="00145B96">
      <w:pPr>
        <w:pStyle w:val="NormalHanging12a"/>
      </w:pPr>
      <w:r w:rsidRPr="00383CC9">
        <w:t>47.</w:t>
      </w:r>
      <w:r w:rsidRPr="00383CC9">
        <w:tab/>
        <w:t xml:space="preserve">zdôrazňuje potrebu včasných, inkluzívnych a primeraných konzultácií s partnerskými krajinami v rámci riadenia stratégie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pred tvorbou projektov s cieľom zabezpečiť dodržiavanie zásad účinnosti rozvoja vrátane miestnej zodpovednosti;</w:t>
      </w:r>
    </w:p>
    <w:p w14:paraId="5AC19F7C" w14:textId="77777777" w:rsidR="00145B96" w:rsidRPr="00383CC9" w:rsidRDefault="00145B96" w:rsidP="00145B96">
      <w:pPr>
        <w:pStyle w:val="NormalHanging12a"/>
      </w:pPr>
      <w:r w:rsidRPr="00383CC9">
        <w:t>48.</w:t>
      </w:r>
      <w:r w:rsidRPr="00383CC9">
        <w:tab/>
        <w:t xml:space="preserve">vyzýva Komisiu, aby prijala potrebné opatrenia na uľahčenie účasti malých a stredných podnikov (MSP), vrátane družstiev a podnikov sociálneho hospodárstva, v rámci stratégie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, a to aj zavedením zjednodušených procesov a osobitných finančných okien, cieleného oslovovania, zjednodušeného prístupu k verejným obstarávaniam a podporných mechanizmov na posilnenie ich medzinárodnej konkurencieschopnosti; zdôrazňuje význam MSP pri vytváraní pracovných miest na miestnej úrovni, pre miestnu zodpovednosť a pridanú hodnotu a žiada, aby sa náležite zohľadnili ich osobitné charakteristiky, napríklad pokiaľ ide o veľkosť a finančný objem projektov, ktoré sú schopné realizovať, a kapacity na plnenie oznamovacích povinností; zdôrazňuje, že popri MSP z partnerských krajín sú európske MSP dôležitými partnermi pri realizácii stratégie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; zdôrazňuje, že stratégia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by mala prinášať vzájomné výhody vytváraním udržateľných hodnotových reťazcov, inovácií a kvalitných pracovných miest v EÚ;</w:t>
      </w:r>
    </w:p>
    <w:p w14:paraId="511048BD" w14:textId="77777777" w:rsidR="00145B96" w:rsidRPr="00383CC9" w:rsidRDefault="00145B96" w:rsidP="00145B96">
      <w:pPr>
        <w:pStyle w:val="NormalHanging12a"/>
        <w:rPr>
          <w:bCs/>
          <w:iCs/>
        </w:rPr>
      </w:pPr>
      <w:r w:rsidRPr="00383CC9">
        <w:t>49.</w:t>
      </w:r>
      <w:r w:rsidRPr="00383CC9">
        <w:tab/>
        <w:t>žiada Komisiu, aby účinnejšie a v skoršej fáze zapojila miestne a regionálne orgány do navrhovania projektov, rozhodovania a financovania; zdôrazňuje ich dvojitú úlohu ako implementujúcich partnerov a príjemcov; pripomína, že mnohé rozhodnutia týkajúce sa realizácie projektov sa prijímajú na nižšej ako celoštátnej úrovni, kde by sa mali dôkladne zohľadňovať záujmy a potreby občanov;</w:t>
      </w:r>
    </w:p>
    <w:p w14:paraId="78C35BB0" w14:textId="77777777" w:rsidR="00145B96" w:rsidRPr="00383CC9" w:rsidRDefault="00145B96" w:rsidP="00145B96">
      <w:pPr>
        <w:pStyle w:val="Normal12a"/>
      </w:pPr>
      <w:r w:rsidRPr="00383CC9">
        <w:rPr>
          <w:b/>
          <w:i/>
        </w:rPr>
        <w:t xml:space="preserve">Riadenie </w:t>
      </w:r>
    </w:p>
    <w:p w14:paraId="79A177C1" w14:textId="21C7BF65" w:rsidR="00145B96" w:rsidRPr="00383CC9" w:rsidRDefault="00145B96" w:rsidP="00145B96">
      <w:pPr>
        <w:pStyle w:val="NormalHanging12a"/>
        <w:rPr>
          <w:bCs/>
          <w:iCs/>
        </w:rPr>
      </w:pPr>
      <w:r w:rsidRPr="00383CC9">
        <w:t>50.</w:t>
      </w:r>
      <w:r w:rsidRPr="00383CC9">
        <w:tab/>
        <w:t xml:space="preserve">odporúča revíziu riadiacej štruktúry stratégie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a požaduje významnejšie zapojenie </w:t>
      </w:r>
      <w:r w:rsidR="00522F0E" w:rsidRPr="00383CC9">
        <w:t>Európskeho p</w:t>
      </w:r>
      <w:r w:rsidRPr="00383CC9">
        <w:t>arlamentu na rovnakom základe ako členské štáty;</w:t>
      </w:r>
    </w:p>
    <w:p w14:paraId="427C1B07" w14:textId="77777777" w:rsidR="00145B96" w:rsidRPr="00383CC9" w:rsidRDefault="00145B96" w:rsidP="00145B96">
      <w:pPr>
        <w:pStyle w:val="NormalHanging12a"/>
      </w:pPr>
      <w:r w:rsidRPr="00383CC9">
        <w:t>51.</w:t>
      </w:r>
      <w:r w:rsidRPr="00383CC9">
        <w:tab/>
        <w:t xml:space="preserve">vyjadruje poľutovanie nad tým, že napriek plánovaným každoročným zasadnutiam sa rada pre stratégiu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doteraz stretla len dvakrát, a to v decembri 2022 a októbri 2025, a to s obmedzeným priestorom na hlbšiu analýzu a diskusiu alebo riadenie </w:t>
      </w:r>
      <w:r w:rsidRPr="00383CC9">
        <w:lastRenderedPageBreak/>
        <w:t>budúcich činností a projektov; vyzýva Komisiu, aby zabezpečila účasť na vysokej úrovni;</w:t>
      </w:r>
    </w:p>
    <w:p w14:paraId="2E25B562" w14:textId="77777777" w:rsidR="00145B96" w:rsidRPr="00383CC9" w:rsidRDefault="00145B96" w:rsidP="00145B96">
      <w:pPr>
        <w:pStyle w:val="NormalHanging12a"/>
      </w:pPr>
      <w:r w:rsidRPr="00383CC9">
        <w:t>52.</w:t>
      </w:r>
      <w:r w:rsidRPr="00383CC9">
        <w:tab/>
        <w:t>konštatuje, že táto rada by mala fungovať ako doplnok k budúcej investičnej rade stratégie Globálna Európa a žiada Komisiu, aby objasnila a vymedzila ich príslušné mandáty;</w:t>
      </w:r>
    </w:p>
    <w:p w14:paraId="77AC4245" w14:textId="77777777" w:rsidR="00145B96" w:rsidRPr="00383CC9" w:rsidRDefault="00145B96" w:rsidP="00145B96">
      <w:pPr>
        <w:pStyle w:val="NormalHanging12a"/>
      </w:pPr>
      <w:r w:rsidRPr="00383CC9">
        <w:t>53.</w:t>
      </w:r>
      <w:r w:rsidRPr="00383CC9">
        <w:tab/>
        <w:t xml:space="preserve">žiada, aby metóda výberu hlavných projektov vychádzala z objektívnych a kvalitatívnych kritérií a aby sa predišlo škodlivému rozširovaniu projektov, maximalizoval celkový vplyv a zabezpečil merateľný úspech; vyzýva Komisiu, aby objasnila pridanú hodnotu hlavných projektov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v porovnaní s inými projektmi;</w:t>
      </w:r>
    </w:p>
    <w:p w14:paraId="267750D2" w14:textId="77777777" w:rsidR="00145B96" w:rsidRPr="00383CC9" w:rsidRDefault="00145B96" w:rsidP="00145B96">
      <w:pPr>
        <w:pStyle w:val="NormalHanging12a"/>
      </w:pPr>
      <w:r w:rsidRPr="00383CC9">
        <w:t>54.</w:t>
      </w:r>
      <w:r w:rsidRPr="00383CC9">
        <w:tab/>
        <w:t>odporúča, aby boli hlavné projekty koncipované ako ekosystémy, v ktorých môžu podniky v partnerských krajinách a v EÚ efektívne fungovať a prosperovať; trvá na podpore tzv. európskeho obsahu v hlavných projektoch a na včasnom zapojení partnerských krajín a na tom, aby sa jasne uvádzali prínosy týchto projektov v partnerských krajinách; nabáda všetky zainteresované strany, aby uvítali dlhodobú spoluprácu, pretože investície, najmä do infraštruktúry, energetiky a ťažby, sa vo veľkej miere opierajú o dlhodobú angažovanosť a bezpečnosť plánovania;</w:t>
      </w:r>
    </w:p>
    <w:p w14:paraId="4A645697" w14:textId="188C0D1A" w:rsidR="00145B96" w:rsidRPr="00383CC9" w:rsidRDefault="00145B96" w:rsidP="00145B96">
      <w:pPr>
        <w:pStyle w:val="NormalHanging12a"/>
      </w:pPr>
      <w:r w:rsidRPr="00383CC9">
        <w:t>55.</w:t>
      </w:r>
      <w:r w:rsidRPr="00383CC9">
        <w:tab/>
        <w:t xml:space="preserve">vyzýva radu pre stratégiu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>, aby zohľadňovala správy zainteresovaných strán a systematicky čerpala zo štatistických údajov, ktoré by mali byť včas a užívateľsky prívetivým spôsobom zdieľané s členskými štátmi a</w:t>
      </w:r>
      <w:r w:rsidR="00522F0E" w:rsidRPr="00383CC9">
        <w:t> Európskym p</w:t>
      </w:r>
      <w:r w:rsidRPr="00383CC9">
        <w:t>arlamentom, s cieľom usmerňovať politické riadenie, zlepšovať koordináciu a v prípade potreby upraviť budúce programovanie;</w:t>
      </w:r>
    </w:p>
    <w:p w14:paraId="065AB195" w14:textId="77777777" w:rsidR="00145B96" w:rsidRPr="00383CC9" w:rsidRDefault="00145B96" w:rsidP="00145B96">
      <w:pPr>
        <w:pStyle w:val="NormalHanging12a"/>
      </w:pPr>
      <w:r w:rsidRPr="00383CC9">
        <w:t>56.</w:t>
      </w:r>
      <w:r w:rsidRPr="00383CC9">
        <w:tab/>
        <w:t xml:space="preserve">navrhuje, aby sa rada pre stratégiu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stala ústredným operačným orgánom pre vykonávanie stratégie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, najmä pokiaľ ide o vymedzenie kritérií pre hlavné projekty, výber hlavných projektov a poskytovanie primeraných rámcových podmienok a ich financovanie; žiada, aby sa projekty a partnerstvá, ktoré sa v iných kontextoch považujú za strategické, zosúladili a zjednotili s hlavnými projektmi v rámci stratégie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>; zdôrazňuje, že zloženie rady je potrebné zmeniť tak, aby zahŕňala účastníkov s kompetenciami na operatívnej úrovni, a že je potrebné zvýšiť frekvenciu jej zasadnutí a aby sa jej programy orientovali na rozhodovanie; navrhuje, aby poradné orgány prešli rovnakým procesom „</w:t>
      </w:r>
      <w:proofErr w:type="spellStart"/>
      <w:r w:rsidRPr="00383CC9">
        <w:t>operacionalizácie</w:t>
      </w:r>
      <w:proofErr w:type="spellEnd"/>
      <w:r w:rsidRPr="00383CC9">
        <w:t>“;</w:t>
      </w:r>
    </w:p>
    <w:p w14:paraId="605B429F" w14:textId="77777777" w:rsidR="00145B96" w:rsidRPr="00383CC9" w:rsidRDefault="00145B96" w:rsidP="00145B96">
      <w:pPr>
        <w:pStyle w:val="NormalHanging12a"/>
        <w:rPr>
          <w:bCs/>
          <w:iCs/>
        </w:rPr>
      </w:pPr>
      <w:r w:rsidRPr="00383CC9">
        <w:t>57.</w:t>
      </w:r>
      <w:r w:rsidRPr="00383CC9">
        <w:tab/>
        <w:t xml:space="preserve">zastáva názor, že prístup k stratégii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by sa mal zmeniť z prístupu zhora nadol na prístup založený na dopyte; pripomína, že intenzívnejšie zapojenie európskeho súkromného sektora je jadrom stratégie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; navrhuje preto zabezpečiť pravidelnú a transparentnú účasť zástupcov európskeho súkromného sektora na formovaní a ďalšom rozvoji stratégie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; pripomína tiež, že iniciatíva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by mala byť riadená partnermi a mala by rešpektovať a zosúlaďovať národné a miestne rozvojové plány; naliehavo žiada, aby boli delegácie EÚ a zástupcovia partnerských krajín pozývaní na zasadnutia rady ad hoc vrátane zástupcov miestnych orgánov, občianskej spoločnosti a podnikov;</w:t>
      </w:r>
    </w:p>
    <w:p w14:paraId="2817AF05" w14:textId="77777777" w:rsidR="00145B96" w:rsidRPr="00383CC9" w:rsidRDefault="00145B96" w:rsidP="00145B96">
      <w:pPr>
        <w:pStyle w:val="NormalHanging12a"/>
        <w:rPr>
          <w:bCs/>
          <w:iCs/>
        </w:rPr>
      </w:pPr>
      <w:r w:rsidRPr="00383CC9">
        <w:t>58.</w:t>
      </w:r>
      <w:r w:rsidRPr="00383CC9">
        <w:tab/>
        <w:t xml:space="preserve">zdôrazňuje kľúčovú úlohu delegácií EÚ pri koordinácii s miestnymi zainteresovanými stranami, identifikácii potenciálnych investičných príležitostí, získavaní dôkladných poznatkov o konkurentoch EÚ a existujúcich nedostatkoch a pri podpore miestnych partnerov pri zosúlaďovaní ich projektových žiadostí s miestnymi prioritami, ako aj s </w:t>
      </w:r>
      <w:r w:rsidRPr="00383CC9">
        <w:lastRenderedPageBreak/>
        <w:t>prioritami EÚ, a preto vyzýva, aby boli delegáciám EÚ poskytnuté dostatočné ľudské, finančné a technické zdroje, a to aj prostredníctvom cielených vzdelávacích programov, aby mohli tieto úlohy plniť; dôrazne nesúhlasí s akýmikoľvek plánmi na zníženie počtu zamestnancov delegácií EÚ v partnerských krajinách;</w:t>
      </w:r>
    </w:p>
    <w:p w14:paraId="2FA223D1" w14:textId="77777777" w:rsidR="00145B96" w:rsidRPr="00383CC9" w:rsidRDefault="00145B96" w:rsidP="00145B96">
      <w:pPr>
        <w:pStyle w:val="NormalHanging12a"/>
        <w:rPr>
          <w:bCs/>
          <w:iCs/>
        </w:rPr>
      </w:pPr>
      <w:r w:rsidRPr="00383CC9">
        <w:t>59.</w:t>
      </w:r>
      <w:r w:rsidRPr="00383CC9">
        <w:tab/>
        <w:t xml:space="preserve">vyzýva Komisiu a všetky zainteresované strany, aby zabezpečili zmysluplné konzultácie a účasť poradnej platformy pre dialóg s občianskou spoločnosťou a miestnymi samosprávami o stratégii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, ako aj miestnych organizácií občianskej spoločnosti, marginalizovaných skupín a odborov, ženských organizácií a organizácií osôb so zdravotným postihnutím, ako aj miestnych malých a stredných podnikov a pôvodného obyvateľstva, a aby vytvorili podmienky pre to, aby tieto subjekty mohli plniť svoju demokratickú a partnerskú úlohu presahujúcu schvaľovanie, a to aj zabezpečením primeraných časových rámcov, frekvencie a nadväzujúcich opatrení na základe výsledkov týchto stretnutí; konštatuje, že platforma by mala zohrávať doplnkovú úlohu pri riadení stratégie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a zmysluplne prispievať k výberu, navrhovaniu a realizácii projektov, čím by sa zlepšila legitimita a akceptácia projektov stratégie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na miestnej úrovni;</w:t>
      </w:r>
    </w:p>
    <w:p w14:paraId="7A44C9F6" w14:textId="77777777" w:rsidR="00145B96" w:rsidRPr="00383CC9" w:rsidRDefault="00145B96" w:rsidP="00145B96">
      <w:pPr>
        <w:pStyle w:val="NormalHanging12a"/>
      </w:pPr>
      <w:r w:rsidRPr="00383CC9">
        <w:t>60.</w:t>
      </w:r>
      <w:r w:rsidRPr="00383CC9">
        <w:tab/>
        <w:t xml:space="preserve">zdôrazňuje potrebu častejších a operatívnejších konzultácií s poradnou skupinou podnikov vrátane zástupcov podnikov z globálneho Juhu, zameraných na rozhodovanie a konkrétne výsledky; trvá na tom, že potenciálne konflikty záujmov sa musia riešiť, a to aj požiadavkami na finančnú transparentnosť; navrhuje, aby členovia poradnej skupiny podnikov deklarovali svoju účasť na projektoch stratégie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>; trvá na dôležitosti začlenenia európskych a miestnych MSP do poradnej skupiny podnikov;</w:t>
      </w:r>
    </w:p>
    <w:p w14:paraId="3C04D5AF" w14:textId="45F7952A" w:rsidR="00145B96" w:rsidRPr="00383CC9" w:rsidRDefault="00145B96" w:rsidP="00145B96">
      <w:pPr>
        <w:pStyle w:val="NormalHanging12a"/>
        <w:rPr>
          <w:bCs/>
          <w:iCs/>
        </w:rPr>
      </w:pPr>
      <w:r w:rsidRPr="00383CC9">
        <w:t>61.</w:t>
      </w:r>
      <w:r w:rsidRPr="00383CC9">
        <w:tab/>
        <w:t xml:space="preserve">pripomína, že </w:t>
      </w:r>
      <w:r w:rsidR="00522F0E" w:rsidRPr="00383CC9">
        <w:t>Európsky p</w:t>
      </w:r>
      <w:r w:rsidRPr="00383CC9">
        <w:t xml:space="preserve">arlament zohráva významnú úlohu pri formovaní politík EÚ v oblasti hospodárstva, klímy, digitalizácie, obchodu a konkurencieschopnosti; zdôrazňuje, že súčasné riadenie stratégie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zatiaľ neumožnilo </w:t>
      </w:r>
      <w:r w:rsidR="00522F0E" w:rsidRPr="00383CC9">
        <w:t>Európskemu p</w:t>
      </w:r>
      <w:r w:rsidRPr="00383CC9">
        <w:t>arlamentu vykonávať kontrolné povinnosti ani prispievať k parlamentnej diplomacii;</w:t>
      </w:r>
    </w:p>
    <w:p w14:paraId="20866308" w14:textId="764B4108" w:rsidR="00145B96" w:rsidRPr="00383CC9" w:rsidRDefault="00145B96" w:rsidP="00145B96">
      <w:pPr>
        <w:pStyle w:val="NormalHanging12a"/>
        <w:rPr>
          <w:bCs/>
          <w:iCs/>
        </w:rPr>
      </w:pPr>
      <w:r w:rsidRPr="00383CC9">
        <w:t>62.</w:t>
      </w:r>
      <w:r w:rsidRPr="00383CC9">
        <w:tab/>
        <w:t xml:space="preserve">domnieva sa, že väčšie zapojenie </w:t>
      </w:r>
      <w:r w:rsidR="00522F0E" w:rsidRPr="00383CC9">
        <w:t>Európskeho p</w:t>
      </w:r>
      <w:r w:rsidRPr="00383CC9">
        <w:t xml:space="preserve">arlamentu ako jedinej priamo demokraticky volenej inštitúcie EÚ je nevyhnutné na zabezpečenie demokratickej legitimity, transparentnosti a súdržnosti politík stratégie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, ako aj na zvýšenie jej viditeľnosti; zdôrazňuje kľúčovú kontrolnú a strategickú riadiacu úlohu </w:t>
      </w:r>
      <w:r w:rsidR="00522F0E" w:rsidRPr="00383CC9">
        <w:t>Európskeho p</w:t>
      </w:r>
      <w:r w:rsidRPr="00383CC9">
        <w:t xml:space="preserve">arlamentu vrátane posilneného parlamentného dohľadu nad identifikáciou, výberom a realizáciou projektov, ako aj systematického hodnotenia výsledkov a vplyvu; zdôrazňuje, že </w:t>
      </w:r>
      <w:r w:rsidR="00522F0E" w:rsidRPr="00383CC9">
        <w:t>Európsky p</w:t>
      </w:r>
      <w:r w:rsidRPr="00383CC9">
        <w:t xml:space="preserve">arlament musí zohrávať ústrednú úlohu pri zabezpečovaní toho, aby investície v rámci stratégie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efektívne využívali zdroje a boli plne v súlade s hodnotami EÚ, rozvojovými cieľmi a normami udržateľnosti;</w:t>
      </w:r>
    </w:p>
    <w:p w14:paraId="5E91F62F" w14:textId="7757D117" w:rsidR="00145B96" w:rsidRPr="00383CC9" w:rsidRDefault="00145B96" w:rsidP="00145B96">
      <w:pPr>
        <w:pStyle w:val="NormalHanging12a"/>
        <w:rPr>
          <w:bCs/>
          <w:iCs/>
        </w:rPr>
      </w:pPr>
      <w:r w:rsidRPr="00383CC9">
        <w:t>63.</w:t>
      </w:r>
      <w:r w:rsidRPr="00383CC9">
        <w:tab/>
        <w:t xml:space="preserve">vyzýva Komisiu, aby </w:t>
      </w:r>
      <w:r w:rsidR="00522F0E" w:rsidRPr="00383CC9">
        <w:t>Európskemu p</w:t>
      </w:r>
      <w:r w:rsidRPr="00383CC9">
        <w:t xml:space="preserve">arlamentu pravidelne predkladala správy o pokroku pri realizácii projektov stratégie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a aby príslušné výbory </w:t>
      </w:r>
      <w:r w:rsidR="00522F0E" w:rsidRPr="00383CC9">
        <w:t>Európskeho p</w:t>
      </w:r>
      <w:r w:rsidRPr="00383CC9">
        <w:t xml:space="preserve">arlamentu vykonávali pravidelné a štruktúrované strategické preskúmanie realizácie stratégie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s cieľom zabezpečiť, aby jej ciele, priority a geografické zameranie zostali relevantné, koherentné a v súlade s cieľmi vonkajšej činnosti Únie a rozvojovými prioritami, ako aj s meniacim sa geopolitickým kontextom;</w:t>
      </w:r>
    </w:p>
    <w:p w14:paraId="209E3F78" w14:textId="77777777" w:rsidR="00145B96" w:rsidRPr="00383CC9" w:rsidRDefault="00145B96" w:rsidP="00145B96">
      <w:pPr>
        <w:pStyle w:val="NormalHanging12a"/>
        <w:rPr>
          <w:bCs/>
          <w:iCs/>
        </w:rPr>
      </w:pPr>
      <w:r w:rsidRPr="00383CC9">
        <w:t>64.</w:t>
      </w:r>
      <w:r w:rsidRPr="00383CC9">
        <w:tab/>
        <w:t xml:space="preserve">ďalej zdôrazňuje význam zefektívnenia spolupráce v oblasti kontroly a dohľadu medzi Európskym parlamentom a národnými parlamentmi s cieľom reagovať na prístup „Tím Európa“, keďže stratégia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je čoraz viac vo vlastníctve členských štátov; </w:t>
      </w:r>
      <w:r w:rsidRPr="00383CC9">
        <w:lastRenderedPageBreak/>
        <w:t>zaväzuje sa zabezpečiť primerané konzultácie, účasť a zastúpenie, a to aj v budúcej funkčnejšej rade; vyzýva na zapojenie parlamentov partnerských krajín, a to aj prostredníctvom pravidelnej výmeny informácií a existujúcich mnohostranných zhromaždení;</w:t>
      </w:r>
    </w:p>
    <w:p w14:paraId="71F5A2A0" w14:textId="77777777" w:rsidR="00145B96" w:rsidRPr="00383CC9" w:rsidRDefault="00145B96" w:rsidP="00145B96">
      <w:pPr>
        <w:pStyle w:val="NormalHanging12a"/>
      </w:pPr>
      <w:r w:rsidRPr="00383CC9">
        <w:t>65.</w:t>
      </w:r>
      <w:r w:rsidRPr="00383CC9">
        <w:tab/>
        <w:t xml:space="preserve">berie na vedomie novovytvorené investičné centrum stratégie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a víta plánované zefektívnenie projektových žiadostí; zdôrazňuje, že proces podávania žiadostí a koordinácia s Tímom Európa na vnútroštátnej úrovni musia byť transparentné; so znepokojením však berie na vedomie nedostatočné zastúpenie partnerských krajín, najmä občianskej spoločnosti; zdôrazňuje, že lepšie informácie o príležitostiach v rámci stratégie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sú potrebné aj pre európske spoločnosti, najmä MSP, a naliehavo vyzýva, aby sa centrum realizovalo spôsobom, ktorý uľahčí prístup MSP; ďalej požaduje jasné, verejné, aktuálne a ľahko dostupné informácie o všetkých plánovaných, prebiehajúcich a dokončených verejných súťažiach a projektoch, ako aj o možnostiach financovania, pričom osobitná pozornosť by sa mala venovať MSP a spoločnostiam z menších členských štátov, ktoré často nemajú stále zastúpenia v partnerských krajinách a je menej pravdepodobné, že budú mať k dispozícii zdroje verejnej správy na vytváranie ciest pre investície súkromného sektora; navrhuje vytvoriť platformu na vyhľadávanie potenciálnych obchodných partnerov a odberateľov;</w:t>
      </w:r>
    </w:p>
    <w:p w14:paraId="776CD1A0" w14:textId="77777777" w:rsidR="00145B96" w:rsidRPr="00383CC9" w:rsidRDefault="00145B96" w:rsidP="00145B96">
      <w:pPr>
        <w:pStyle w:val="NormalHanging12a"/>
      </w:pPr>
      <w:r w:rsidRPr="00383CC9">
        <w:t>66.</w:t>
      </w:r>
      <w:r w:rsidRPr="00383CC9">
        <w:tab/>
        <w:t xml:space="preserve">poukazuje na to, že projekty musia byť ekonomicky životaschopné alebo musia podporovať poskytovanie verejných statkov a že životaschopnosť projektov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závisí od súdržných právnych rámcov a politík, ako sú obchodné dohody, daňové politiky, dohody o odbere, systémy obchodovania s emisnými kvótami a mechanizmy uhlíkovej kompenzácie na hraniciach; vyzýva Komisiu, aby lepšie zosúladila iniciatívu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so svojím programom vnútornej politiky a iniciatívami, ako je program v oblasti konkurencieschopnosti, Európska zelená dohoda alebo digitálne desaťročie;</w:t>
      </w:r>
    </w:p>
    <w:p w14:paraId="24B2F0EC" w14:textId="77777777" w:rsidR="00145B96" w:rsidRPr="00383CC9" w:rsidRDefault="00145B96" w:rsidP="00145B96">
      <w:pPr>
        <w:pStyle w:val="NormalHanging12a"/>
      </w:pPr>
      <w:r w:rsidRPr="00383CC9">
        <w:t>67.</w:t>
      </w:r>
      <w:r w:rsidRPr="00383CC9">
        <w:tab/>
        <w:t>odporúča, aby Komisia pri výbere projektov uprednostňovala tie, ktoré majú značný strategický význam;</w:t>
      </w:r>
    </w:p>
    <w:p w14:paraId="7FD142B5" w14:textId="77777777" w:rsidR="00145B96" w:rsidRPr="00383CC9" w:rsidRDefault="00145B96" w:rsidP="00145B96">
      <w:pPr>
        <w:pStyle w:val="NormalHanging12a"/>
      </w:pPr>
      <w:r w:rsidRPr="00383CC9">
        <w:t>68.</w:t>
      </w:r>
      <w:r w:rsidRPr="00383CC9">
        <w:tab/>
        <w:t xml:space="preserve">vyzdvihuje význam cezhraničných projektov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pri posilňovaní obchodu a rozvoja s kľúčovými partnermi pri podpore hlbšej regionálnej hospodárskej integrácie v partnerských krajinách; zdôrazňuje, že rozvoj infraštruktúry by mal, pokiaľ je to možné, prispievať k integrácii obchodu v rámci regiónu, najmä medzi hospodárstvami južného susedstva, Afriky, Latinskej Ameriky a juhovýchodnej Ázie; zdôrazňuje strategický význam Africkej kontinentálnej zóny voľného obchodu pri riešení regionálnej fragmentácie a vyzýva, aby stratégia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cielene prispievala k odstraňovaniu vybraných prekážok a úzkych miest, ktoré spomalili jej vykonávanie; zdôrazňuje, že je dôležité podporovať postupný rozvoj vnútroregionálnych hodnotových reťazcov a regionálnej prepojenosti, a to aj prostredníctvom dialógu a technickej pomoci zameranej na zníženie regulačných výziev a necolných prekážok;</w:t>
      </w:r>
    </w:p>
    <w:p w14:paraId="19F903B5" w14:textId="77777777" w:rsidR="00145B96" w:rsidRPr="00383CC9" w:rsidRDefault="00145B96" w:rsidP="00145B96">
      <w:pPr>
        <w:pStyle w:val="NormalHanging12a"/>
      </w:pPr>
      <w:r w:rsidRPr="00383CC9">
        <w:t>69.</w:t>
      </w:r>
      <w:r w:rsidRPr="00383CC9">
        <w:tab/>
        <w:t xml:space="preserve">zdôrazňuje strategickú hodnotu partnerstiev pre čistý obchod a investície, ktoré sa riadia logikou orientovanou na obchod a programy a dopĺňajú projektový prístup stratégie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a zároveň umožňujú lepšiu regionálnu integráciu a prispievajú k globálnemu cieľu dosiahnutia cieľov udržateľného rozvoja; zdôrazňuje, že je nevyhnutné kombinovať prístup na trh s finančnými nástrojmi a nástrojmi financovania EÚ, ako sú Globálna Európa a stratégia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; vyzýva Komisiu, aby </w:t>
      </w:r>
      <w:r w:rsidRPr="00383CC9">
        <w:lastRenderedPageBreak/>
        <w:t xml:space="preserve">preskúmala, ako môžu partnerstvá pre čistý obchod a investície posilnené prostredníctvom stratégie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pomôcť znížiť necolné prekážky pre partnerské krajiny, a to aj prostredníctvom cielených výnimiek z vybraných právnych predpisov EÚ alebo prostredníctvom uznávania rovnocennosti; vyzýva Komisiu, aby podporovala široké zapojenie zainteresovaných strán z radov podnikov, najmä MSP, odborov, občianskej spoločnosti a miestnych spoločenstiev; zdôrazňuje svoju ochotu posilniť spoluprácu medzi parlamentmi, riadne kontrolovať prebiehajúce vykonávanie a prispieť k budovaniu partnerstva medzi ľuďmi ako základu ďalšieho spoločného úspechu;</w:t>
      </w:r>
    </w:p>
    <w:p w14:paraId="010FE43D" w14:textId="77777777" w:rsidR="00145B96" w:rsidRPr="00383CC9" w:rsidRDefault="00145B96" w:rsidP="00145B96">
      <w:pPr>
        <w:pStyle w:val="NormalHanging12a"/>
        <w:rPr>
          <w:bCs/>
          <w:iCs/>
        </w:rPr>
      </w:pPr>
      <w:r w:rsidRPr="00383CC9">
        <w:t>70.</w:t>
      </w:r>
      <w:r w:rsidRPr="00383CC9">
        <w:tab/>
        <w:t>vyzýva na výrazné zlepšenie transparentnosti, demokratickej zodpovednosti a informovanosti, zavedenie spoľahlivých mechanizmov monitorovania a hodnotenia a pravidelného podávania správ;</w:t>
      </w:r>
    </w:p>
    <w:p w14:paraId="59B3B573" w14:textId="77777777" w:rsidR="00145B96" w:rsidRPr="00383CC9" w:rsidRDefault="00145B96" w:rsidP="00145B96">
      <w:pPr>
        <w:pStyle w:val="NormalHanging12a"/>
        <w:rPr>
          <w:bCs/>
          <w:iCs/>
        </w:rPr>
      </w:pPr>
      <w:r w:rsidRPr="00383CC9">
        <w:t>71.</w:t>
      </w:r>
      <w:r w:rsidRPr="00383CC9">
        <w:tab/>
        <w:t xml:space="preserve">vyzýva na účinné meranie vplyvu projektov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na miestnej úrovni vrátane ich sociálnych, environmentálnych a ekonomických výsledkov, ako je ich príspevok k odstraňovaniu chudoby, ako aj ich finančnej a ekonomickej udržateľnosti, s využitím ukazovateľov týkajúcich sa tvorby pracovných miest, prenosu vedomostí, sociálneho začlenenia a rodovej rovnosti, v súlade s globálnymi cieľmi v oblasti sociálneho a ľudského kapitálu, ako sú ciele udržateľného rozvoja a Akčný plán pre rodovú rovnosť III;</w:t>
      </w:r>
    </w:p>
    <w:p w14:paraId="5E44ECF2" w14:textId="77777777" w:rsidR="00145B96" w:rsidRPr="00383CC9" w:rsidRDefault="00145B96" w:rsidP="00145B96">
      <w:pPr>
        <w:pStyle w:val="NormalHanging12a"/>
        <w:rPr>
          <w:bCs/>
          <w:iCs/>
        </w:rPr>
      </w:pPr>
      <w:r w:rsidRPr="00383CC9">
        <w:t>72.</w:t>
      </w:r>
      <w:r w:rsidRPr="00383CC9">
        <w:tab/>
        <w:t xml:space="preserve">okrem toho žiada Komisiu, aby poskytla dôkazy o prínosoch projektov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pre miestne podniky, najmä MSP, udržateľné a inkluzívne podniky, ako sú družstvá a sociálne podniky, miestne komunity a pracovnú silu v partnerských krajinách; vyzýva Komisiu, aby monitorovala a hodnotila vplyv projektov a zverejňovala takéto dôkazy s cieľom zabezpečiť ex </w:t>
      </w:r>
      <w:proofErr w:type="spellStart"/>
      <w:r w:rsidRPr="00383CC9">
        <w:t>ante</w:t>
      </w:r>
      <w:proofErr w:type="spellEnd"/>
      <w:r w:rsidRPr="00383CC9">
        <w:t xml:space="preserve"> a ex post, že projekty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rešpektujú záväzky v oblasti ľudských práv a majú pozitívny vplyv na miestne hospodárstvo a pozitívny dominový efekt na širšie segmenty spoločnosti; berie na vedomie obavy vyplývajúce zo štúdií a vyšetrovaní týkajúcich sa vonkajších investícií, ktoré niekedy našli len obmedzené dôkazy o miestnych prínosoch, a to aj pre MSP a komunity v partnerských krajinách;</w:t>
      </w:r>
    </w:p>
    <w:p w14:paraId="1542E200" w14:textId="7EFD4D32" w:rsidR="00145B96" w:rsidRPr="00383CC9" w:rsidRDefault="00145B96" w:rsidP="00145B96">
      <w:pPr>
        <w:pStyle w:val="NormalHanging12a"/>
        <w:rPr>
          <w:bCs/>
          <w:iCs/>
        </w:rPr>
      </w:pPr>
      <w:r w:rsidRPr="00383CC9">
        <w:t>73.</w:t>
      </w:r>
      <w:r w:rsidRPr="00383CC9">
        <w:tab/>
        <w:t xml:space="preserve">vyzýva Komisiu, aby na základe rámca založeného na dôkazoch vytvorila nové nástroje na monitorovanie a posudzovanie distribúcie a vplyvu intervencií v partnerských krajinách, najmä v oblastiach, ako sú kvalita a kvantita pracovných miest, inkluzívne vzdelávanie, zdravie, životná úroveň, vplyv na najzraniteľnejšie skupiny, nerovnosť a sociálna súdržnosť, prispôsobenie sa zmene klímy a ochrana životného prostredia, ako aj rozvoj miestnych podnikov vrátane MSP, keďže by to pomohlo optimalizovať a rozšíriť miestny vplyv súčasných intervencií a partnerstiev EÚ a podporiť navrhovanie budúcich projektov s trvalými účinkami v partnerských krajinách; víta ukazovateľ nerovnosti a posúdenie distribučného vplyvu ako užitočné nástroje na monitorovanie vplyvu projektov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; žiada, aby sa údaje rozčlenili podľa pohlavia a veku s cieľom sledovať začlenenie žien a dievčat a prínosy pre </w:t>
      </w:r>
      <w:proofErr w:type="spellStart"/>
      <w:r w:rsidRPr="00383CC9">
        <w:t>ne</w:t>
      </w:r>
      <w:proofErr w:type="spellEnd"/>
      <w:r w:rsidRPr="00383CC9">
        <w:t xml:space="preserve">; zdôrazňuje, že takýto empirický prístup zvyšuje transparentnosť výdavkov a posilňuje dohľad </w:t>
      </w:r>
      <w:r w:rsidR="00522F0E" w:rsidRPr="00383CC9">
        <w:t>Európskeho p</w:t>
      </w:r>
      <w:r w:rsidRPr="00383CC9">
        <w:t>arlamentu ako zložky rozpočtového orgánu;</w:t>
      </w:r>
    </w:p>
    <w:p w14:paraId="41E4C48F" w14:textId="77777777" w:rsidR="00145B96" w:rsidRPr="00383CC9" w:rsidRDefault="00145B96" w:rsidP="00145B96">
      <w:pPr>
        <w:pStyle w:val="NormalHanging12a"/>
        <w:rPr>
          <w:bCs/>
          <w:iCs/>
        </w:rPr>
      </w:pPr>
      <w:r w:rsidRPr="00383CC9">
        <w:t>74.</w:t>
      </w:r>
      <w:r w:rsidRPr="00383CC9">
        <w:tab/>
        <w:t>odporúča monitorovať mieru a úspešnosť zapojenia európskych a miestnych spoločností; ďalej odporúča monitorovať vytváranie dodávateľských a hodnotových reťazcov, inovačných prínosov, odolnosti a hospodárskej pridanej hodnoty v partnerských krajinách aj v EÚ;</w:t>
      </w:r>
    </w:p>
    <w:p w14:paraId="00558263" w14:textId="77777777" w:rsidR="00145B96" w:rsidRPr="00383CC9" w:rsidRDefault="00145B96" w:rsidP="00145B96">
      <w:pPr>
        <w:pStyle w:val="NormalHanging12a"/>
        <w:rPr>
          <w:bCs/>
          <w:iCs/>
        </w:rPr>
      </w:pPr>
      <w:r w:rsidRPr="00383CC9">
        <w:lastRenderedPageBreak/>
        <w:t>75.</w:t>
      </w:r>
      <w:r w:rsidRPr="00383CC9">
        <w:tab/>
        <w:t xml:space="preserve">vyzýva Komisiu, aby pravidelne zverejňovala štandardizované, podrobné a porovnateľné štatistiky o vykonávaní stratégie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, ktoré budú okrem iného zobrazovať podiel verejného obstarávania a zákaziek zadaných spoločnostiam z EÚ a mimo EÚ, objem a sektorové rozdelenie súkromných investícií mobilizovaných z každého členského štátu a hlavné vytvorené hospodárske a sociálne prínosy, a aby poskytovala dôkazy o pákovom efekte záruk EÚ, finančných nástrojov a kombinovaného financovania; zdôrazňuje, že takéto údaje sú nevyhnutné na posúdenie skutočnej úrovne „európskeho obsahu“ v projektoch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a na zabezpečenie efektívneho vynakladania finančných prostriedkov daňových poplatníkov EÚ; ďalej zdôrazňuje, že takéto opatrenia na zabezpečenie transparentnosti by umožnili posúdiť, či projekt spĺňa svoj deklarovaný cieľ, ktorým je mobilizácia významného súkromného kapitálu pre udržateľné a strategické projekty;</w:t>
      </w:r>
    </w:p>
    <w:p w14:paraId="6B77BAAC" w14:textId="77777777" w:rsidR="00145B96" w:rsidRPr="00383CC9" w:rsidRDefault="00145B96" w:rsidP="00145B96">
      <w:pPr>
        <w:pStyle w:val="NormalHanging12a"/>
        <w:rPr>
          <w:bCs/>
          <w:iCs/>
        </w:rPr>
      </w:pPr>
      <w:r w:rsidRPr="00383CC9">
        <w:t>76.</w:t>
      </w:r>
      <w:r w:rsidRPr="00383CC9">
        <w:tab/>
        <w:t xml:space="preserve">opätovne zdôrazňuje potrebu jednotnej, verejne prístupnej metodiky na výpočet mobilizovaných investícií v rámci stratégie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vrátane jasného rozlíšenia medzi financovaním z rozpočtu EÚ, príspevkami členských štátov, pákovým efektom súkromného sektora a opätovne označenými už existujúcimi projektmi; vyzýva Komisiu, aby každoročne zverejňovala auditované údaje;</w:t>
      </w:r>
    </w:p>
    <w:p w14:paraId="6B4146DA" w14:textId="77777777" w:rsidR="00145B96" w:rsidRPr="00383CC9" w:rsidRDefault="00145B96" w:rsidP="00145B96">
      <w:pPr>
        <w:pStyle w:val="NormalHanging12a"/>
      </w:pPr>
      <w:r w:rsidRPr="00383CC9">
        <w:t>77.</w:t>
      </w:r>
      <w:r w:rsidRPr="00383CC9">
        <w:tab/>
        <w:t xml:space="preserve">víta nedávne zlepšenie poskytovania informácií o stratégii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na webových sídlach Komisie, ale zdôrazňuje potrebu podrobnejších informácií o projektoch stratégie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, výberových kritériách, zdrojoch financovania, posúdeniach vplyvu ex </w:t>
      </w:r>
      <w:proofErr w:type="spellStart"/>
      <w:r w:rsidRPr="00383CC9">
        <w:t>ante</w:t>
      </w:r>
      <w:proofErr w:type="spellEnd"/>
      <w:r w:rsidRPr="00383CC9">
        <w:t xml:space="preserve">, účasti zainteresovaných strán, implementujúcich partneroch, miestnej pridanej hodnote a očakávaných, ako aj meraných výsledkoch, a to aj z hľadiska vplyvov na obchod a pokroku pri dosahovaní cieľov udržateľného rozvoja; je presvedčený, že transparentnosť a efektívna komunikácia sú nevyhnutné na zabezpečenie predvídateľnosti, posilnenie dôvery partnerských krajín, získanie ich podpory, budovanie dynamiky a preukázanie pridanej hodnoty stratégie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; berie na vedomie návrh Komisie na nový rámec sledovania a výkonnosti, ktorý by mal prispieť k zefektívneniu monitorovania a podávania správ na základe kľúčových ukazovateľov výkonnosti; poukazuje na to, že hlavnou prekážkou úspechu iniciatívy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v mnohých partnerských krajinách je stále obmedzené povedomie o nej; preto požaduje väčšiu viditeľnosť, silnejší </w:t>
      </w:r>
      <w:proofErr w:type="spellStart"/>
      <w:r w:rsidRPr="00383CC9">
        <w:t>naratív</w:t>
      </w:r>
      <w:proofErr w:type="spellEnd"/>
      <w:r w:rsidRPr="00383CC9">
        <w:t xml:space="preserve"> a súdržnú komunikačnú stratégiu;</w:t>
      </w:r>
    </w:p>
    <w:p w14:paraId="424816DA" w14:textId="77777777" w:rsidR="00145B96" w:rsidRPr="00383CC9" w:rsidRDefault="00145B96" w:rsidP="00145B96">
      <w:pPr>
        <w:pStyle w:val="NormalHanging12a"/>
      </w:pPr>
      <w:r w:rsidRPr="00383CC9">
        <w:t>78.</w:t>
      </w:r>
      <w:r w:rsidRPr="00383CC9">
        <w:tab/>
        <w:t xml:space="preserve">vyjadruje poľutovanie nad tým, že značka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stále nemá dostatočné uznanie a viditeľnosť, najmä medzi partnerskými krajinami; požaduje preto jasnú a koordinovanú komunikačnú stratégiu s dostatočnými zdrojmi, ktorá bude zahŕňať viacjazyčnú komunikáciu zameranú na záujmy EÚ a partnerských krajín a výsledky pre miestne zainteresované strany ako pozitívnu ponuku Európy; </w:t>
      </w:r>
    </w:p>
    <w:p w14:paraId="62A17432" w14:textId="77777777" w:rsidR="00145B96" w:rsidRPr="00383CC9" w:rsidRDefault="00145B96" w:rsidP="00145B96">
      <w:pPr>
        <w:pStyle w:val="NormalHanging12a"/>
      </w:pPr>
      <w:r w:rsidRPr="00383CC9">
        <w:t>79.</w:t>
      </w:r>
      <w:r w:rsidRPr="00383CC9">
        <w:tab/>
        <w:t xml:space="preserve">naliehavo vyzýva Komisiu, aby zlepšila transparentnosť vykonávania Európskeho fondu pre udržateľný rozvoj plus zverejňovaním podrobných a pravidelne aktualizovaných informácií o dohodách o záruke, podpísaných a vyplatených investíciách, implementujúcich partneroch a príjemcoch, ako to odporúča Európsky dvor audítorov; </w:t>
      </w:r>
    </w:p>
    <w:p w14:paraId="66F39B8C" w14:textId="6F2BC35D" w:rsidR="00145B96" w:rsidRPr="00383CC9" w:rsidRDefault="00145B96" w:rsidP="00145B96">
      <w:pPr>
        <w:pStyle w:val="NormalHanging12a"/>
      </w:pPr>
      <w:r w:rsidRPr="00383CC9">
        <w:t>80.</w:t>
      </w:r>
      <w:r w:rsidRPr="00383CC9">
        <w:tab/>
        <w:t xml:space="preserve">žiada, aby sa stratégia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kodifikovala a začlenila do nariadenia o NDICI – Globálna Európa, ktoré sa má prijať pred budúcim viacročným finančným rámcom na roky 2028 – 2034; zastáva názor, že takéto zlepšenie je naliehavo potrebné na zabezpečenie právnej istoty a transparentnosti mandátu; zdôrazňuje hlavné zásady </w:t>
      </w:r>
      <w:r w:rsidR="00522F0E" w:rsidRPr="00383CC9">
        <w:lastRenderedPageBreak/>
        <w:t>Európskeho p</w:t>
      </w:r>
      <w:r w:rsidRPr="00383CC9">
        <w:t xml:space="preserve">arlamentu v tejto súvislosti, konkrétne ústrednú operačnú úlohu rady pre stratégiu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pri vymedzovaní a výbere projektov, prechod od prístupu riadeného Komisiou k prístupu zdola nahor so zameraním na transformačný udržateľný program v spoločnom záujme a väčšie zapojenie podnikateľských sektorov, partnerov a</w:t>
      </w:r>
      <w:r w:rsidR="00522F0E" w:rsidRPr="00383CC9">
        <w:t> Európskeho p</w:t>
      </w:r>
      <w:r w:rsidRPr="00383CC9">
        <w:t>arlamentu, ako aj zvýšenú zodpovednosť;</w:t>
      </w:r>
    </w:p>
    <w:p w14:paraId="2AA32D97" w14:textId="77777777" w:rsidR="00145B96" w:rsidRPr="00383CC9" w:rsidRDefault="00145B96" w:rsidP="00145B96">
      <w:pPr>
        <w:pStyle w:val="Normal12a"/>
      </w:pPr>
      <w:r w:rsidRPr="00383CC9">
        <w:rPr>
          <w:b/>
          <w:i/>
        </w:rPr>
        <w:t>Budúce financovanie a verejné obstarávanie</w:t>
      </w:r>
    </w:p>
    <w:p w14:paraId="5118CAA1" w14:textId="77777777" w:rsidR="00145B96" w:rsidRPr="00383CC9" w:rsidRDefault="00145B96" w:rsidP="00145B96">
      <w:pPr>
        <w:pStyle w:val="NormalHanging12a"/>
      </w:pPr>
      <w:r w:rsidRPr="00383CC9">
        <w:t>81.</w:t>
      </w:r>
      <w:r w:rsidRPr="00383CC9">
        <w:tab/>
        <w:t xml:space="preserve">zdôrazňuje, že finančné nástroje dostupné na vnútroštátnej a európskej úrovni pre projekty </w:t>
      </w:r>
      <w:proofErr w:type="spellStart"/>
      <w:r w:rsidRPr="00383CC9">
        <w:t>Global</w:t>
      </w:r>
      <w:proofErr w:type="spellEnd"/>
      <w:r w:rsidRPr="00383CC9">
        <w:t xml:space="preserve"> </w:t>
      </w:r>
      <w:proofErr w:type="spellStart"/>
      <w:r w:rsidRPr="00383CC9">
        <w:t>Gateway</w:t>
      </w:r>
      <w:proofErr w:type="spellEnd"/>
      <w:r w:rsidRPr="00383CC9">
        <w:t xml:space="preserve"> sa musia upraviť tak, aby zohľadňovali strategický kontext, nevyhnutnosť dodávateľského reťazca, špecifiká odvetvia a konkurenčné prostredie a musia sa transformovať na súbor nástrojov umožňujúci vytváranie vzájomne prospešných partnerstiev a rovnakých podmienok pre európske podniky v partnerských krajinách; zdôrazňuje, že je nevyhnutné zabezpečiť rovnováhu medzi oficiálnou rozvojovou pomocou a financovaním mimo oficiálnej rozvojovej pomoci; pripomína Komisii súčasnú požiadavku, aby aspoň 93 % výdavkov v rámci nástroja NDICI – Globálna Európa spĺňalo kritériá oficiálnej rozvojovej pomoci; </w:t>
      </w:r>
    </w:p>
    <w:p w14:paraId="1155BBE3" w14:textId="37C184C3" w:rsidR="00E960F9" w:rsidRPr="00383CC9" w:rsidRDefault="00E960F9" w:rsidP="00145B96">
      <w:pPr>
        <w:pStyle w:val="NormalHanging12a"/>
      </w:pPr>
      <w:r w:rsidRPr="00383CC9">
        <w:t>82.</w:t>
      </w:r>
      <w:r w:rsidRPr="00383CC9">
        <w:tab/>
        <w:t>zastáva názor, že určitý počet hlavných projektov by sa mal byť určený na hospodársku odolnosť EÚ;</w:t>
      </w:r>
    </w:p>
    <w:p w14:paraId="3F2254FC" w14:textId="160EFDEA" w:rsidR="00145B96" w:rsidRPr="00383CC9" w:rsidRDefault="00E960F9" w:rsidP="00145B96">
      <w:pPr>
        <w:pStyle w:val="NormalHanging12a"/>
      </w:pPr>
      <w:r w:rsidRPr="00383CC9">
        <w:t>83</w:t>
      </w:r>
      <w:r w:rsidR="00145B96" w:rsidRPr="00383CC9">
        <w:t>.</w:t>
      </w:r>
      <w:r w:rsidR="00145B96" w:rsidRPr="00383CC9">
        <w:tab/>
        <w:t xml:space="preserve">zdôrazňuje, že projekty realizované v rámci stratégie </w:t>
      </w:r>
      <w:proofErr w:type="spellStart"/>
      <w:r w:rsidR="00145B96" w:rsidRPr="00383CC9">
        <w:t>Global</w:t>
      </w:r>
      <w:proofErr w:type="spellEnd"/>
      <w:r w:rsidR="00145B96" w:rsidRPr="00383CC9">
        <w:t xml:space="preserve"> </w:t>
      </w:r>
      <w:proofErr w:type="spellStart"/>
      <w:r w:rsidR="00145B96" w:rsidRPr="00383CC9">
        <w:t>Gateway</w:t>
      </w:r>
      <w:proofErr w:type="spellEnd"/>
      <w:r w:rsidR="00145B96" w:rsidRPr="00383CC9">
        <w:t xml:space="preserve"> sú založené na zapojení súkromného sektora EÚ, partnerských krajín a dôveryhodných partnerov; zdôrazňuje, že subjekty z EÚ alebo podobne zmýšľajúci partneri musia tvoriť významný podiel akýchkoľvek konzorcií zúčastňujúcich sa na projektoch </w:t>
      </w:r>
      <w:proofErr w:type="spellStart"/>
      <w:r w:rsidR="00145B96" w:rsidRPr="00383CC9">
        <w:t>Global</w:t>
      </w:r>
      <w:proofErr w:type="spellEnd"/>
      <w:r w:rsidR="00145B96" w:rsidRPr="00383CC9">
        <w:t xml:space="preserve"> </w:t>
      </w:r>
      <w:proofErr w:type="spellStart"/>
      <w:r w:rsidR="00145B96" w:rsidRPr="00383CC9">
        <w:t>Gateway</w:t>
      </w:r>
      <w:proofErr w:type="spellEnd"/>
      <w:r w:rsidR="00145B96" w:rsidRPr="00383CC9">
        <w:t>;</w:t>
      </w:r>
    </w:p>
    <w:p w14:paraId="232320DD" w14:textId="582FC203" w:rsidR="00145B96" w:rsidRPr="00383CC9" w:rsidRDefault="00E960F9" w:rsidP="00145B96">
      <w:pPr>
        <w:pStyle w:val="NormalHanging12a"/>
      </w:pPr>
      <w:r w:rsidRPr="00383CC9">
        <w:t>84</w:t>
      </w:r>
      <w:r w:rsidR="00145B96" w:rsidRPr="00383CC9">
        <w:t>.</w:t>
      </w:r>
      <w:r w:rsidR="00145B96" w:rsidRPr="00383CC9">
        <w:tab/>
        <w:t xml:space="preserve">zdôrazňuje, že politiky verejného obstarávania, postupy náležitej starostlivosti a koncepcia verejných súťaží majú veľký vplyv na úspech alebo neúspech projektov </w:t>
      </w:r>
      <w:proofErr w:type="spellStart"/>
      <w:r w:rsidR="00145B96" w:rsidRPr="00383CC9">
        <w:t>Global</w:t>
      </w:r>
      <w:proofErr w:type="spellEnd"/>
      <w:r w:rsidR="00145B96" w:rsidRPr="00383CC9">
        <w:t xml:space="preserve"> </w:t>
      </w:r>
      <w:proofErr w:type="spellStart"/>
      <w:r w:rsidR="00145B96" w:rsidRPr="00383CC9">
        <w:t>Gateway</w:t>
      </w:r>
      <w:proofErr w:type="spellEnd"/>
      <w:r w:rsidR="00145B96" w:rsidRPr="00383CC9">
        <w:t>; vyzýva na využívanie environmentálnych, sociálnych a riadiacich kritérií, ako aj kritérií týkajúcich sa kvality, inovácií, odolnosti a európskej účasti, bezpečnosti, spoľahlivosti, udržateľnosti a konkurencieschopnosti; žiada Komisiu, aby definovala pojem „strategické verejné obstarávanie“ a zabezpečila, aby postupy verejného obstarávania a kritériá výberu projektov odrážali vyššie uvedené požiadavky, pričom uprednostňovala kvalitatívne kritériá pred cenou, zachovávala transparentnosť, podporovala spravodlivú hospodársku súťaž a efektívnosť vynaložených prostriedkov a chránila strategické záujmy a autonómiu EÚ, ako aj súlad s jej hodnotami; vyzýva Komisiu, aby zvážila úpravu svojho prístupu a pravidiel verejného obstarávania s cieľom zabezpečiť rovnaké podmienky pre európske spoločnosti;</w:t>
      </w:r>
    </w:p>
    <w:p w14:paraId="15B0858B" w14:textId="3B32DC49" w:rsidR="00145B96" w:rsidRPr="00383CC9" w:rsidRDefault="00E960F9" w:rsidP="00145B96">
      <w:pPr>
        <w:pStyle w:val="NormalHanging12a"/>
      </w:pPr>
      <w:r w:rsidRPr="00383CC9">
        <w:t>85</w:t>
      </w:r>
      <w:r w:rsidR="00145B96" w:rsidRPr="00383CC9">
        <w:t>.</w:t>
      </w:r>
      <w:r w:rsidR="00145B96" w:rsidRPr="00383CC9">
        <w:tab/>
        <w:t xml:space="preserve">vyzýva Komisiu, aby zaviedla takéto kritériá oprávnenosti pre spoločnosti zúčastňujúce sa na projektoch </w:t>
      </w:r>
      <w:proofErr w:type="spellStart"/>
      <w:r w:rsidR="00145B96" w:rsidRPr="00383CC9">
        <w:t>Global</w:t>
      </w:r>
      <w:proofErr w:type="spellEnd"/>
      <w:r w:rsidR="00145B96" w:rsidRPr="00383CC9">
        <w:t xml:space="preserve"> </w:t>
      </w:r>
      <w:proofErr w:type="spellStart"/>
      <w:r w:rsidR="00145B96" w:rsidRPr="00383CC9">
        <w:t>Gateway</w:t>
      </w:r>
      <w:proofErr w:type="spellEnd"/>
      <w:r w:rsidR="00145B96" w:rsidRPr="00383CC9">
        <w:t xml:space="preserve"> s cieľom zabezpečiť, aby spoločnosti z EÚ, podobne zmýšľajúcich krajín a partnerských krajín vždy zachovali prevádzkovú kontrolu nad príslušnými projektmi;</w:t>
      </w:r>
    </w:p>
    <w:p w14:paraId="2FFFF55F" w14:textId="2939A547" w:rsidR="00145B96" w:rsidRPr="00383CC9" w:rsidRDefault="00E960F9" w:rsidP="00145B96">
      <w:pPr>
        <w:pStyle w:val="NormalHanging12a"/>
      </w:pPr>
      <w:r w:rsidRPr="00383CC9">
        <w:t>86</w:t>
      </w:r>
      <w:r w:rsidR="00145B96" w:rsidRPr="00383CC9">
        <w:t>.</w:t>
      </w:r>
      <w:r w:rsidR="00145B96" w:rsidRPr="00383CC9">
        <w:tab/>
        <w:t>vyjadruje uznanie Európskej investičnej banke (EIB) za to, že zaviedla svoj plán strategického verejného obstarávania a že podstatnú časť projektov financovaných EIB už realizujú spoločnosti EÚ; žiada EIB, aby kriticky zhodnotila a zmenila svoj prístup založený na odmietaní rizika;</w:t>
      </w:r>
    </w:p>
    <w:p w14:paraId="0975091E" w14:textId="77777777" w:rsidR="00145B96" w:rsidRPr="00383CC9" w:rsidRDefault="00145B96" w:rsidP="00145B96">
      <w:pPr>
        <w:pStyle w:val="NormalHanging12a"/>
        <w:rPr>
          <w:b/>
          <w:i/>
        </w:rPr>
      </w:pPr>
      <w:r w:rsidRPr="00383CC9">
        <w:rPr>
          <w:b/>
          <w:i/>
        </w:rPr>
        <w:t xml:space="preserve">Podpora obchodu a investícií </w:t>
      </w:r>
    </w:p>
    <w:p w14:paraId="69EB81F0" w14:textId="23865695" w:rsidR="00145B96" w:rsidRPr="00383CC9" w:rsidRDefault="00E960F9" w:rsidP="00145B96">
      <w:pPr>
        <w:pStyle w:val="NormalHanging12a"/>
        <w:rPr>
          <w:bCs/>
          <w:iCs/>
        </w:rPr>
      </w:pPr>
      <w:r w:rsidRPr="00383CC9">
        <w:lastRenderedPageBreak/>
        <w:t>87</w:t>
      </w:r>
      <w:r w:rsidR="00145B96" w:rsidRPr="00383CC9">
        <w:t>.</w:t>
      </w:r>
      <w:r w:rsidR="00145B96" w:rsidRPr="00383CC9">
        <w:tab/>
        <w:t xml:space="preserve">zdôrazňuje, že v prípade projektov s obchodným a investičným rozmerom by stratégia </w:t>
      </w:r>
      <w:proofErr w:type="spellStart"/>
      <w:r w:rsidR="00145B96" w:rsidRPr="00383CC9">
        <w:t>Global</w:t>
      </w:r>
      <w:proofErr w:type="spellEnd"/>
      <w:r w:rsidR="00145B96" w:rsidRPr="00383CC9">
        <w:t xml:space="preserve"> </w:t>
      </w:r>
      <w:proofErr w:type="spellStart"/>
      <w:r w:rsidR="00145B96" w:rsidRPr="00383CC9">
        <w:t>Gateway</w:t>
      </w:r>
      <w:proofErr w:type="spellEnd"/>
      <w:r w:rsidR="00145B96" w:rsidRPr="00383CC9">
        <w:t xml:space="preserve"> mala posilňovať a uľahčovať vzájomne prospešné obchodné a investičné vzťahy, a to najmä rozvíjaním a otváraním nových obchodných ciest a podnikateľských príležitostí aj pre malé a stredné podniky, a podporou rozvoja a modernizácie infraštruktúry priaznivej pre obchod, ktorá je kľúčová pre riešenie vysokých obchodných nákladov; uznáva, že v čoraz konkurenčnejšom globálnom prostredí, kde sa obchodné závislosti vo veľkej miere využívajú ako zbrane a nástroje hospodárskeho nátlaku, zohráva stratégia </w:t>
      </w:r>
      <w:proofErr w:type="spellStart"/>
      <w:r w:rsidR="00145B96" w:rsidRPr="00383CC9">
        <w:t>Global</w:t>
      </w:r>
      <w:proofErr w:type="spellEnd"/>
      <w:r w:rsidR="00145B96" w:rsidRPr="00383CC9">
        <w:t xml:space="preserve"> </w:t>
      </w:r>
      <w:proofErr w:type="spellStart"/>
      <w:r w:rsidR="00145B96" w:rsidRPr="00383CC9">
        <w:t>Gateway</w:t>
      </w:r>
      <w:proofErr w:type="spellEnd"/>
      <w:r w:rsidR="00145B96" w:rsidRPr="00383CC9">
        <w:t xml:space="preserve"> kľúčovú úlohu pri podpore diverzifikácie dodávateľských reťazcov, znižovaní kritických závislostí v kľúčových odvetviach, posilňovaní geopolitického postavenia EÚ a zvyšovaní jej strategickej odolnosti, hospodárskej bezpečnosti a dlhodobej konkurencieschopnosti, ako sa zdôrazňuje v správe </w:t>
      </w:r>
      <w:proofErr w:type="spellStart"/>
      <w:r w:rsidR="00145B96" w:rsidRPr="00383CC9">
        <w:t>Maria</w:t>
      </w:r>
      <w:proofErr w:type="spellEnd"/>
      <w:r w:rsidR="00145B96" w:rsidRPr="00383CC9">
        <w:t xml:space="preserve"> </w:t>
      </w:r>
      <w:proofErr w:type="spellStart"/>
      <w:r w:rsidR="00145B96" w:rsidRPr="00383CC9">
        <w:t>Draghiho</w:t>
      </w:r>
      <w:proofErr w:type="spellEnd"/>
      <w:r w:rsidR="00145B96" w:rsidRPr="00383CC9">
        <w:t xml:space="preserve"> z 9. septembra 2024 o budúcnosti európskej konkurencieschopnosti, a zároveň v súlade so zásadou súdržnosti politík v oblasti rozvoja podporuje rozvojové priority partnerských krajín a rešpektuje ich demokratické rozhodovacie procesy;</w:t>
      </w:r>
    </w:p>
    <w:p w14:paraId="0AE4BD51" w14:textId="73B45809" w:rsidR="00145B96" w:rsidRPr="00383CC9" w:rsidRDefault="00E960F9" w:rsidP="00145B96">
      <w:pPr>
        <w:pStyle w:val="NormalHanging12a"/>
        <w:rPr>
          <w:bCs/>
          <w:iCs/>
        </w:rPr>
      </w:pPr>
      <w:r w:rsidRPr="00383CC9">
        <w:t>88</w:t>
      </w:r>
      <w:r w:rsidR="00145B96" w:rsidRPr="00383CC9">
        <w:t>.</w:t>
      </w:r>
      <w:r w:rsidR="00145B96" w:rsidRPr="00383CC9">
        <w:tab/>
        <w:t xml:space="preserve">zdôrazňuje, že úspech investícií do stratégie </w:t>
      </w:r>
      <w:proofErr w:type="spellStart"/>
      <w:r w:rsidR="00145B96" w:rsidRPr="00383CC9">
        <w:t>Global</w:t>
      </w:r>
      <w:proofErr w:type="spellEnd"/>
      <w:r w:rsidR="00145B96" w:rsidRPr="00383CC9">
        <w:t xml:space="preserve"> </w:t>
      </w:r>
      <w:proofErr w:type="spellStart"/>
      <w:r w:rsidR="00145B96" w:rsidRPr="00383CC9">
        <w:t>Gateway</w:t>
      </w:r>
      <w:proofErr w:type="spellEnd"/>
      <w:r w:rsidR="00145B96" w:rsidRPr="00383CC9">
        <w:t xml:space="preserve"> závisí od stabilného a predvídateľného obchodného rámca; vyzýva, aby investície do stratégie </w:t>
      </w:r>
      <w:proofErr w:type="spellStart"/>
      <w:r w:rsidR="00145B96" w:rsidRPr="00383CC9">
        <w:t>Global</w:t>
      </w:r>
      <w:proofErr w:type="spellEnd"/>
      <w:r w:rsidR="00145B96" w:rsidRPr="00383CC9">
        <w:t xml:space="preserve"> </w:t>
      </w:r>
      <w:proofErr w:type="spellStart"/>
      <w:r w:rsidR="00145B96" w:rsidRPr="00383CC9">
        <w:t>Gateway</w:t>
      </w:r>
      <w:proofErr w:type="spellEnd"/>
      <w:r w:rsidR="00145B96" w:rsidRPr="00383CC9">
        <w:t xml:space="preserve"> v prípade potreby zahŕňali prvky uľahčujúce obchod, čím sa zabezpečí skutočný, udržateľný rozvoj a prístup na trh a vývozný potenciál pre partnerské krajiny; vyzýva na zabezpečenie synergií medzi iniciatívami </w:t>
      </w:r>
      <w:proofErr w:type="spellStart"/>
      <w:r w:rsidR="00145B96" w:rsidRPr="00383CC9">
        <w:t>Global</w:t>
      </w:r>
      <w:proofErr w:type="spellEnd"/>
      <w:r w:rsidR="00145B96" w:rsidRPr="00383CC9">
        <w:t xml:space="preserve"> </w:t>
      </w:r>
      <w:proofErr w:type="spellStart"/>
      <w:r w:rsidR="00145B96" w:rsidRPr="00383CC9">
        <w:t>Gateway</w:t>
      </w:r>
      <w:proofErr w:type="spellEnd"/>
      <w:r w:rsidR="00145B96" w:rsidRPr="00383CC9">
        <w:t xml:space="preserve"> a obchodnou politikou EÚ vrátane obchodných dohôd, ako aj priorít vykonávania v rámci ich kapitol o obchode a udržateľnom rozvoji, všeobecného systému preferencií a iných existujúcich obchodných rámcov a mechanizmov; zdôrazňuje, že zabezpečenie takýchto synergií si vyžaduje aj preverovanie hlavných projektov </w:t>
      </w:r>
      <w:proofErr w:type="spellStart"/>
      <w:r w:rsidR="00145B96" w:rsidRPr="00383CC9">
        <w:t>Global</w:t>
      </w:r>
      <w:proofErr w:type="spellEnd"/>
      <w:r w:rsidR="00145B96" w:rsidRPr="00383CC9">
        <w:t xml:space="preserve"> </w:t>
      </w:r>
      <w:proofErr w:type="spellStart"/>
      <w:r w:rsidR="00145B96" w:rsidRPr="00383CC9">
        <w:t>Gateway</w:t>
      </w:r>
      <w:proofErr w:type="spellEnd"/>
      <w:r w:rsidR="00145B96" w:rsidRPr="00383CC9">
        <w:t xml:space="preserve"> z hľadiska bezpečnostných a strategických rizík, najmä v prípadoch, keď štátom kontrolované spoločnosti z autoritárskych krajín môžu získať kontrolu nad kritickou digitálnou, námornou, dopravnou, energetickou alebo komunikačnou infraštruktúrou; žiada, aby bola stratégia </w:t>
      </w:r>
      <w:proofErr w:type="spellStart"/>
      <w:r w:rsidR="00145B96" w:rsidRPr="00383CC9">
        <w:t>Global</w:t>
      </w:r>
      <w:proofErr w:type="spellEnd"/>
      <w:r w:rsidR="00145B96" w:rsidRPr="00383CC9">
        <w:t xml:space="preserve"> </w:t>
      </w:r>
      <w:proofErr w:type="spellStart"/>
      <w:r w:rsidR="00145B96" w:rsidRPr="00383CC9">
        <w:t>Gateway</w:t>
      </w:r>
      <w:proofErr w:type="spellEnd"/>
      <w:r w:rsidR="00145B96" w:rsidRPr="00383CC9">
        <w:t xml:space="preserve"> v súlade s pravidlami WTO a aby v čo najväčšej miere podporovala začlenenie partnerských krajín do regionálneho a globálneho obchodného systému založeného na pravidlách; vyzýva Komisiu, aby posúdila obchodné a investičné toky vytvorené v rámci </w:t>
      </w:r>
      <w:proofErr w:type="spellStart"/>
      <w:r w:rsidR="00145B96" w:rsidRPr="00383CC9">
        <w:t>Global</w:t>
      </w:r>
      <w:proofErr w:type="spellEnd"/>
      <w:r w:rsidR="00145B96" w:rsidRPr="00383CC9">
        <w:t xml:space="preserve"> </w:t>
      </w:r>
      <w:proofErr w:type="spellStart"/>
      <w:r w:rsidR="00145B96" w:rsidRPr="00383CC9">
        <w:t>Gateway</w:t>
      </w:r>
      <w:proofErr w:type="spellEnd"/>
      <w:r w:rsidR="00145B96" w:rsidRPr="00383CC9">
        <w:t>;</w:t>
      </w:r>
    </w:p>
    <w:p w14:paraId="043F79D6" w14:textId="68A23D2A" w:rsidR="00145B96" w:rsidRPr="00383CC9" w:rsidRDefault="00E960F9" w:rsidP="00145B96">
      <w:pPr>
        <w:pStyle w:val="NormalHanging12a"/>
        <w:rPr>
          <w:bCs/>
          <w:iCs/>
        </w:rPr>
      </w:pPr>
      <w:r w:rsidRPr="00383CC9">
        <w:t>89</w:t>
      </w:r>
      <w:r w:rsidR="00145B96" w:rsidRPr="00383CC9">
        <w:t>.</w:t>
      </w:r>
      <w:r w:rsidR="00145B96" w:rsidRPr="00383CC9">
        <w:tab/>
        <w:t xml:space="preserve">žiada, aby stratégia </w:t>
      </w:r>
      <w:proofErr w:type="spellStart"/>
      <w:r w:rsidR="00145B96" w:rsidRPr="00383CC9">
        <w:t>Global</w:t>
      </w:r>
      <w:proofErr w:type="spellEnd"/>
      <w:r w:rsidR="00145B96" w:rsidRPr="00383CC9">
        <w:t xml:space="preserve"> </w:t>
      </w:r>
      <w:proofErr w:type="spellStart"/>
      <w:r w:rsidR="00145B96" w:rsidRPr="00383CC9">
        <w:t>Gateway</w:t>
      </w:r>
      <w:proofErr w:type="spellEnd"/>
      <w:r w:rsidR="00145B96" w:rsidRPr="00383CC9">
        <w:t xml:space="preserve"> prostredníctvom podpory obchodu a investícií priamejšie zapájala súkromný sektor a aby zabezpečila záväzok európskych podnikov zapájať sa v partnerských krajinách do hlavných projektov;</w:t>
      </w:r>
    </w:p>
    <w:p w14:paraId="1231BD11" w14:textId="331163AD" w:rsidR="00145B96" w:rsidRPr="00383CC9" w:rsidRDefault="00E960F9" w:rsidP="00145B96">
      <w:pPr>
        <w:pStyle w:val="NormalHanging12a"/>
        <w:rPr>
          <w:bCs/>
          <w:iCs/>
        </w:rPr>
      </w:pPr>
      <w:r w:rsidRPr="00383CC9">
        <w:t>90</w:t>
      </w:r>
      <w:r w:rsidR="00145B96" w:rsidRPr="00383CC9">
        <w:t>.</w:t>
      </w:r>
      <w:r w:rsidR="00145B96" w:rsidRPr="00383CC9">
        <w:tab/>
        <w:t>vyzýva na zvýšenie technickej pomoci na podporu inštitucionálnych kapacít a reformy právnych predpisov, najmä s cieľom zefektívniť obchodné procesy a posilniť schopnosť partnerských krajín dodržiavať medzinárodné normy, vrátane sanitárnych a </w:t>
      </w:r>
      <w:proofErr w:type="spellStart"/>
      <w:r w:rsidR="00145B96" w:rsidRPr="00383CC9">
        <w:t>fytosanitárnych</w:t>
      </w:r>
      <w:proofErr w:type="spellEnd"/>
      <w:r w:rsidR="00145B96" w:rsidRPr="00383CC9">
        <w:t xml:space="preserve"> noriem, technických noriem, noriem udržateľnosti, digitalizácie colných postupov a </w:t>
      </w:r>
      <w:proofErr w:type="spellStart"/>
      <w:r w:rsidR="00145B96" w:rsidRPr="00383CC9">
        <w:t>vysledovateľnosti</w:t>
      </w:r>
      <w:proofErr w:type="spellEnd"/>
      <w:r w:rsidR="00145B96" w:rsidRPr="00383CC9">
        <w:t xml:space="preserve"> hodnotového reťazca; zdôrazňuje, že stratégia </w:t>
      </w:r>
      <w:proofErr w:type="spellStart"/>
      <w:r w:rsidR="00145B96" w:rsidRPr="00383CC9">
        <w:t>Global</w:t>
      </w:r>
      <w:proofErr w:type="spellEnd"/>
      <w:r w:rsidR="00145B96" w:rsidRPr="00383CC9">
        <w:t xml:space="preserve"> </w:t>
      </w:r>
      <w:proofErr w:type="spellStart"/>
      <w:r w:rsidR="00145B96" w:rsidRPr="00383CC9">
        <w:t>Gateway</w:t>
      </w:r>
      <w:proofErr w:type="spellEnd"/>
      <w:r w:rsidR="00145B96" w:rsidRPr="00383CC9">
        <w:t xml:space="preserve"> však musí rešpektovať domáci regulačný priestor a nesmie byť podmienená regulačnými reformami, ktoré oslabujú regulačné orgány;</w:t>
      </w:r>
    </w:p>
    <w:p w14:paraId="192F031B" w14:textId="3D29C182" w:rsidR="00145B96" w:rsidRPr="00383CC9" w:rsidRDefault="00E960F9" w:rsidP="00145B96">
      <w:pPr>
        <w:pStyle w:val="NormalHanging12a"/>
        <w:rPr>
          <w:bCs/>
          <w:iCs/>
        </w:rPr>
      </w:pPr>
      <w:r w:rsidRPr="00383CC9">
        <w:t>91</w:t>
      </w:r>
      <w:r w:rsidR="00145B96" w:rsidRPr="00383CC9">
        <w:t>.</w:t>
      </w:r>
      <w:r w:rsidR="00145B96" w:rsidRPr="00383CC9">
        <w:tab/>
        <w:t xml:space="preserve">vyzýva na zabezpečenie toho, aby stratégia </w:t>
      </w:r>
      <w:proofErr w:type="spellStart"/>
      <w:r w:rsidR="00145B96" w:rsidRPr="00383CC9">
        <w:t>Global</w:t>
      </w:r>
      <w:proofErr w:type="spellEnd"/>
      <w:r w:rsidR="00145B96" w:rsidRPr="00383CC9">
        <w:t xml:space="preserve"> </w:t>
      </w:r>
      <w:proofErr w:type="spellStart"/>
      <w:r w:rsidR="00145B96" w:rsidRPr="00383CC9">
        <w:t>Gateway</w:t>
      </w:r>
      <w:proofErr w:type="spellEnd"/>
      <w:r w:rsidR="00145B96" w:rsidRPr="00383CC9">
        <w:t xml:space="preserve"> presadzovala projekty priaznivé pre obchod, ktoré môžu zaistiť sociálne inkluzívny a environmentálne udržateľný hospodársky rast, integráciu a tvorbu pracovných miest a ktoré rešpektujú ľudské práva; zdôrazňuje, že tieto projekty, najmä dopravné koridory, nesmú byť realizované na úkor pracovných podmienok alebo ochrany práce a životného prostredia; požaduje uistenie, že projekty posilnia vzájomnú konkurencieschopnosť, a to aj </w:t>
      </w:r>
      <w:r w:rsidR="00145B96" w:rsidRPr="00383CC9">
        <w:lastRenderedPageBreak/>
        <w:t xml:space="preserve">zaistením súladu s klimatickými cieľmi a presadzovaním dodržiavania autonómnych opatrení EÚ v oblasti udržateľnosti súvisiacich s obchodom, ktoré sa zameriavajú na emisie uhlíka a nepriaznivé vplyvy na životné prostredie, ako aj na podporu ľudských práv; domnieva sa, že stratégia </w:t>
      </w:r>
      <w:proofErr w:type="spellStart"/>
      <w:r w:rsidR="00145B96" w:rsidRPr="00383CC9">
        <w:t>Global</w:t>
      </w:r>
      <w:proofErr w:type="spellEnd"/>
      <w:r w:rsidR="00145B96" w:rsidRPr="00383CC9">
        <w:t xml:space="preserve"> </w:t>
      </w:r>
      <w:proofErr w:type="spellStart"/>
      <w:r w:rsidR="00145B96" w:rsidRPr="00383CC9">
        <w:t>Gateway</w:t>
      </w:r>
      <w:proofErr w:type="spellEnd"/>
      <w:r w:rsidR="00145B96" w:rsidRPr="00383CC9">
        <w:t xml:space="preserve"> by mala pri snahe zabezpečiť odolné dodávky kritických surovín potrebných na zelenú transformáciu a na hospodársku bezpečnosť EÚ zohľadňovať inkluzívny rozvoj a zabezpečiť, aby obchodní partneri mali prospech z ťažby zdrojov prostredníctvom miestneho spracovania a prenosu zručností a know-how a vytvárali pridanú hodnotu pre miestne komunity; pripomína, že v súlade s úsilím EÚ v oblasti zelenej diplomacie by stratégia </w:t>
      </w:r>
      <w:proofErr w:type="spellStart"/>
      <w:r w:rsidR="00145B96" w:rsidRPr="00383CC9">
        <w:t>Global</w:t>
      </w:r>
      <w:proofErr w:type="spellEnd"/>
      <w:r w:rsidR="00145B96" w:rsidRPr="00383CC9">
        <w:t xml:space="preserve"> </w:t>
      </w:r>
      <w:proofErr w:type="spellStart"/>
      <w:r w:rsidR="00145B96" w:rsidRPr="00383CC9">
        <w:t>Gateway</w:t>
      </w:r>
      <w:proofErr w:type="spellEnd"/>
      <w:r w:rsidR="00145B96" w:rsidRPr="00383CC9">
        <w:t xml:space="preserve"> mala prispievať k energetickej transformácii; vyzýva, aby sa pri financovaní stratégie </w:t>
      </w:r>
      <w:proofErr w:type="spellStart"/>
      <w:r w:rsidR="00145B96" w:rsidRPr="00383CC9">
        <w:t>Global</w:t>
      </w:r>
      <w:proofErr w:type="spellEnd"/>
      <w:r w:rsidR="00145B96" w:rsidRPr="00383CC9">
        <w:t xml:space="preserve"> </w:t>
      </w:r>
      <w:proofErr w:type="spellStart"/>
      <w:r w:rsidR="00145B96" w:rsidRPr="00383CC9">
        <w:t>Gateway</w:t>
      </w:r>
      <w:proofErr w:type="spellEnd"/>
      <w:r w:rsidR="00145B96" w:rsidRPr="00383CC9">
        <w:t xml:space="preserve"> zabezpečila </w:t>
      </w:r>
      <w:proofErr w:type="spellStart"/>
      <w:r w:rsidR="00145B96" w:rsidRPr="00383CC9">
        <w:t>interoperabilita</w:t>
      </w:r>
      <w:proofErr w:type="spellEnd"/>
      <w:r w:rsidR="00145B96" w:rsidRPr="00383CC9">
        <w:t xml:space="preserve"> s normami EÚ, transparentné postupy a dodržiavanie environmentálnych, sociálnych noriem a noriem v oblasti riadenia, a to aj prostredníctvom systémov nepretržitého monitorovania;</w:t>
      </w:r>
    </w:p>
    <w:p w14:paraId="3B96D2B0" w14:textId="77777777" w:rsidR="00145B96" w:rsidRPr="00383CC9" w:rsidRDefault="00145B96" w:rsidP="00145B96">
      <w:pPr>
        <w:pStyle w:val="NormalHanging12a"/>
        <w:rPr>
          <w:b/>
          <w:i/>
        </w:rPr>
      </w:pPr>
      <w:r w:rsidRPr="00383CC9">
        <w:rPr>
          <w:b/>
          <w:i/>
        </w:rPr>
        <w:t>Finančné nástroje</w:t>
      </w:r>
    </w:p>
    <w:p w14:paraId="241D8667" w14:textId="05F17405" w:rsidR="00145B96" w:rsidRPr="00383CC9" w:rsidRDefault="00E960F9" w:rsidP="00145B96">
      <w:pPr>
        <w:pStyle w:val="NormalHanging12a"/>
        <w:rPr>
          <w:bCs/>
          <w:iCs/>
        </w:rPr>
      </w:pPr>
      <w:r w:rsidRPr="00383CC9">
        <w:t>92</w:t>
      </w:r>
      <w:r w:rsidR="00145B96" w:rsidRPr="00383CC9">
        <w:t>.</w:t>
      </w:r>
      <w:r w:rsidR="00145B96" w:rsidRPr="00383CC9">
        <w:tab/>
        <w:t xml:space="preserve">zdôrazňuje, že EÚ realizovala rozvojové financovanie a investičné operácie založené na zárukách už dávno pred spustením </w:t>
      </w:r>
      <w:proofErr w:type="spellStart"/>
      <w:r w:rsidR="00145B96" w:rsidRPr="00383CC9">
        <w:t>Global</w:t>
      </w:r>
      <w:proofErr w:type="spellEnd"/>
      <w:r w:rsidR="00145B96" w:rsidRPr="00383CC9">
        <w:t xml:space="preserve"> </w:t>
      </w:r>
      <w:proofErr w:type="spellStart"/>
      <w:r w:rsidR="00145B96" w:rsidRPr="00383CC9">
        <w:t>Gateway</w:t>
      </w:r>
      <w:proofErr w:type="spellEnd"/>
      <w:r w:rsidR="00145B96" w:rsidRPr="00383CC9">
        <w:t xml:space="preserve"> v roku 2021, a to aj prostredníctvom Európskeho fondu pre udržateľný rozvoj Plus;</w:t>
      </w:r>
    </w:p>
    <w:p w14:paraId="1BB9D671" w14:textId="1AFC847D" w:rsidR="00145B96" w:rsidRPr="00383CC9" w:rsidRDefault="00E960F9" w:rsidP="00145B96">
      <w:pPr>
        <w:pStyle w:val="NormalHanging12a"/>
        <w:rPr>
          <w:bCs/>
          <w:iCs/>
        </w:rPr>
      </w:pPr>
      <w:r w:rsidRPr="00383CC9">
        <w:t>93</w:t>
      </w:r>
      <w:r w:rsidR="00145B96" w:rsidRPr="00383CC9">
        <w:t>.</w:t>
      </w:r>
      <w:r w:rsidR="00145B96" w:rsidRPr="00383CC9">
        <w:tab/>
        <w:t xml:space="preserve">vyzýva Komisiu, aby vykonala posúdenie vplyvu Európskeho fondu pre udržateľný rozvoj a Európskeho fondu pre udržateľný rozvoj plus, ktoré by mali tvoriť základ budúceho fondu Globálna Európa na podporu stratégie </w:t>
      </w:r>
      <w:proofErr w:type="spellStart"/>
      <w:r w:rsidR="00145B96" w:rsidRPr="00383CC9">
        <w:t>Global</w:t>
      </w:r>
      <w:proofErr w:type="spellEnd"/>
      <w:r w:rsidR="00145B96" w:rsidRPr="00383CC9">
        <w:t xml:space="preserve"> </w:t>
      </w:r>
      <w:proofErr w:type="spellStart"/>
      <w:r w:rsidR="00145B96" w:rsidRPr="00383CC9">
        <w:t>Gateway</w:t>
      </w:r>
      <w:proofErr w:type="spellEnd"/>
      <w:r w:rsidR="00145B96" w:rsidRPr="00383CC9">
        <w:t xml:space="preserve"> v budúcom viacročnom finančnom rámci, pričom musí tiež merať pokrok v oblasti znižovania nerovností a posilňovania ľudského rozvoja, začlenenia a prístupnosti, ako aj v oblasti presadzovania sociálnych a environmentálnych noriem; trvá na tom, že všetky budúce finančné nástroje musia byť založené na riadnom posúdení existujúceho financovania; zastáva názor, že je potrebná väčšia transparentnosť a podávanie správ, ako aj zlepšenie riadenia rizík a štruktúry riadenia, a to aj pokiaľ ide o podrobnosti rozpočtovej nomenklatúry; domnieva sa, že by sa mali odstrániť prekážky, ktoré v súčasnosti bránia európskym MSP v širšej účasti na projektoch </w:t>
      </w:r>
      <w:proofErr w:type="spellStart"/>
      <w:r w:rsidR="00145B96" w:rsidRPr="00383CC9">
        <w:t>Global</w:t>
      </w:r>
      <w:proofErr w:type="spellEnd"/>
      <w:r w:rsidR="00145B96" w:rsidRPr="00383CC9">
        <w:t xml:space="preserve"> </w:t>
      </w:r>
      <w:proofErr w:type="spellStart"/>
      <w:r w:rsidR="00145B96" w:rsidRPr="00383CC9">
        <w:t>Gateway</w:t>
      </w:r>
      <w:proofErr w:type="spellEnd"/>
      <w:r w:rsidR="00145B96" w:rsidRPr="00383CC9">
        <w:t>, a zároveň uznáva výzvy vyplývajúce z kontextu rozsiahleho financovania a z toho, že nadnárodné spoločnosti sú kľúčovými partnermi v súkromnom sektore;</w:t>
      </w:r>
    </w:p>
    <w:p w14:paraId="4364694B" w14:textId="64736A60" w:rsidR="00145B96" w:rsidRPr="00383CC9" w:rsidRDefault="00E960F9" w:rsidP="00145B96">
      <w:pPr>
        <w:pStyle w:val="NormalHanging12a"/>
        <w:rPr>
          <w:bCs/>
          <w:iCs/>
        </w:rPr>
      </w:pPr>
      <w:r w:rsidRPr="00383CC9">
        <w:t>94</w:t>
      </w:r>
      <w:r w:rsidR="00145B96" w:rsidRPr="00383CC9">
        <w:t>.</w:t>
      </w:r>
      <w:r w:rsidR="00145B96" w:rsidRPr="00383CC9">
        <w:tab/>
        <w:t xml:space="preserve">zdôrazňuje dôležitosť inkluzívneho prístupu „Tím Európa“; nabáda Komisiu, EIB, Európsku banku pre obnovu a rozvoj a vnútroštátne rozvojové finančné inštitúcie, aby navrhli a zaviedli nástroje na znižovanie rizika v rámci stratégie </w:t>
      </w:r>
      <w:proofErr w:type="spellStart"/>
      <w:r w:rsidR="00145B96" w:rsidRPr="00383CC9">
        <w:t>Global</w:t>
      </w:r>
      <w:proofErr w:type="spellEnd"/>
      <w:r w:rsidR="00145B96" w:rsidRPr="00383CC9">
        <w:t xml:space="preserve"> </w:t>
      </w:r>
      <w:proofErr w:type="spellStart"/>
      <w:r w:rsidR="00145B96" w:rsidRPr="00383CC9">
        <w:t>Gateway</w:t>
      </w:r>
      <w:proofErr w:type="spellEnd"/>
      <w:r w:rsidR="00145B96" w:rsidRPr="00383CC9">
        <w:t xml:space="preserve">, aby boli jednoduchšie a predvídateľnejšie, a aby pracovali spôsobom, ktorý aktívne otvorí prístup podnikom zo všetkých členských štátov vrátane tých, ktoré nemajú vnútroštátne rozvojové finančné inštitúcie, pričom poskytnú primerané požiadavky na vstup a prispôsobené príležitosti pre MSP, a aby navrhli špecializované systémy poistenia politických rizík pre projekty stratégie </w:t>
      </w:r>
      <w:proofErr w:type="spellStart"/>
      <w:r w:rsidR="00145B96" w:rsidRPr="00383CC9">
        <w:t>Global</w:t>
      </w:r>
      <w:proofErr w:type="spellEnd"/>
      <w:r w:rsidR="00145B96" w:rsidRPr="00383CC9">
        <w:t xml:space="preserve"> </w:t>
      </w:r>
      <w:proofErr w:type="spellStart"/>
      <w:r w:rsidR="00145B96" w:rsidRPr="00383CC9">
        <w:t>Gateway</w:t>
      </w:r>
      <w:proofErr w:type="spellEnd"/>
      <w:r w:rsidR="00145B96" w:rsidRPr="00383CC9">
        <w:t>;</w:t>
      </w:r>
    </w:p>
    <w:p w14:paraId="7E283D95" w14:textId="3AC4E334" w:rsidR="00145B96" w:rsidRPr="00383CC9" w:rsidRDefault="00E960F9" w:rsidP="00145B96">
      <w:pPr>
        <w:pStyle w:val="NormalHanging12a"/>
        <w:rPr>
          <w:bCs/>
          <w:iCs/>
        </w:rPr>
      </w:pPr>
      <w:r w:rsidRPr="00383CC9">
        <w:t>95</w:t>
      </w:r>
      <w:r w:rsidR="00145B96" w:rsidRPr="00383CC9">
        <w:t>.</w:t>
      </w:r>
      <w:r w:rsidR="00145B96" w:rsidRPr="00383CC9">
        <w:tab/>
        <w:t xml:space="preserve">zdôrazňuje význam nástrojov na podporu obchodu a vývozu vrátane agentúr pre vývozné úvery, záruk, poistných produktov a obchodných partnerstiev ako neoddeliteľných súčastí súboru nástrojov </w:t>
      </w:r>
      <w:proofErr w:type="spellStart"/>
      <w:r w:rsidR="00145B96" w:rsidRPr="00383CC9">
        <w:t>Global</w:t>
      </w:r>
      <w:proofErr w:type="spellEnd"/>
      <w:r w:rsidR="00145B96" w:rsidRPr="00383CC9">
        <w:t xml:space="preserve"> </w:t>
      </w:r>
      <w:proofErr w:type="spellStart"/>
      <w:r w:rsidR="00145B96" w:rsidRPr="00383CC9">
        <w:t>Gateway</w:t>
      </w:r>
      <w:proofErr w:type="spellEnd"/>
      <w:r w:rsidR="00145B96" w:rsidRPr="00383CC9">
        <w:t xml:space="preserve">; nabáda Komisiu a členské štáty, aby posilnili koordináciu využívania agentúr pre vývozné úvery, činností hospodárskej diplomacie a politických návštev na vysokej úrovni v rámci prístupu „Tím Európa“ s cieľom uľahčiť udržateľný vývoz a vstup na trh pre európske spoločnosti v partnerských krajinách, najmä pre MSP; vyzýva na zavedenie spoľahlivých záruk s cieľom zabezpečiť plné dodržiavanie medzinárodných pravidiel, rozvojových cieľov </w:t>
      </w:r>
      <w:r w:rsidR="00145B96" w:rsidRPr="00383CC9">
        <w:lastRenderedPageBreak/>
        <w:t>EÚ a noriem EÚ v oblasti ľudských práv, životného prostredia, transparentnosti v oblasti klímy a udržateľnosti dlhu;</w:t>
      </w:r>
    </w:p>
    <w:p w14:paraId="68CF6713" w14:textId="2E4D252C" w:rsidR="00145B96" w:rsidRPr="00383CC9" w:rsidRDefault="00E960F9" w:rsidP="00145B96">
      <w:pPr>
        <w:pStyle w:val="NormalHanging12a"/>
        <w:rPr>
          <w:bCs/>
          <w:iCs/>
        </w:rPr>
      </w:pPr>
      <w:r w:rsidRPr="00383CC9">
        <w:t>96</w:t>
      </w:r>
      <w:r w:rsidR="00145B96" w:rsidRPr="00383CC9">
        <w:t>.</w:t>
      </w:r>
      <w:r w:rsidR="00145B96" w:rsidRPr="00383CC9">
        <w:tab/>
        <w:t>vyzýva Komisiu a členské štáty, aby zabezpečili úplnú transparentnosť všetkých operácií, ktoré zahŕňajú spoločné alebo koordinované akcie medzi európskymi agentúrami pre exportné úvery a rozvojovými finančnými inštitúciami, a to aj prostredníctvom zverejňovania kritérií výberu projektov, príjemcov a posúdení vplyvu;</w:t>
      </w:r>
    </w:p>
    <w:p w14:paraId="77B23E1B" w14:textId="6097D64F" w:rsidR="00145B96" w:rsidRPr="00383CC9" w:rsidRDefault="00E960F9" w:rsidP="00145B96">
      <w:pPr>
        <w:pStyle w:val="NormalHanging12a"/>
      </w:pPr>
      <w:r w:rsidRPr="00383CC9">
        <w:t>97</w:t>
      </w:r>
      <w:r w:rsidR="00145B96" w:rsidRPr="00383CC9">
        <w:t>.</w:t>
      </w:r>
      <w:r w:rsidR="00145B96" w:rsidRPr="00383CC9">
        <w:tab/>
        <w:t xml:space="preserve">pripomína, že rozvojová zložka Európskej investičnej banky – EIB </w:t>
      </w:r>
      <w:proofErr w:type="spellStart"/>
      <w:r w:rsidR="00145B96" w:rsidRPr="00383CC9">
        <w:t>Global</w:t>
      </w:r>
      <w:proofErr w:type="spellEnd"/>
      <w:r w:rsidR="00145B96" w:rsidRPr="00383CC9">
        <w:t xml:space="preserve"> je jedným z kľúčových realizátorov stratégie </w:t>
      </w:r>
      <w:proofErr w:type="spellStart"/>
      <w:r w:rsidR="00145B96" w:rsidRPr="00383CC9">
        <w:t>Global</w:t>
      </w:r>
      <w:proofErr w:type="spellEnd"/>
      <w:r w:rsidR="00145B96" w:rsidRPr="00383CC9">
        <w:t xml:space="preserve"> </w:t>
      </w:r>
      <w:proofErr w:type="spellStart"/>
      <w:r w:rsidR="00145B96" w:rsidRPr="00383CC9">
        <w:t>Gateway</w:t>
      </w:r>
      <w:proofErr w:type="spellEnd"/>
      <w:r w:rsidR="00145B96" w:rsidRPr="00383CC9">
        <w:t xml:space="preserve">, a preto sa očakáva, že vo svojich projektoch bude uplatňovať najvyššie normy transparentnosti a zodpovednosti; naliehavo žiada Komisiu a implementujúcich partnerov, aby zverejňovali súvisiace informácie včas a prístupným spôsobom; nabáda Komisiu, aby v maximálnej miere spolupracovala s EIB ako bankou EÚ, čo by sa malo zohľadniť v nasledujúcom viacročnom finančnom rámci; vyzýva rozvojové finančné inštitúcie, ktoré realizujú projekty </w:t>
      </w:r>
      <w:proofErr w:type="spellStart"/>
      <w:r w:rsidR="00145B96" w:rsidRPr="00383CC9">
        <w:t>Global</w:t>
      </w:r>
      <w:proofErr w:type="spellEnd"/>
      <w:r w:rsidR="00145B96" w:rsidRPr="00383CC9">
        <w:t xml:space="preserve"> </w:t>
      </w:r>
      <w:proofErr w:type="spellStart"/>
      <w:r w:rsidR="00145B96" w:rsidRPr="00383CC9">
        <w:t>Gateway</w:t>
      </w:r>
      <w:proofErr w:type="spellEnd"/>
      <w:r w:rsidR="00145B96" w:rsidRPr="00383CC9">
        <w:t xml:space="preserve">, ako napríklad EIB, aby zverejnili každé hodnotenie dlhu súvisiace s projektom; opakuje svoju výzvu, aby sa EIB </w:t>
      </w:r>
      <w:proofErr w:type="spellStart"/>
      <w:r w:rsidR="00145B96" w:rsidRPr="00383CC9">
        <w:t>Global</w:t>
      </w:r>
      <w:proofErr w:type="spellEnd"/>
      <w:r w:rsidR="00145B96" w:rsidRPr="00383CC9">
        <w:t xml:space="preserve"> sústredila na program spravodlivého a udržateľného rozvoja v prijímajúcich krajinách;</w:t>
      </w:r>
    </w:p>
    <w:p w14:paraId="0C059BD4" w14:textId="3C057FEC" w:rsidR="00145B96" w:rsidRPr="00383CC9" w:rsidRDefault="00E960F9" w:rsidP="00145B96">
      <w:pPr>
        <w:pStyle w:val="NormalHanging12a"/>
      </w:pPr>
      <w:r w:rsidRPr="00383CC9">
        <w:t>98</w:t>
      </w:r>
      <w:r w:rsidR="00145B96" w:rsidRPr="00383CC9">
        <w:t>.</w:t>
      </w:r>
      <w:r w:rsidR="00145B96" w:rsidRPr="00383CC9">
        <w:tab/>
        <w:t>zdôrazňuje potrebu väčšieho využívania kombinovaného financovania a zvýhodnených nástrojov, kde je to vhodné, s cieľom zabezpečiť komerčnú životaschopnosť projektov; víta úsilie EIB o ďalšiu maximalizáciu efektívnosti a zefektívnenie procesov, a to aj uplatňovaním vzájomnej dôvery so špecializovanými partnermi Tímu Európa vždy, keď je to možné;</w:t>
      </w:r>
    </w:p>
    <w:p w14:paraId="4E37DDF8" w14:textId="3A0957CD" w:rsidR="00145B96" w:rsidRPr="00383CC9" w:rsidRDefault="00E960F9" w:rsidP="00145B96">
      <w:pPr>
        <w:pStyle w:val="NormalHanging12a"/>
      </w:pPr>
      <w:r w:rsidRPr="00383CC9">
        <w:t>99</w:t>
      </w:r>
      <w:r w:rsidR="00145B96" w:rsidRPr="00383CC9">
        <w:t>.</w:t>
      </w:r>
      <w:r w:rsidR="00145B96" w:rsidRPr="00383CC9">
        <w:tab/>
        <w:t xml:space="preserve">ďalej žiada, aby sa posúdilo, do akej miery by sa v rámci stratégie </w:t>
      </w:r>
      <w:proofErr w:type="spellStart"/>
      <w:r w:rsidR="00145B96" w:rsidRPr="00383CC9">
        <w:t>Global</w:t>
      </w:r>
      <w:proofErr w:type="spellEnd"/>
      <w:r w:rsidR="00145B96" w:rsidRPr="00383CC9">
        <w:t xml:space="preserve"> </w:t>
      </w:r>
      <w:proofErr w:type="spellStart"/>
      <w:r w:rsidR="00145B96" w:rsidRPr="00383CC9">
        <w:t>Gateway</w:t>
      </w:r>
      <w:proofErr w:type="spellEnd"/>
      <w:r w:rsidR="00145B96" w:rsidRPr="00383CC9">
        <w:t xml:space="preserve"> mohli s pomocou EIB mobilizovať zdroje oficiálnej rozvojovej pomoci, aby sa dosiahlo jasnejšie rozlíšenie medzi programom EÚ v oblasti konkurencieschopnosti, ktorý pochádza zo zdrojov mimo oficiálnej rozvojovej pomoci, a rozvojovým programom, ktorý je súčasťou oficiálnej rozvojovej pomoci; poukazuje na to, že nové a inovatívne technológie a MSP potrebujú špecifické nástroje financovania a že by mali byť k dispozícii granty, ako aj úvery, nástroje na zníženie rizika a prípadne aj vlastný kapitál;</w:t>
      </w:r>
    </w:p>
    <w:p w14:paraId="504B57A6" w14:textId="137A2FDD" w:rsidR="00145B96" w:rsidRPr="00383CC9" w:rsidRDefault="00E960F9" w:rsidP="00145B96">
      <w:pPr>
        <w:pStyle w:val="NormalHanging12a"/>
      </w:pPr>
      <w:r w:rsidRPr="00383CC9">
        <w:t>100</w:t>
      </w:r>
      <w:r w:rsidR="00145B96" w:rsidRPr="00383CC9">
        <w:t>.</w:t>
      </w:r>
      <w:r w:rsidR="00145B96" w:rsidRPr="00383CC9">
        <w:tab/>
        <w:t xml:space="preserve">pripomína, že okrem EIB </w:t>
      </w:r>
      <w:proofErr w:type="spellStart"/>
      <w:r w:rsidR="00145B96" w:rsidRPr="00383CC9">
        <w:t>Global</w:t>
      </w:r>
      <w:proofErr w:type="spellEnd"/>
      <w:r w:rsidR="00145B96" w:rsidRPr="00383CC9">
        <w:t xml:space="preserve"> musia aj ostatné multilaterálne rozvojové banky zapojené do realizácie stratégie </w:t>
      </w:r>
      <w:proofErr w:type="spellStart"/>
      <w:r w:rsidR="00145B96" w:rsidRPr="00383CC9">
        <w:t>Global</w:t>
      </w:r>
      <w:proofErr w:type="spellEnd"/>
      <w:r w:rsidR="00145B96" w:rsidRPr="00383CC9">
        <w:t xml:space="preserve"> </w:t>
      </w:r>
      <w:proofErr w:type="spellStart"/>
      <w:r w:rsidR="00145B96" w:rsidRPr="00383CC9">
        <w:t>Gateway</w:t>
      </w:r>
      <w:proofErr w:type="spellEnd"/>
      <w:r w:rsidR="00145B96" w:rsidRPr="00383CC9">
        <w:t xml:space="preserve"> dodržiavať vysoké štandardy transparentnosti a zodpovednosti; zdôrazňuje, že všetky multilaterálne rozvojové banky, ktoré sa zúčastňujú na operáciách </w:t>
      </w:r>
      <w:proofErr w:type="spellStart"/>
      <w:r w:rsidR="00145B96" w:rsidRPr="00383CC9">
        <w:t>Global</w:t>
      </w:r>
      <w:proofErr w:type="spellEnd"/>
      <w:r w:rsidR="00145B96" w:rsidRPr="00383CC9">
        <w:t xml:space="preserve"> </w:t>
      </w:r>
      <w:proofErr w:type="spellStart"/>
      <w:r w:rsidR="00145B96" w:rsidRPr="00383CC9">
        <w:t>Gateway</w:t>
      </w:r>
      <w:proofErr w:type="spellEnd"/>
      <w:r w:rsidR="00145B96" w:rsidRPr="00383CC9">
        <w:t>, by mali preukázať doplnkovosť v oblasti rozvoja, vyhýbať sa postupom, ktoré zvyšujú zraniteľnosť partnerských krajín v oblasti dlhu, a zosúladiť svoje financovanie so spravodlivými, udržateľnými a miestne prospešnými výsledkami rozvoja; vyzýva Komisiu, aby zabezpečila úplné dodržiavanie týchto zásad;</w:t>
      </w:r>
    </w:p>
    <w:p w14:paraId="1CF9ABDD" w14:textId="3142FB54" w:rsidR="00522F0E" w:rsidRPr="00383CC9" w:rsidRDefault="00522F0E" w:rsidP="00522F0E">
      <w:pPr>
        <w:pStyle w:val="NormalHanging12a"/>
        <w:ind w:left="0" w:firstLine="0"/>
        <w:jc w:val="center"/>
      </w:pPr>
      <w:r w:rsidRPr="00383CC9">
        <w:t>°</w:t>
      </w:r>
    </w:p>
    <w:p w14:paraId="1C68DF91" w14:textId="7E557425" w:rsidR="00522F0E" w:rsidRPr="00383CC9" w:rsidRDefault="00522F0E" w:rsidP="00522F0E">
      <w:pPr>
        <w:pStyle w:val="NormalHanging12a"/>
        <w:ind w:left="0" w:firstLine="0"/>
        <w:jc w:val="center"/>
      </w:pPr>
      <w:r w:rsidRPr="00383CC9">
        <w:t>°     °</w:t>
      </w:r>
    </w:p>
    <w:p w14:paraId="3F6FEB94" w14:textId="518AE356" w:rsidR="00E365E1" w:rsidRPr="00383CC9" w:rsidRDefault="00E960F9" w:rsidP="00522F0E">
      <w:pPr>
        <w:pStyle w:val="NormalHanging12a"/>
      </w:pPr>
      <w:r w:rsidRPr="00383CC9">
        <w:t>101</w:t>
      </w:r>
      <w:r w:rsidR="00145B96" w:rsidRPr="00383CC9">
        <w:t>.</w:t>
      </w:r>
      <w:r w:rsidR="00145B96" w:rsidRPr="00383CC9">
        <w:tab/>
        <w:t>poveruje svoju predsedníčku, aby predložila toto uznesenie predsedovi Európskej rady, Rade a Komisii.</w:t>
      </w:r>
    </w:p>
    <w:sectPr w:rsidR="00E365E1" w:rsidRPr="00383CC9" w:rsidSect="00FF17E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711FE" w14:textId="77777777" w:rsidR="008F10EC" w:rsidRPr="00FF17E9" w:rsidRDefault="008F10EC">
      <w:r w:rsidRPr="00FF17E9">
        <w:separator/>
      </w:r>
    </w:p>
  </w:endnote>
  <w:endnote w:type="continuationSeparator" w:id="0">
    <w:p w14:paraId="4E00C28D" w14:textId="77777777" w:rsidR="008F10EC" w:rsidRPr="00FF17E9" w:rsidRDefault="008F10EC">
      <w:r w:rsidRPr="00FF17E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35244" w14:textId="77777777" w:rsidR="00064002" w:rsidRPr="00FF17E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8E0F2" w14:textId="77777777" w:rsidR="00064002" w:rsidRPr="00FF17E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26F78" w14:textId="77777777" w:rsidR="00064002" w:rsidRPr="00FF17E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62704" w14:textId="77777777" w:rsidR="008F10EC" w:rsidRPr="00FF17E9" w:rsidRDefault="008F10EC">
      <w:r w:rsidRPr="00FF17E9">
        <w:separator/>
      </w:r>
    </w:p>
  </w:footnote>
  <w:footnote w:type="continuationSeparator" w:id="0">
    <w:p w14:paraId="10645C17" w14:textId="77777777" w:rsidR="008F10EC" w:rsidRPr="00FF17E9" w:rsidRDefault="008F10EC">
      <w:r w:rsidRPr="00FF17E9">
        <w:continuationSeparator/>
      </w:r>
    </w:p>
  </w:footnote>
  <w:footnote w:id="1">
    <w:p w14:paraId="6A2311E3" w14:textId="045EC6CE" w:rsidR="00145B96" w:rsidRPr="00FF17E9" w:rsidRDefault="00145B96" w:rsidP="00FF17E9">
      <w:pPr>
        <w:pStyle w:val="FootnoteText"/>
        <w:ind w:left="567" w:hanging="567"/>
        <w:rPr>
          <w:sz w:val="24"/>
          <w:lang w:val="sk-SK"/>
        </w:rPr>
      </w:pPr>
      <w:r w:rsidRPr="00FF17E9">
        <w:rPr>
          <w:rStyle w:val="FootnoteReference"/>
          <w:sz w:val="24"/>
          <w:lang w:val="sk-SK"/>
        </w:rPr>
        <w:footnoteRef/>
      </w:r>
      <w:r w:rsidR="00FF17E9" w:rsidRPr="00FF17E9">
        <w:rPr>
          <w:sz w:val="24"/>
          <w:lang w:val="sk-SK"/>
        </w:rPr>
        <w:t xml:space="preserve"> </w:t>
      </w:r>
      <w:r w:rsidR="00FF17E9" w:rsidRPr="00FF17E9">
        <w:rPr>
          <w:sz w:val="24"/>
          <w:lang w:val="sk-SK"/>
        </w:rPr>
        <w:tab/>
      </w:r>
      <w:r w:rsidRPr="00FF17E9">
        <w:rPr>
          <w:sz w:val="24"/>
          <w:lang w:val="sk-SK"/>
        </w:rPr>
        <w:t>Ú. v. EÚ C 210, 30.6.2017, s. 1.</w:t>
      </w:r>
    </w:p>
  </w:footnote>
  <w:footnote w:id="2">
    <w:p w14:paraId="5E7211AC" w14:textId="132D435B" w:rsidR="00145B96" w:rsidRPr="00FF17E9" w:rsidRDefault="00145B96" w:rsidP="00FF17E9">
      <w:pPr>
        <w:pStyle w:val="FootnoteText"/>
        <w:ind w:left="567" w:hanging="567"/>
        <w:rPr>
          <w:sz w:val="24"/>
          <w:lang w:val="sk-SK"/>
        </w:rPr>
      </w:pPr>
      <w:r w:rsidRPr="00FF17E9">
        <w:rPr>
          <w:rStyle w:val="FootnoteReference"/>
          <w:sz w:val="24"/>
          <w:lang w:val="sk-SK"/>
        </w:rPr>
        <w:footnoteRef/>
      </w:r>
      <w:r w:rsidR="00FF17E9" w:rsidRPr="00FF17E9">
        <w:rPr>
          <w:sz w:val="24"/>
          <w:lang w:val="sk-SK"/>
        </w:rPr>
        <w:t xml:space="preserve"> </w:t>
      </w:r>
      <w:r w:rsidR="00FF17E9" w:rsidRPr="00FF17E9">
        <w:rPr>
          <w:sz w:val="24"/>
          <w:lang w:val="sk-SK"/>
        </w:rPr>
        <w:tab/>
      </w:r>
      <w:r w:rsidRPr="00FF17E9">
        <w:rPr>
          <w:sz w:val="24"/>
          <w:lang w:val="sk-SK"/>
        </w:rPr>
        <w:t xml:space="preserve">Ú. v. EÚ L 209, 14.6.2021, s. 1, ELI: </w:t>
      </w:r>
      <w:hyperlink r:id="rId1" w:tgtFrame="http://data.europa.eu/eli/reg/2021/947/oj" w:history="1">
        <w:r w:rsidRPr="00FF17E9">
          <w:rPr>
            <w:rStyle w:val="Hyperlink"/>
            <w:sz w:val="24"/>
            <w:lang w:val="sk-SK"/>
          </w:rPr>
          <w:t>http://data.europa.eu/eli/reg/2021/947/oj.</w:t>
        </w:r>
      </w:hyperlink>
    </w:p>
  </w:footnote>
  <w:footnote w:id="3">
    <w:p w14:paraId="591CD604" w14:textId="558ACF01" w:rsidR="00145B96" w:rsidRPr="00FF17E9" w:rsidRDefault="00145B96" w:rsidP="00FF17E9">
      <w:pPr>
        <w:pStyle w:val="FootnoteText"/>
        <w:ind w:left="567" w:hanging="567"/>
        <w:rPr>
          <w:sz w:val="24"/>
          <w:lang w:val="sk-SK"/>
        </w:rPr>
      </w:pPr>
      <w:r w:rsidRPr="00FF17E9">
        <w:rPr>
          <w:rStyle w:val="FootnoteReference"/>
          <w:sz w:val="24"/>
          <w:lang w:val="sk-SK"/>
        </w:rPr>
        <w:footnoteRef/>
      </w:r>
      <w:r w:rsidR="00FF17E9" w:rsidRPr="00FF17E9">
        <w:rPr>
          <w:sz w:val="24"/>
          <w:lang w:val="sk-SK"/>
        </w:rPr>
        <w:t xml:space="preserve"> </w:t>
      </w:r>
      <w:r w:rsidR="00FF17E9" w:rsidRPr="00FF17E9">
        <w:rPr>
          <w:sz w:val="24"/>
          <w:lang w:val="sk-SK"/>
        </w:rPr>
        <w:tab/>
      </w:r>
      <w:r w:rsidRPr="00FF17E9">
        <w:rPr>
          <w:sz w:val="24"/>
          <w:lang w:val="sk-SK"/>
        </w:rPr>
        <w:t xml:space="preserve">Ú. v. EÚ L 330, 20.9.2021, ELI: </w:t>
      </w:r>
      <w:hyperlink r:id="rId2" w:tgtFrame="http://data.europa.eu/eli/reg/2021/1529/oj" w:history="1">
        <w:r w:rsidRPr="00FF17E9">
          <w:rPr>
            <w:rStyle w:val="Hyperlink"/>
            <w:sz w:val="24"/>
            <w:lang w:val="sk-SK"/>
          </w:rPr>
          <w:t>http://data.europa.eu/eli/reg/2021/1529/oj</w:t>
        </w:r>
      </w:hyperlink>
      <w:hyperlink r:id="rId3" w:tgtFrame="http://data.europa.eu/eli/reg/2021/1529/oj." w:history="1">
        <w:r w:rsidRPr="00FF17E9">
          <w:rPr>
            <w:rStyle w:val="Hyperlink"/>
            <w:sz w:val="24"/>
            <w:lang w:val="sk-SK"/>
          </w:rPr>
          <w:t>.</w:t>
        </w:r>
      </w:hyperlink>
    </w:p>
  </w:footnote>
  <w:footnote w:id="4">
    <w:p w14:paraId="424B2BD3" w14:textId="75CD7ED5" w:rsidR="00145B96" w:rsidRPr="00FF17E9" w:rsidRDefault="00145B96" w:rsidP="00FF17E9">
      <w:pPr>
        <w:pStyle w:val="FootnoteText"/>
        <w:ind w:left="567" w:hanging="567"/>
        <w:rPr>
          <w:sz w:val="24"/>
          <w:lang w:val="sk-SK"/>
        </w:rPr>
      </w:pPr>
      <w:r w:rsidRPr="00FF17E9">
        <w:rPr>
          <w:rStyle w:val="FootnoteReference"/>
          <w:sz w:val="24"/>
          <w:lang w:val="sk-SK"/>
        </w:rPr>
        <w:footnoteRef/>
      </w:r>
      <w:r w:rsidR="00FF17E9" w:rsidRPr="00FF17E9">
        <w:rPr>
          <w:sz w:val="24"/>
          <w:lang w:val="sk-SK"/>
        </w:rPr>
        <w:t xml:space="preserve"> </w:t>
      </w:r>
      <w:r w:rsidR="00FF17E9" w:rsidRPr="00FF17E9">
        <w:rPr>
          <w:sz w:val="24"/>
          <w:lang w:val="sk-SK"/>
        </w:rPr>
        <w:tab/>
      </w:r>
      <w:r w:rsidRPr="00FF17E9">
        <w:rPr>
          <w:sz w:val="24"/>
          <w:lang w:val="sk-SK"/>
        </w:rPr>
        <w:t xml:space="preserve">Ú. v. EÚ L 201, 3.8.2010, ELI: </w:t>
      </w:r>
      <w:hyperlink r:id="rId4" w:tgtFrame="http://data.europa.eu/eli/dec/2010/427/oj" w:history="1">
        <w:r w:rsidRPr="00FF17E9">
          <w:rPr>
            <w:rStyle w:val="Hyperlink"/>
            <w:sz w:val="24"/>
            <w:lang w:val="sk-SK"/>
          </w:rPr>
          <w:t>http://data.europa.eu/eli/dec/2010/427/oj.</w:t>
        </w:r>
      </w:hyperlink>
    </w:p>
  </w:footnote>
  <w:footnote w:id="5">
    <w:p w14:paraId="58DD055C" w14:textId="58B7D546" w:rsidR="00145B96" w:rsidRPr="00FF17E9" w:rsidRDefault="00145B96" w:rsidP="00FF17E9">
      <w:pPr>
        <w:pStyle w:val="FootnoteText"/>
        <w:ind w:left="567" w:hanging="567"/>
        <w:rPr>
          <w:sz w:val="24"/>
          <w:lang w:val="sk-SK"/>
        </w:rPr>
      </w:pPr>
      <w:r w:rsidRPr="00FF17E9">
        <w:rPr>
          <w:rStyle w:val="FootnoteReference"/>
          <w:sz w:val="24"/>
          <w:lang w:val="sk-SK"/>
        </w:rPr>
        <w:footnoteRef/>
      </w:r>
      <w:r w:rsidR="00FF17E9" w:rsidRPr="00FF17E9">
        <w:rPr>
          <w:sz w:val="24"/>
          <w:lang w:val="sk-SK"/>
        </w:rPr>
        <w:t xml:space="preserve"> </w:t>
      </w:r>
      <w:r w:rsidR="00FF17E9" w:rsidRPr="00FF17E9">
        <w:rPr>
          <w:sz w:val="24"/>
          <w:lang w:val="sk-SK"/>
        </w:rPr>
        <w:tab/>
      </w:r>
      <w:r w:rsidRPr="00FF17E9">
        <w:rPr>
          <w:sz w:val="24"/>
          <w:lang w:val="sk-SK"/>
        </w:rPr>
        <w:t>Ú. v. EÚ C 456, 10.11.2021, s. 117.</w:t>
      </w:r>
    </w:p>
  </w:footnote>
  <w:footnote w:id="6">
    <w:p w14:paraId="32236DBE" w14:textId="395A2F77" w:rsidR="00145B96" w:rsidRPr="00FF17E9" w:rsidRDefault="00145B96" w:rsidP="00FF17E9">
      <w:pPr>
        <w:pStyle w:val="FootnoteText"/>
        <w:ind w:left="567" w:hanging="567"/>
        <w:rPr>
          <w:sz w:val="24"/>
          <w:lang w:val="sk-SK"/>
        </w:rPr>
      </w:pPr>
      <w:r w:rsidRPr="00FF17E9">
        <w:rPr>
          <w:rStyle w:val="FootnoteReference"/>
          <w:sz w:val="24"/>
          <w:lang w:val="sk-SK"/>
        </w:rPr>
        <w:footnoteRef/>
      </w:r>
      <w:r w:rsidR="00FF17E9" w:rsidRPr="00FF17E9">
        <w:rPr>
          <w:sz w:val="24"/>
          <w:lang w:val="sk-SK"/>
        </w:rPr>
        <w:t xml:space="preserve"> </w:t>
      </w:r>
      <w:r w:rsidR="00FF17E9" w:rsidRPr="00FF17E9">
        <w:rPr>
          <w:sz w:val="24"/>
          <w:lang w:val="sk-SK"/>
        </w:rPr>
        <w:tab/>
      </w:r>
      <w:r w:rsidRPr="00FF17E9">
        <w:rPr>
          <w:sz w:val="24"/>
          <w:lang w:val="sk-SK"/>
        </w:rPr>
        <w:t>Ú. v. EÚ C 167, 11.5.2023, s. 57.</w:t>
      </w:r>
    </w:p>
  </w:footnote>
  <w:footnote w:id="7">
    <w:p w14:paraId="1435EB44" w14:textId="310A1A34" w:rsidR="00145B96" w:rsidRPr="00FF17E9" w:rsidRDefault="00145B96" w:rsidP="00FF17E9">
      <w:pPr>
        <w:pStyle w:val="FootnoteText"/>
        <w:ind w:left="567" w:hanging="567"/>
        <w:rPr>
          <w:sz w:val="24"/>
          <w:lang w:val="sk-SK"/>
        </w:rPr>
      </w:pPr>
      <w:r w:rsidRPr="00FF17E9">
        <w:rPr>
          <w:rStyle w:val="FootnoteReference"/>
          <w:sz w:val="24"/>
          <w:lang w:val="sk-SK"/>
        </w:rPr>
        <w:footnoteRef/>
      </w:r>
      <w:r w:rsidR="00FF17E9" w:rsidRPr="00FF17E9">
        <w:rPr>
          <w:sz w:val="24"/>
          <w:lang w:val="sk-SK"/>
        </w:rPr>
        <w:t xml:space="preserve"> </w:t>
      </w:r>
      <w:r w:rsidR="00FF17E9" w:rsidRPr="00FF17E9">
        <w:rPr>
          <w:sz w:val="24"/>
          <w:lang w:val="sk-SK"/>
        </w:rPr>
        <w:tab/>
      </w:r>
      <w:r w:rsidRPr="00FF17E9">
        <w:rPr>
          <w:sz w:val="24"/>
          <w:lang w:val="sk-SK"/>
        </w:rPr>
        <w:t xml:space="preserve">Ú. v. EÚ C, C/2024/4163, 2.8.2024, ELI: </w:t>
      </w:r>
      <w:hyperlink r:id="rId5" w:tgtFrame="http://data.europa.eu/eli/C/2024/4163/oj" w:history="1">
        <w:r w:rsidRPr="00FF17E9">
          <w:rPr>
            <w:rStyle w:val="Hyperlink"/>
            <w:sz w:val="24"/>
            <w:lang w:val="sk-SK"/>
          </w:rPr>
          <w:t>http://data.europa.eu/eli/C/2024/4163/oj</w:t>
        </w:r>
      </w:hyperlink>
      <w:r w:rsidRPr="00FF17E9">
        <w:rPr>
          <w:sz w:val="24"/>
          <w:lang w:val="sk-SK"/>
        </w:rPr>
        <w:t>.</w:t>
      </w:r>
    </w:p>
  </w:footnote>
  <w:footnote w:id="8">
    <w:p w14:paraId="738F4FFD" w14:textId="568FEFC0" w:rsidR="00145B96" w:rsidRPr="00FF17E9" w:rsidRDefault="00145B96" w:rsidP="00FF17E9">
      <w:pPr>
        <w:pStyle w:val="FootnoteText"/>
        <w:ind w:left="567" w:hanging="567"/>
        <w:rPr>
          <w:sz w:val="24"/>
          <w:lang w:val="sk-SK"/>
        </w:rPr>
      </w:pPr>
      <w:r w:rsidRPr="00FF17E9">
        <w:rPr>
          <w:rStyle w:val="FootnoteReference"/>
          <w:sz w:val="24"/>
          <w:lang w:val="sk-SK"/>
        </w:rPr>
        <w:footnoteRef/>
      </w:r>
      <w:r w:rsidR="00FF17E9" w:rsidRPr="00FF17E9">
        <w:rPr>
          <w:sz w:val="24"/>
          <w:lang w:val="sk-SK"/>
        </w:rPr>
        <w:t xml:space="preserve"> </w:t>
      </w:r>
      <w:r w:rsidR="00FF17E9" w:rsidRPr="00FF17E9">
        <w:rPr>
          <w:sz w:val="24"/>
          <w:lang w:val="sk-SK"/>
        </w:rPr>
        <w:tab/>
      </w:r>
      <w:r w:rsidRPr="00FF17E9">
        <w:rPr>
          <w:sz w:val="24"/>
          <w:lang w:val="sk-SK"/>
        </w:rPr>
        <w:t>Ú. v. EÚ </w:t>
      </w:r>
      <w:r w:rsidR="008C29F6">
        <w:rPr>
          <w:sz w:val="24"/>
          <w:lang w:val="sk-SK"/>
        </w:rPr>
        <w:t xml:space="preserve">C, </w:t>
      </w:r>
      <w:r w:rsidRPr="00FF17E9">
        <w:rPr>
          <w:sz w:val="24"/>
          <w:lang w:val="sk-SK"/>
        </w:rPr>
        <w:t xml:space="preserve">C/2024/5719, 17.10.2024, ELI: </w:t>
      </w:r>
      <w:hyperlink r:id="rId6" w:tgtFrame="http://data.europa.eu/eli/C/2024/5719/oj" w:history="1">
        <w:r w:rsidRPr="00FF17E9">
          <w:rPr>
            <w:rStyle w:val="Hyperlink"/>
            <w:sz w:val="24"/>
            <w:lang w:val="sk-SK"/>
          </w:rPr>
          <w:t>http://data.europa.eu/eli/C/2024/5719/oj</w:t>
        </w:r>
      </w:hyperlink>
      <w:r w:rsidRPr="00FF17E9">
        <w:rPr>
          <w:sz w:val="24"/>
          <w:lang w:val="sk-SK"/>
        </w:rPr>
        <w:t>.</w:t>
      </w:r>
    </w:p>
  </w:footnote>
  <w:footnote w:id="9">
    <w:p w14:paraId="5BFC9744" w14:textId="20F4D1A4" w:rsidR="00145B96" w:rsidRPr="00FF17E9" w:rsidRDefault="00145B96" w:rsidP="00FF17E9">
      <w:pPr>
        <w:pStyle w:val="FootnoteText"/>
        <w:ind w:left="567" w:hanging="567"/>
        <w:rPr>
          <w:sz w:val="24"/>
          <w:lang w:val="sk-SK"/>
        </w:rPr>
      </w:pPr>
      <w:r w:rsidRPr="00FF17E9">
        <w:rPr>
          <w:rStyle w:val="FootnoteReference"/>
          <w:sz w:val="24"/>
          <w:lang w:val="sk-SK"/>
        </w:rPr>
        <w:footnoteRef/>
      </w:r>
      <w:r w:rsidR="00FF17E9" w:rsidRPr="00FF17E9">
        <w:rPr>
          <w:sz w:val="24"/>
          <w:lang w:val="sk-SK"/>
        </w:rPr>
        <w:t xml:space="preserve"> </w:t>
      </w:r>
      <w:r w:rsidR="00FF17E9" w:rsidRPr="00FF17E9">
        <w:rPr>
          <w:sz w:val="24"/>
          <w:lang w:val="sk-SK"/>
        </w:rPr>
        <w:tab/>
      </w:r>
      <w:r w:rsidRPr="00FF17E9">
        <w:rPr>
          <w:sz w:val="24"/>
          <w:lang w:val="sk-SK"/>
        </w:rPr>
        <w:t xml:space="preserve">Ú. v. EÚ C, C/2024/5716, 17.10.2024, ELI: </w:t>
      </w:r>
      <w:hyperlink r:id="rId7" w:tgtFrame="http://data.europa.eu/eli/C/2024/5716/oj" w:history="1">
        <w:r w:rsidRPr="00FF17E9">
          <w:rPr>
            <w:rStyle w:val="Hyperlink"/>
            <w:sz w:val="24"/>
            <w:lang w:val="sk-SK"/>
          </w:rPr>
          <w:t>http://data.europa.eu/eli/C/2024/5716/oj</w:t>
        </w:r>
      </w:hyperlink>
      <w:r w:rsidRPr="00FF17E9">
        <w:rPr>
          <w:sz w:val="24"/>
          <w:lang w:val="sk-SK"/>
        </w:rPr>
        <w:t>.</w:t>
      </w:r>
    </w:p>
  </w:footnote>
  <w:footnote w:id="10">
    <w:p w14:paraId="0443FD60" w14:textId="110CE7B4" w:rsidR="00145B96" w:rsidRPr="00FF17E9" w:rsidRDefault="00145B96" w:rsidP="00FF17E9">
      <w:pPr>
        <w:pStyle w:val="FootnoteText"/>
        <w:ind w:left="567" w:hanging="567"/>
        <w:rPr>
          <w:sz w:val="24"/>
          <w:lang w:val="sk-SK"/>
        </w:rPr>
      </w:pPr>
      <w:r w:rsidRPr="00FF17E9">
        <w:rPr>
          <w:rStyle w:val="FootnoteReference"/>
          <w:sz w:val="24"/>
          <w:lang w:val="sk-SK"/>
        </w:rPr>
        <w:footnoteRef/>
      </w:r>
      <w:r w:rsidR="00FF17E9" w:rsidRPr="00FF17E9">
        <w:rPr>
          <w:sz w:val="24"/>
          <w:lang w:val="sk-SK"/>
        </w:rPr>
        <w:t xml:space="preserve"> </w:t>
      </w:r>
      <w:r w:rsidR="00FF17E9" w:rsidRPr="00FF17E9">
        <w:rPr>
          <w:sz w:val="24"/>
          <w:lang w:val="sk-SK"/>
        </w:rPr>
        <w:tab/>
      </w:r>
      <w:r w:rsidRPr="00FF17E9">
        <w:rPr>
          <w:sz w:val="24"/>
          <w:lang w:val="sk-SK"/>
        </w:rPr>
        <w:t xml:space="preserve">Ú. v. EÚ C, C/2025/4388, 9.9.2025, ELI: </w:t>
      </w:r>
      <w:hyperlink r:id="rId8" w:tgtFrame="http://data.europa.eu/eli/C/2025/4388/oj" w:history="1">
        <w:r w:rsidRPr="00FF17E9">
          <w:rPr>
            <w:rStyle w:val="Hyperlink"/>
            <w:sz w:val="24"/>
            <w:lang w:val="sk-SK"/>
          </w:rPr>
          <w:t>http://data.europa.eu/eli/C/2025/4388/oj</w:t>
        </w:r>
      </w:hyperlink>
      <w:r w:rsidRPr="00FF17E9">
        <w:rPr>
          <w:sz w:val="24"/>
          <w:lang w:val="sk-SK"/>
        </w:rPr>
        <w:t>.</w:t>
      </w:r>
    </w:p>
  </w:footnote>
  <w:footnote w:id="11">
    <w:p w14:paraId="3F5BEE0B" w14:textId="21F0CD1C" w:rsidR="00145B96" w:rsidRPr="00FF17E9" w:rsidRDefault="00145B96" w:rsidP="00FF17E9">
      <w:pPr>
        <w:pStyle w:val="FootnoteText"/>
        <w:ind w:left="567" w:hanging="567"/>
        <w:rPr>
          <w:sz w:val="24"/>
          <w:lang w:val="sk-SK"/>
        </w:rPr>
      </w:pPr>
      <w:r w:rsidRPr="00FF17E9">
        <w:rPr>
          <w:rStyle w:val="FootnoteReference"/>
          <w:sz w:val="24"/>
          <w:lang w:val="sk-SK"/>
        </w:rPr>
        <w:footnoteRef/>
      </w:r>
      <w:r w:rsidR="00FF17E9" w:rsidRPr="00FF17E9">
        <w:rPr>
          <w:sz w:val="24"/>
          <w:lang w:val="sk-SK"/>
        </w:rPr>
        <w:t xml:space="preserve"> </w:t>
      </w:r>
      <w:r w:rsidR="00FF17E9" w:rsidRPr="00FF17E9">
        <w:rPr>
          <w:sz w:val="24"/>
          <w:lang w:val="sk-SK"/>
        </w:rPr>
        <w:tab/>
      </w:r>
      <w:r w:rsidRPr="00FF17E9">
        <w:rPr>
          <w:sz w:val="24"/>
          <w:lang w:val="sk-SK"/>
        </w:rPr>
        <w:t xml:space="preserve">Ú. v. EÚ C, C/2025/4390, 9.9.2025, ELI: </w:t>
      </w:r>
      <w:hyperlink r:id="rId9" w:tgtFrame="http://data.europa.eu/eli/C/2025/4390/oj" w:history="1">
        <w:r w:rsidRPr="00FF17E9">
          <w:rPr>
            <w:rStyle w:val="Hyperlink"/>
            <w:sz w:val="24"/>
            <w:lang w:val="sk-SK"/>
          </w:rPr>
          <w:t>http://data.europa.eu/eli/C/2025/4390/oj</w:t>
        </w:r>
      </w:hyperlink>
      <w:r w:rsidRPr="00FF17E9">
        <w:rPr>
          <w:sz w:val="24"/>
          <w:lang w:val="sk-SK"/>
        </w:rPr>
        <w:t>.</w:t>
      </w:r>
    </w:p>
  </w:footnote>
  <w:footnote w:id="12">
    <w:p w14:paraId="44C7EF3E" w14:textId="57EC5BB6" w:rsidR="00145B96" w:rsidRPr="00FF17E9" w:rsidRDefault="00145B96" w:rsidP="00FF17E9">
      <w:pPr>
        <w:pStyle w:val="FootnoteText"/>
        <w:ind w:left="567" w:hanging="567"/>
        <w:rPr>
          <w:sz w:val="24"/>
          <w:lang w:val="sk-SK"/>
        </w:rPr>
      </w:pPr>
      <w:r w:rsidRPr="00FF17E9">
        <w:rPr>
          <w:rStyle w:val="FootnoteReference"/>
          <w:sz w:val="24"/>
          <w:lang w:val="sk-SK"/>
        </w:rPr>
        <w:footnoteRef/>
      </w:r>
      <w:r w:rsidR="00FF17E9" w:rsidRPr="00FF17E9">
        <w:rPr>
          <w:sz w:val="24"/>
          <w:lang w:val="sk-SK"/>
        </w:rPr>
        <w:t xml:space="preserve"> </w:t>
      </w:r>
      <w:r w:rsidR="00FF17E9" w:rsidRPr="00FF17E9">
        <w:rPr>
          <w:sz w:val="24"/>
          <w:lang w:val="sk-SK"/>
        </w:rPr>
        <w:tab/>
      </w:r>
      <w:r w:rsidRPr="00FF17E9">
        <w:rPr>
          <w:sz w:val="24"/>
          <w:lang w:val="sk-SK"/>
        </w:rPr>
        <w:t xml:space="preserve">Ú. v. EÚ C, C/2026/574, 24.2.2026, ELI: </w:t>
      </w:r>
      <w:hyperlink r:id="rId10" w:history="1">
        <w:r w:rsidRPr="00FF17E9">
          <w:rPr>
            <w:rStyle w:val="Hyperlink"/>
            <w:sz w:val="24"/>
            <w:lang w:val="sk-SK"/>
          </w:rPr>
          <w:t>http://data.europa.eu/eli/C/2026/574/oj</w:t>
        </w:r>
      </w:hyperlink>
      <w:r w:rsidRPr="00FF17E9">
        <w:rPr>
          <w:sz w:val="24"/>
          <w:lang w:val="sk-SK"/>
        </w:rPr>
        <w:t>.</w:t>
      </w:r>
    </w:p>
  </w:footnote>
  <w:footnote w:id="13">
    <w:p w14:paraId="4531EFCB" w14:textId="1D7CA516" w:rsidR="00145B96" w:rsidRPr="00FF17E9" w:rsidRDefault="00145B96" w:rsidP="00FF17E9">
      <w:pPr>
        <w:pStyle w:val="FootnoteText"/>
        <w:ind w:left="567" w:hanging="567"/>
        <w:rPr>
          <w:sz w:val="24"/>
          <w:lang w:val="sk-SK"/>
        </w:rPr>
      </w:pPr>
      <w:r w:rsidRPr="00FF17E9">
        <w:rPr>
          <w:rStyle w:val="FootnoteReference"/>
          <w:sz w:val="24"/>
          <w:lang w:val="sk-SK"/>
        </w:rPr>
        <w:footnoteRef/>
      </w:r>
      <w:r w:rsidR="00FF17E9" w:rsidRPr="00FF17E9">
        <w:rPr>
          <w:sz w:val="24"/>
          <w:lang w:val="sk-SK"/>
        </w:rPr>
        <w:t xml:space="preserve"> </w:t>
      </w:r>
      <w:r w:rsidR="00FF17E9" w:rsidRPr="00FF17E9">
        <w:rPr>
          <w:sz w:val="24"/>
          <w:lang w:val="sk-SK"/>
        </w:rPr>
        <w:tab/>
      </w:r>
      <w:r w:rsidRPr="00FF17E9">
        <w:rPr>
          <w:sz w:val="24"/>
          <w:lang w:val="sk-SK"/>
        </w:rPr>
        <w:t xml:space="preserve">Prijaté texty, </w:t>
      </w:r>
      <w:r w:rsidR="008C29F6" w:rsidRPr="00B95DD7">
        <w:t>P10_TA(2025)0077</w:t>
      </w:r>
      <w:r w:rsidRPr="00FF17E9">
        <w:rPr>
          <w:sz w:val="24"/>
          <w:lang w:val="sk-SK"/>
        </w:rPr>
        <w:t>.</w:t>
      </w:r>
    </w:p>
  </w:footnote>
  <w:footnote w:id="14">
    <w:p w14:paraId="27C92985" w14:textId="51D605BF" w:rsidR="00145B96" w:rsidRPr="00FF17E9" w:rsidRDefault="00145B96" w:rsidP="00FF17E9">
      <w:pPr>
        <w:pStyle w:val="FootnoteText"/>
        <w:ind w:left="567" w:hanging="567"/>
        <w:rPr>
          <w:sz w:val="24"/>
          <w:lang w:val="sk-SK"/>
        </w:rPr>
      </w:pPr>
      <w:r w:rsidRPr="00FF17E9">
        <w:rPr>
          <w:rStyle w:val="FootnoteReference"/>
          <w:sz w:val="24"/>
          <w:lang w:val="sk-SK"/>
        </w:rPr>
        <w:footnoteRef/>
      </w:r>
      <w:r w:rsidR="00FF17E9" w:rsidRPr="00FF17E9">
        <w:rPr>
          <w:sz w:val="24"/>
          <w:lang w:val="sk-SK"/>
        </w:rPr>
        <w:t xml:space="preserve"> </w:t>
      </w:r>
      <w:r w:rsidR="00FF17E9" w:rsidRPr="00FF17E9">
        <w:rPr>
          <w:sz w:val="24"/>
          <w:lang w:val="sk-SK"/>
        </w:rPr>
        <w:tab/>
      </w:r>
      <w:r w:rsidRPr="00FF17E9">
        <w:rPr>
          <w:sz w:val="24"/>
          <w:lang w:val="sk-SK"/>
        </w:rPr>
        <w:t xml:space="preserve">Prijaté texty, </w:t>
      </w:r>
      <w:r w:rsidR="008C29F6" w:rsidRPr="00B95DD7">
        <w:t>P10_TA(2025)0159</w:t>
      </w:r>
      <w:r w:rsidRPr="00FF17E9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D69B0" w14:textId="77777777" w:rsidR="00064002" w:rsidRPr="00FF17E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259F2" w14:textId="77777777" w:rsidR="00064002" w:rsidRPr="00FF17E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BC243" w14:textId="77777777" w:rsidR="00064002" w:rsidRPr="00FF17E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09692289">
    <w:abstractNumId w:val="9"/>
  </w:num>
  <w:num w:numId="2" w16cid:durableId="315189247">
    <w:abstractNumId w:val="9"/>
  </w:num>
  <w:num w:numId="3" w16cid:durableId="1422606639">
    <w:abstractNumId w:val="7"/>
  </w:num>
  <w:num w:numId="4" w16cid:durableId="105121801">
    <w:abstractNumId w:val="7"/>
  </w:num>
  <w:num w:numId="5" w16cid:durableId="1239364203">
    <w:abstractNumId w:val="6"/>
  </w:num>
  <w:num w:numId="6" w16cid:durableId="1463159165">
    <w:abstractNumId w:val="6"/>
  </w:num>
  <w:num w:numId="7" w16cid:durableId="436828776">
    <w:abstractNumId w:val="5"/>
  </w:num>
  <w:num w:numId="8" w16cid:durableId="1531920332">
    <w:abstractNumId w:val="5"/>
  </w:num>
  <w:num w:numId="9" w16cid:durableId="746077953">
    <w:abstractNumId w:val="4"/>
  </w:num>
  <w:num w:numId="10" w16cid:durableId="198398002">
    <w:abstractNumId w:val="4"/>
  </w:num>
  <w:num w:numId="11" w16cid:durableId="115098733">
    <w:abstractNumId w:val="8"/>
  </w:num>
  <w:num w:numId="12" w16cid:durableId="1194421384">
    <w:abstractNumId w:val="8"/>
  </w:num>
  <w:num w:numId="13" w16cid:durableId="555045595">
    <w:abstractNumId w:val="3"/>
  </w:num>
  <w:num w:numId="14" w16cid:durableId="1958562247">
    <w:abstractNumId w:val="3"/>
  </w:num>
  <w:num w:numId="15" w16cid:durableId="2036416383">
    <w:abstractNumId w:val="2"/>
  </w:num>
  <w:num w:numId="16" w16cid:durableId="119079029">
    <w:abstractNumId w:val="2"/>
  </w:num>
  <w:num w:numId="17" w16cid:durableId="955409072">
    <w:abstractNumId w:val="1"/>
  </w:num>
  <w:num w:numId="18" w16cid:durableId="836923563">
    <w:abstractNumId w:val="1"/>
  </w:num>
  <w:num w:numId="19" w16cid:durableId="638654145">
    <w:abstractNumId w:val="0"/>
  </w:num>
  <w:num w:numId="20" w16cid:durableId="637763522">
    <w:abstractNumId w:val="0"/>
  </w:num>
  <w:num w:numId="21" w16cid:durableId="1506358374">
    <w:abstractNumId w:val="9"/>
  </w:num>
  <w:num w:numId="22" w16cid:durableId="31805292">
    <w:abstractNumId w:val="7"/>
  </w:num>
  <w:num w:numId="23" w16cid:durableId="1137798251">
    <w:abstractNumId w:val="6"/>
  </w:num>
  <w:num w:numId="24" w16cid:durableId="1390611156">
    <w:abstractNumId w:val="5"/>
  </w:num>
  <w:num w:numId="25" w16cid:durableId="556821460">
    <w:abstractNumId w:val="4"/>
  </w:num>
  <w:num w:numId="26" w16cid:durableId="945884971">
    <w:abstractNumId w:val="8"/>
  </w:num>
  <w:num w:numId="27" w16cid:durableId="418987332">
    <w:abstractNumId w:val="3"/>
  </w:num>
  <w:num w:numId="28" w16cid:durableId="1900094911">
    <w:abstractNumId w:val="2"/>
  </w:num>
  <w:num w:numId="29" w16cid:durableId="436173873">
    <w:abstractNumId w:val="1"/>
  </w:num>
  <w:num w:numId="30" w16cid:durableId="1211721142">
    <w:abstractNumId w:val="0"/>
  </w:num>
  <w:num w:numId="31" w16cid:durableId="1403024050">
    <w:abstractNumId w:val="9"/>
  </w:num>
  <w:num w:numId="32" w16cid:durableId="328675262">
    <w:abstractNumId w:val="7"/>
  </w:num>
  <w:num w:numId="33" w16cid:durableId="937177685">
    <w:abstractNumId w:val="6"/>
  </w:num>
  <w:num w:numId="34" w16cid:durableId="114179669">
    <w:abstractNumId w:val="5"/>
  </w:num>
  <w:num w:numId="35" w16cid:durableId="1007168828">
    <w:abstractNumId w:val="4"/>
  </w:num>
  <w:num w:numId="36" w16cid:durableId="715083603">
    <w:abstractNumId w:val="8"/>
  </w:num>
  <w:num w:numId="37" w16cid:durableId="451091602">
    <w:abstractNumId w:val="3"/>
  </w:num>
  <w:num w:numId="38" w16cid:durableId="1733849391">
    <w:abstractNumId w:val="2"/>
  </w:num>
  <w:num w:numId="39" w16cid:durableId="452208338">
    <w:abstractNumId w:val="1"/>
  </w:num>
  <w:num w:numId="40" w16cid:durableId="1204753284">
    <w:abstractNumId w:val="0"/>
  </w:num>
  <w:num w:numId="41" w16cid:durableId="1069689667">
    <w:abstractNumId w:val="10"/>
  </w:num>
  <w:num w:numId="42" w16cid:durableId="1956595852">
    <w:abstractNumId w:val="10"/>
  </w:num>
  <w:num w:numId="43" w16cid:durableId="1513497794">
    <w:abstractNumId w:val="10"/>
  </w:num>
  <w:num w:numId="44" w16cid:durableId="14292356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45/2026"/>
    <w:docVar w:name="dvlangue" w:val="SK"/>
    <w:docVar w:name="dvnumam" w:val="21"/>
    <w:docVar w:name="dvpe" w:val="776.922"/>
    <w:docVar w:name="dvrapporteur" w:val="Spravodajkyne: "/>
    <w:docVar w:name="dvtitre" w:val="Uznesenie Európskeho parlamentu z/zo xx. xxx 2026 o Global Gateway – minulé vplyvy a budúca orientácia(2025/2073(INI))"/>
  </w:docVars>
  <w:rsids>
    <w:rsidRoot w:val="008F10EC"/>
    <w:rsid w:val="00002272"/>
    <w:rsid w:val="00064002"/>
    <w:rsid w:val="000677B9"/>
    <w:rsid w:val="000831BA"/>
    <w:rsid w:val="00090FDE"/>
    <w:rsid w:val="000A42CC"/>
    <w:rsid w:val="000E7DD9"/>
    <w:rsid w:val="0010095E"/>
    <w:rsid w:val="001165B8"/>
    <w:rsid w:val="00125B37"/>
    <w:rsid w:val="00145B96"/>
    <w:rsid w:val="00187494"/>
    <w:rsid w:val="001F32AE"/>
    <w:rsid w:val="002767FF"/>
    <w:rsid w:val="002B18FE"/>
    <w:rsid w:val="002B5493"/>
    <w:rsid w:val="002C7804"/>
    <w:rsid w:val="00343214"/>
    <w:rsid w:val="00361C00"/>
    <w:rsid w:val="00383CC9"/>
    <w:rsid w:val="00395FA1"/>
    <w:rsid w:val="003E15D4"/>
    <w:rsid w:val="00411CCE"/>
    <w:rsid w:val="0041666E"/>
    <w:rsid w:val="00421060"/>
    <w:rsid w:val="00471C19"/>
    <w:rsid w:val="00471E47"/>
    <w:rsid w:val="004867E3"/>
    <w:rsid w:val="00494A28"/>
    <w:rsid w:val="004C0004"/>
    <w:rsid w:val="004C5D52"/>
    <w:rsid w:val="0050519A"/>
    <w:rsid w:val="005072A1"/>
    <w:rsid w:val="00514517"/>
    <w:rsid w:val="00522F0E"/>
    <w:rsid w:val="00545827"/>
    <w:rsid w:val="00560270"/>
    <w:rsid w:val="005C2568"/>
    <w:rsid w:val="005F1B17"/>
    <w:rsid w:val="006037C0"/>
    <w:rsid w:val="00627BEC"/>
    <w:rsid w:val="006631B6"/>
    <w:rsid w:val="00680577"/>
    <w:rsid w:val="006E1592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9F6"/>
    <w:rsid w:val="008C2AC6"/>
    <w:rsid w:val="008F10EC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5DD7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5641"/>
    <w:rsid w:val="00DA7FCD"/>
    <w:rsid w:val="00E365E1"/>
    <w:rsid w:val="00E820A4"/>
    <w:rsid w:val="00E960F9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17E9"/>
    <w:rsid w:val="00FF4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9B1DBB"/>
  <w15:chartTrackingRefBased/>
  <w15:docId w15:val="{8BC0B287-C044-45F5-B002-DBA0C26D5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145B96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link w:val="NormalHanging12aChar"/>
    <w:rsid w:val="00145B96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145B96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145B96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145B96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145B96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145B96"/>
    <w:rPr>
      <w:sz w:val="24"/>
      <w:szCs w:val="24"/>
      <w:lang w:val="sk-SK" w:eastAsia="en-US"/>
    </w:rPr>
  </w:style>
  <w:style w:type="paragraph" w:styleId="Revision">
    <w:name w:val="Revision"/>
    <w:hidden/>
    <w:uiPriority w:val="99"/>
    <w:semiHidden/>
    <w:rsid w:val="00522F0E"/>
    <w:rPr>
      <w:sz w:val="24"/>
      <w:lang w:val="sk-SK"/>
    </w:rPr>
  </w:style>
  <w:style w:type="character" w:styleId="FollowedHyperlink">
    <w:name w:val="FollowedHyperlink"/>
    <w:basedOn w:val="DefaultParagraphFont"/>
    <w:rsid w:val="008C29F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5/4388/oj" TargetMode="External"/><Relationship Id="rId3" Type="http://schemas.openxmlformats.org/officeDocument/2006/relationships/hyperlink" Target="http://data.europa.eu/eli/reg/2021/1529/oj." TargetMode="External"/><Relationship Id="rId7" Type="http://schemas.openxmlformats.org/officeDocument/2006/relationships/hyperlink" Target="http://data.europa.eu/eli/C/2024/5716/oj" TargetMode="External"/><Relationship Id="rId2" Type="http://schemas.openxmlformats.org/officeDocument/2006/relationships/hyperlink" Target="http://data.europa.eu/eli/reg/2021/1529/oj" TargetMode="External"/><Relationship Id="rId1" Type="http://schemas.openxmlformats.org/officeDocument/2006/relationships/hyperlink" Target="http://data.europa.eu/eli/reg/2021/947/oj" TargetMode="External"/><Relationship Id="rId6" Type="http://schemas.openxmlformats.org/officeDocument/2006/relationships/hyperlink" Target="http://data.europa.eu/eli/C/2024/5719/oj" TargetMode="External"/><Relationship Id="rId5" Type="http://schemas.openxmlformats.org/officeDocument/2006/relationships/hyperlink" Target="http://data.europa.eu/eli/C/2024/4163/oj" TargetMode="External"/><Relationship Id="rId10" Type="http://schemas.openxmlformats.org/officeDocument/2006/relationships/hyperlink" Target="http://data.europa.eu/eli/C/2026/574/oj" TargetMode="External"/><Relationship Id="rId4" Type="http://schemas.openxmlformats.org/officeDocument/2006/relationships/hyperlink" Target="http://data.europa.eu/eli/dec/2010/427/oj" TargetMode="External"/><Relationship Id="rId9" Type="http://schemas.openxmlformats.org/officeDocument/2006/relationships/hyperlink" Target="http://data.europa.eu/eli/C/2025/439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9759</Words>
  <Characters>63258</Characters>
  <Application>Microsoft Office Word</Application>
  <DocSecurity>0</DocSecurity>
  <Lines>2530</Lines>
  <Paragraphs>722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VILEM Jan</cp:lastModifiedBy>
  <cp:revision>2</cp:revision>
  <cp:lastPrinted>2004-11-19T15:42:00Z</cp:lastPrinted>
  <dcterms:created xsi:type="dcterms:W3CDTF">2026-05-04T09:50:00Z</dcterms:created>
  <dcterms:modified xsi:type="dcterms:W3CDTF">2026-05-04T09:50:00Z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A10-0045/2026</vt:lpwstr>
  </property>
  <property fmtid="{D5CDD505-2E9C-101B-9397-08002B2CF9AE}" pid="4" name="&lt;Type&gt;">
    <vt:lpwstr>RR</vt:lpwstr>
  </property>
</Properties>
</file>