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D1433B" w14:textId="77777777" w:rsidTr="0010095E">
        <w:tblPrEx>
          <w:tblW w:w="9072" w:type="dxa"/>
          <w:tblLook w:val="01E0"/>
        </w:tblPrEx>
        <w:trPr>
          <w:trHeight w:hRule="exact" w:val="1418"/>
        </w:trPr>
        <w:tc>
          <w:tcPr>
            <w:tcW w:w="6804" w:type="dxa"/>
            <w:shd w:val="clear" w:color="auto" w:fill="auto"/>
            <w:vAlign w:val="center"/>
          </w:tcPr>
          <w:p w:rsidR="00751A4A" w:rsidRPr="003B2365" w:rsidP="0010095E" w14:paraId="2339EDEF" w14:textId="77777777">
            <w:pPr>
              <w:pStyle w:val="EPName"/>
            </w:pPr>
            <w:r w:rsidRPr="003B2365">
              <w:t>Euroopan parlamentti</w:t>
            </w:r>
          </w:p>
          <w:p w:rsidR="00751A4A" w:rsidRPr="003B2365" w:rsidP="005F1B17" w14:paraId="0069A6F8" w14:textId="77777777">
            <w:pPr>
              <w:pStyle w:val="EPTerm"/>
              <w:rPr>
                <w:rStyle w:val="HideTWBExt"/>
                <w:noProof w:val="0"/>
                <w:vanish w:val="0"/>
                <w:color w:val="auto"/>
              </w:rPr>
            </w:pPr>
            <w:r w:rsidRPr="003B2365">
              <w:t>2024</w:t>
            </w:r>
            <w:r w:rsidRPr="003B2365" w:rsidR="00817416">
              <w:t>-202</w:t>
            </w:r>
            <w:r w:rsidRPr="003B2365">
              <w:t>9</w:t>
            </w:r>
          </w:p>
        </w:tc>
        <w:tc>
          <w:tcPr>
            <w:tcW w:w="2268" w:type="dxa"/>
            <w:shd w:val="clear" w:color="auto" w:fill="auto"/>
          </w:tcPr>
          <w:p w:rsidR="00751A4A" w:rsidRPr="003B2365" w:rsidP="0010095E" w14:paraId="703733F5" w14:textId="77777777">
            <w:pPr>
              <w:pStyle w:val="EPLogo"/>
            </w:pPr>
            <w:r w:rsidRPr="003B23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B2365" w:rsidP="004C5D52" w14:paraId="470CEEA6" w14:textId="77777777">
      <w:pPr>
        <w:pStyle w:val="LineTop"/>
      </w:pPr>
    </w:p>
    <w:p w:rsidR="00680577" w:rsidRPr="003B2365" w:rsidP="00680577" w14:paraId="562C2354" w14:textId="77777777">
      <w:pPr>
        <w:pStyle w:val="EPBodyTA1"/>
      </w:pPr>
      <w:r w:rsidRPr="003B2365">
        <w:t>HYVÄKSYTYT TEKSTIT</w:t>
      </w:r>
    </w:p>
    <w:p w:rsidR="00D058B8" w:rsidRPr="003B2365" w:rsidP="00D058B8" w14:paraId="7654433A" w14:textId="77777777">
      <w:pPr>
        <w:pStyle w:val="LineBottom"/>
      </w:pPr>
    </w:p>
    <w:p w:rsidR="002226AE" w:rsidRPr="003B2365" w:rsidP="002226AE" w14:paraId="19A3EFA0" w14:textId="3DD28A41">
      <w:pPr>
        <w:pStyle w:val="ATHeading1"/>
      </w:pPr>
      <w:bookmarkStart w:id="0" w:name="TANumber"/>
      <w:r w:rsidRPr="003B2365">
        <w:t>P10_TA(2026)0</w:t>
      </w:r>
      <w:r w:rsidRPr="003B2365" w:rsidR="00F14CE6">
        <w:t>105</w:t>
      </w:r>
      <w:bookmarkEnd w:id="0"/>
    </w:p>
    <w:p w:rsidR="002226AE" w:rsidRPr="003B2365" w:rsidP="002226AE" w14:paraId="412C81CD" w14:textId="77777777">
      <w:pPr>
        <w:pStyle w:val="ATHeading2"/>
      </w:pPr>
      <w:bookmarkStart w:id="1" w:name="title"/>
      <w:r w:rsidRPr="003B2365">
        <w:t>Patryk Jakin koskemattomuuden pidättämistä koskeva pyyntö</w:t>
      </w:r>
      <w:bookmarkEnd w:id="1"/>
    </w:p>
    <w:p w:rsidR="002226AE" w:rsidRPr="003B2365" w:rsidP="002226AE" w14:paraId="637C638C" w14:textId="77777777">
      <w:pPr>
        <w:rPr>
          <w:i/>
          <w:vanish/>
        </w:rPr>
      </w:pPr>
      <w:r>
        <w:rPr>
          <w:i/>
        </w:rPr>
        <w:fldChar w:fldCharType="begin"/>
      </w:r>
      <w:r w:rsidRPr="003B2365">
        <w:rPr>
          <w:i/>
        </w:rPr>
        <w:instrText xml:space="preserve"> TC"(</w:instrText>
      </w:r>
      <w:bookmarkStart w:id="2" w:name="DocNumber"/>
      <w:r w:rsidRPr="003B2365">
        <w:rPr>
          <w:i/>
        </w:rPr>
        <w:instrText>A10-0108/2026</w:instrText>
      </w:r>
      <w:bookmarkEnd w:id="2"/>
      <w:r w:rsidRPr="003B2365">
        <w:rPr>
          <w:i/>
        </w:rPr>
        <w:instrText xml:space="preserve"> - Esittelijä: Adrián Vázquez Lázara)"\l3 \n&gt; \* MERGEFORMAT </w:instrText>
      </w:r>
      <w:r>
        <w:rPr>
          <w:i/>
        </w:rPr>
        <w:fldChar w:fldCharType="end"/>
      </w:r>
    </w:p>
    <w:p w:rsidR="002226AE" w:rsidRPr="003B2365" w:rsidP="002226AE" w14:paraId="3603D60A" w14:textId="77777777">
      <w:pPr>
        <w:rPr>
          <w:vanish/>
        </w:rPr>
      </w:pPr>
      <w:bookmarkStart w:id="3" w:name="Commission"/>
      <w:r w:rsidRPr="003B2365">
        <w:rPr>
          <w:vanish/>
        </w:rPr>
        <w:t>Oikeudellisten asioiden valiokunta</w:t>
      </w:r>
      <w:bookmarkEnd w:id="3"/>
    </w:p>
    <w:p w:rsidR="002226AE" w:rsidRPr="003B2365" w:rsidP="002226AE" w14:paraId="4C3711DA" w14:textId="77777777">
      <w:pPr>
        <w:rPr>
          <w:vanish/>
        </w:rPr>
      </w:pPr>
      <w:bookmarkStart w:id="4" w:name="PE"/>
      <w:r w:rsidRPr="003B2365">
        <w:rPr>
          <w:vanish/>
        </w:rPr>
        <w:t>PE786.688</w:t>
      </w:r>
      <w:bookmarkEnd w:id="4"/>
    </w:p>
    <w:p w:rsidR="002226AE" w:rsidRPr="003B2365" w:rsidP="002226AE" w14:paraId="77B4B853" w14:textId="2F77B242">
      <w:pPr>
        <w:pStyle w:val="ATHeading3"/>
      </w:pPr>
      <w:bookmarkStart w:id="5" w:name="Sujet"/>
      <w:r w:rsidRPr="003B2365">
        <w:t xml:space="preserve">Euroopan parlamentin päätös </w:t>
      </w:r>
      <w:r w:rsidRPr="003B2365" w:rsidR="004F06CB">
        <w:t>28</w:t>
      </w:r>
      <w:r w:rsidRPr="003B2365">
        <w:t>. huhtikuuta 2026 Patryk Jakin koskemattomuuden pidättämistä koskevasta pyynnöstä</w:t>
      </w:r>
      <w:bookmarkEnd w:id="5"/>
      <w:r w:rsidRPr="003B2365">
        <w:t xml:space="preserve"> </w:t>
      </w:r>
      <w:bookmarkStart w:id="6" w:name="References"/>
      <w:r w:rsidRPr="003B2365">
        <w:t>(2025/2171(IMM))</w:t>
      </w:r>
      <w:bookmarkEnd w:id="6"/>
    </w:p>
    <w:p w:rsidR="00693BE6" w:rsidRPr="003B2365" w:rsidP="004F06CB" w14:paraId="2A389D70" w14:textId="77777777">
      <w:pPr>
        <w:pStyle w:val="EPComma"/>
        <w:widowControl/>
      </w:pPr>
      <w:bookmarkStart w:id="7" w:name="TextBodyBegin"/>
      <w:bookmarkEnd w:id="7"/>
      <w:r w:rsidRPr="003B2365">
        <w:rPr>
          <w:i/>
          <w:iCs/>
        </w:rPr>
        <w:t>Euroopan parlamentti</w:t>
      </w:r>
      <w:r w:rsidRPr="003B2365">
        <w:t>, joka</w:t>
      </w:r>
    </w:p>
    <w:p w:rsidR="00693BE6" w:rsidRPr="003B2365" w:rsidP="004F06CB" w14:paraId="58FCA24F" w14:textId="0EE7E747">
      <w:pPr>
        <w:pStyle w:val="NormalHanging12a"/>
        <w:widowControl/>
      </w:pPr>
      <w:r w:rsidRPr="003B2365">
        <w:t>–</w:t>
      </w:r>
      <w:r w:rsidRPr="003B2365">
        <w:tab/>
        <w:t>ottaa huomioon 6. elokuuta 2025 päivätyn ja Varsova-</w:t>
      </w:r>
      <w:r w:rsidRPr="003B2365">
        <w:t>Śródmieścien</w:t>
      </w:r>
      <w:r w:rsidRPr="003B2365">
        <w:t xml:space="preserve"> piirituomioistuimen</w:t>
      </w:r>
      <w:r w:rsidR="00401DEA">
        <w:t xml:space="preserve"> </w:t>
      </w:r>
      <w:r w:rsidRPr="003B2365">
        <w:t>toimittaman, Patryk Jakin koskemattomuuden pidättämistä koskevan pyynnön, joka liittyy asianomistajan avustajan jättämällä kanteella Jakia vastaan vireille pantuun rikosoikeudelliseen menettelyyn ja josta ilmoitettiin täysistunnossa 8. syyskuuta 2025,</w:t>
      </w:r>
    </w:p>
    <w:p w:rsidR="00693BE6" w:rsidRPr="003B2365" w:rsidP="004F06CB" w14:paraId="6EEB9B9F" w14:textId="77777777">
      <w:pPr>
        <w:pStyle w:val="NormalHanging12a"/>
        <w:widowControl/>
      </w:pPr>
      <w:r w:rsidRPr="003B2365">
        <w:t>–</w:t>
      </w:r>
      <w:r w:rsidRPr="003B2365">
        <w:tab/>
        <w:t>on kuullut Patryk Jakia 23. maaliskuuta 2026 työjärjestyksen 9 artiklan 6 kohdan mukaisesti,</w:t>
      </w:r>
    </w:p>
    <w:p w:rsidR="00693BE6" w:rsidRPr="003B2365" w:rsidP="004F06CB" w14:paraId="5FBE0451" w14:textId="77777777">
      <w:pPr>
        <w:pStyle w:val="NormalHanging12a"/>
        <w:widowControl/>
      </w:pPr>
      <w:r w:rsidRPr="003B2365">
        <w:t>–</w:t>
      </w:r>
      <w:r w:rsidRPr="003B2365">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693BE6" w:rsidRPr="003B2365" w:rsidP="004F06CB" w14:paraId="17B88473" w14:textId="77777777">
      <w:pPr>
        <w:pStyle w:val="NormalHanging12a"/>
        <w:widowControl/>
      </w:pPr>
      <w:r w:rsidRPr="003B2365">
        <w:t>–</w:t>
      </w:r>
      <w:r w:rsidRPr="003B2365">
        <w:tab/>
        <w:t>ottaa huomioon Euroopan unionin tuomioistuimen 21. lokakuuta 2008, 19. maaliskuuta 2010, 6. syyskuuta 2011, 17. tammikuuta 2013 ja 19. joulukuuta 2019 antamat tuomiot</w:t>
      </w:r>
      <w:r>
        <w:rPr>
          <w:vertAlign w:val="superscript"/>
        </w:rPr>
        <w:footnoteReference w:id="2"/>
      </w:r>
      <w:r w:rsidRPr="003B2365">
        <w:t>,</w:t>
      </w:r>
    </w:p>
    <w:p w:rsidR="00693BE6" w:rsidRPr="003B2365" w:rsidP="004F06CB" w14:paraId="1CBDEE45" w14:textId="77777777">
      <w:pPr>
        <w:pStyle w:val="NormalHanging12a"/>
        <w:widowControl/>
      </w:pPr>
      <w:r w:rsidRPr="003B2365">
        <w:t>–</w:t>
      </w:r>
      <w:r w:rsidRPr="003B2365">
        <w:tab/>
        <w:t>ottaa huomioon Puolan tasavallan perustuslain 105 pykälän 2 ja 5 momentin,</w:t>
      </w:r>
    </w:p>
    <w:p w:rsidR="00693BE6" w:rsidRPr="003B2365" w:rsidP="004F06CB" w14:paraId="3D6A9346" w14:textId="77777777">
      <w:pPr>
        <w:pStyle w:val="NormalHanging12a"/>
        <w:widowControl/>
      </w:pPr>
      <w:r w:rsidRPr="003B2365">
        <w:t>–</w:t>
      </w:r>
      <w:r w:rsidRPr="003B2365">
        <w:tab/>
        <w:t>ottaa huomioon työjärjestyksen 5 artiklan 2 kohdan, 6 artiklan 1 kohdan ja 9 artiklan,</w:t>
      </w:r>
    </w:p>
    <w:p w:rsidR="00693BE6" w:rsidRPr="003B2365" w:rsidP="004F06CB" w14:paraId="3CA0C5D6" w14:textId="77777777">
      <w:pPr>
        <w:pStyle w:val="NormalHanging12a"/>
        <w:widowControl/>
      </w:pPr>
      <w:r w:rsidRPr="003B2365">
        <w:t>–</w:t>
      </w:r>
      <w:r w:rsidRPr="003B2365">
        <w:tab/>
        <w:t>ottaa huomioon oikeudellisten asioiden valiokunnan mietinnön (A10-0108/2026),</w:t>
      </w:r>
    </w:p>
    <w:p w:rsidR="00693BE6" w:rsidRPr="003B2365" w:rsidP="004F06CB" w14:paraId="7ED281AC" w14:textId="77777777">
      <w:pPr>
        <w:pStyle w:val="NormalHanging12a"/>
        <w:widowControl/>
      </w:pPr>
      <w:r w:rsidRPr="003B2365">
        <w:t>A.</w:t>
      </w:r>
      <w:r w:rsidRPr="003B2365">
        <w:tab/>
        <w:t>ottaa huomioon, että Varsova-</w:t>
      </w:r>
      <w:r w:rsidRPr="003B2365">
        <w:t>Śródmieścien</w:t>
      </w:r>
      <w:r w:rsidRPr="003B2365">
        <w:t xml:space="preserve"> piirituomioistuin esitti 6. elokuuta 2025 päivätyllä kirjeellä </w:t>
      </w:r>
      <w:bookmarkStart w:id="8" w:name="_Hlk222405545"/>
      <w:r w:rsidRPr="003B2365">
        <w:t>Puolasta valitun Euroopan parlamentin jäsenen</w:t>
      </w:r>
      <w:bookmarkEnd w:id="8"/>
      <w:r w:rsidRPr="003B2365">
        <w:t xml:space="preserve"> Patryk Jakin koskemattomuuden pidättämistä koskevan pyynnön, joka liittyy sen käsiteltäväksi saatettuun väitetyn asianomistajarikoksen rikosoikeudelliseen menettelyyn;</w:t>
      </w:r>
    </w:p>
    <w:p w:rsidR="00693BE6" w:rsidRPr="003B2365" w:rsidP="004F06CB" w14:paraId="6CC5A901" w14:textId="176D18EA">
      <w:pPr>
        <w:pStyle w:val="NormalHanging12a"/>
        <w:widowControl/>
      </w:pPr>
      <w:r w:rsidRPr="003B2365">
        <w:t>B.</w:t>
      </w:r>
      <w:r w:rsidRPr="003B2365">
        <w:tab/>
        <w:t xml:space="preserve">ottaa huomioon, että pyynnössä on kyse siitä, että Patryk Jakin väitetään 5.–7. kesäkuuta 2024 välisenä aikana loukanneen harkitun suunnitelmallisesti, lyhyellä aikavälillä toisiaan seuranneissa tilanteissa ja tahallisesti asianomistajana olevan tuomarin kunniaa seuraavasti: i) vaalikampanjatapaamisen aikana </w:t>
      </w:r>
      <w:r w:rsidRPr="003B2365">
        <w:t>Będzinissä</w:t>
      </w:r>
      <w:r w:rsidRPr="003B2365">
        <w:t xml:space="preserve"> 5. kesäkuuta 2024 keskustellessaan tapaamiseen osallistuneen henkilön kanssa Patryk Jaki oli </w:t>
      </w:r>
      <w:r w:rsidRPr="003B2365" w:rsidR="001E1179">
        <w:t xml:space="preserve">väitetysti </w:t>
      </w:r>
      <w:r w:rsidRPr="003B2365">
        <w:t xml:space="preserve">antanut asianomistajasta lausuntoja, joissa hän väitti, että tämä oli tietämättään hyväksynyt </w:t>
      </w:r>
      <w:r w:rsidRPr="003B2365">
        <w:t>Pegasus</w:t>
      </w:r>
      <w:r w:rsidRPr="003B2365">
        <w:t xml:space="preserve">-vakoiluohjelman käytön ja ii) 7. kesäkuuta 2024 Patryk Jaki oli väitetysti levittänyt nauhoitetta </w:t>
      </w:r>
      <w:r w:rsidRPr="003B2365" w:rsidR="001E1179">
        <w:t xml:space="preserve">kyseisestä </w:t>
      </w:r>
      <w:r w:rsidRPr="003B2365">
        <w:t>keskustelusta kaikkialle maahan joukkotiedotusvälineiden välityksellä (ts. sosiaalisen median alustat Instagram, Facebook ja X (Twitter)) ja väittänyt asianomistajan laiminlyöneen tehtävänsä tuomarina määrittelemättömien ”tiedustelujen ja tarkastusten” suorittamisessa operatiivisen tarkkailutoiminnan menetelmään liittyen, kun kyse oli operatiivisen tarkkailun määräyksiä koskevien pyyntöjen käsittelystä, ja että hän oli toiminut epäasianmukaisesti ammatissaan tuomarina ja ollut puolueellinen, koska hän oli ollut poliittisen puolueen vaikutusvallan alla;</w:t>
      </w:r>
    </w:p>
    <w:p w:rsidR="00693BE6" w:rsidRPr="003B2365" w:rsidP="004F06CB" w14:paraId="75F17F93" w14:textId="77777777">
      <w:pPr>
        <w:pStyle w:val="NormalHanging12a"/>
        <w:widowControl/>
      </w:pPr>
      <w:r w:rsidRPr="003B2365">
        <w:t>C.</w:t>
      </w:r>
      <w:r w:rsidRPr="003B2365">
        <w:tab/>
        <w:t>toteaa, että Patryk Jakin on näin väitetty loukanneen asianomistajan kunniaa suorana tarkoituksenaan nöyryyttää häntä julkisuudessa ja vahingoittaa hänen mainettaan sekä heikentää häneen kohdistuvaa luottamusta, joka on välttämätöntä hänen tuomarin tehtävissään; ottaa huomioon, että teko, josta Jakia epäillään, on rikos Puolan rikoslain 212 pykälän 1 momentin nojalla yhdessä 212 pykälän 2 momentin ja 12 pykälän 1 momentin kanssa;</w:t>
      </w:r>
    </w:p>
    <w:p w:rsidR="00693BE6" w:rsidRPr="003B2365" w:rsidP="004F06CB" w14:paraId="4CB8201D" w14:textId="77777777">
      <w:pPr>
        <w:pStyle w:val="NormalHanging12a"/>
        <w:widowControl/>
      </w:pPr>
      <w:r w:rsidRPr="003B2365">
        <w:t>D.</w:t>
      </w:r>
      <w:r w:rsidRPr="003B2365">
        <w:tab/>
        <w:t>ottaa huomioon, että Patryk Jaki valittiin Euroopan parlamenttiin Euroopan parlamentin vaaleissa kesäkuussa 2019 ja oli siten Euroopan parlamentin jäsen väitetyn rikoksen tekohetkellä;</w:t>
      </w:r>
    </w:p>
    <w:p w:rsidR="00693BE6" w:rsidRPr="003B2365" w:rsidP="004F06CB" w14:paraId="4EB4E029" w14:textId="5E09F414">
      <w:pPr>
        <w:pStyle w:val="NormalHanging12a"/>
        <w:widowControl/>
      </w:pPr>
      <w:r w:rsidRPr="003B2365">
        <w:t>E.</w:t>
      </w:r>
      <w:r w:rsidRPr="003B2365">
        <w:tab/>
        <w:t>ottaa huomioon, että väitetty rikos ja sen johdosta esitetty Patryk Jakin koskemattomuuden pidättämistä koskeva pyyntö eivät</w:t>
      </w:r>
      <w:r w:rsidR="00DC1447">
        <w:t xml:space="preserve"> liity</w:t>
      </w:r>
      <w:r w:rsidR="00957740">
        <w:t xml:space="preserve"> </w:t>
      </w:r>
      <w:r w:rsidRPr="003B2365" w:rsidR="00957740">
        <w:t>Euroopan unionin erioikeuksista ja vapauksista tehdyssä pöytäkirjassa N:o 7 olevassa 8 artiklassa</w:t>
      </w:r>
      <w:r w:rsidR="00957740">
        <w:t xml:space="preserve"> tarkoitettuun hänen</w:t>
      </w:r>
      <w:r w:rsidRPr="003B2365">
        <w:t xml:space="preserve"> tehtäviään hoitaessaan ilmaisemaan mielipiteeseen tai äänestykseen;</w:t>
      </w:r>
    </w:p>
    <w:p w:rsidR="00693BE6" w:rsidRPr="003B2365" w:rsidP="004F06CB" w14:paraId="0C0866C1" w14:textId="25339471">
      <w:pPr>
        <w:pStyle w:val="NormalHanging12a"/>
        <w:widowControl/>
      </w:pPr>
      <w:r w:rsidRPr="003B2365">
        <w:t>F.</w:t>
      </w:r>
      <w:r w:rsidRPr="003B2365">
        <w:tab/>
        <w:t xml:space="preserve">ottaa huomioon, että Euroopan unionin erioikeuksista ja vapauksista tehdyssä pöytäkirjassa N:o 7 olevan 9 artiklan ensimmäisen kohdan a alakohdassa määrätään, että Euroopan parlamentin jäsenillä on sen istuntojen ajan oman </w:t>
      </w:r>
      <w:r w:rsidRPr="003B2365" w:rsidR="004F06CB">
        <w:t>jäsen</w:t>
      </w:r>
      <w:r w:rsidRPr="003B2365">
        <w:t>valtionsa alueella sen jäsenvaltion kansanedustajille myönnetty koskemattomuus;</w:t>
      </w:r>
    </w:p>
    <w:p w:rsidR="00693BE6" w:rsidRPr="003B2365" w:rsidP="004F06CB" w14:paraId="395AB622" w14:textId="262F7FB5">
      <w:pPr>
        <w:pStyle w:val="NormalHanging12a"/>
        <w:widowControl/>
      </w:pPr>
      <w:r w:rsidRPr="003B2365">
        <w:t>G.</w:t>
      </w:r>
      <w:r w:rsidRPr="003B2365">
        <w:tab/>
        <w:t xml:space="preserve">ottaa huomioon, että Puolan </w:t>
      </w:r>
      <w:r w:rsidRPr="003B2365" w:rsidR="004F06CB">
        <w:t xml:space="preserve">tasavallan </w:t>
      </w:r>
      <w:r w:rsidRPr="003B2365">
        <w:t>perustuslain 105 pykälän 2 ja 5 momentin mukaan vaalien tulosten julkistamispäivästä parlamentin jäsenen toimikauden päättymispäivään saakka jäsentä ei voida asettaa rikosoikeudelliseen vastuuseen ilman Puolan parlamentin alahuoneen suostumusta eikä häntä voida pidättää tai vangita ilman alahuoneen suostumusta, paitsi silloin, kun jäsen tavataan itse teossa tai kun hänen pidättämisensä on tarpeen asianmukaisen menettelyn varmistamiseksi;</w:t>
      </w:r>
    </w:p>
    <w:p w:rsidR="00693BE6" w:rsidRPr="003B2365" w:rsidP="004F06CB" w14:paraId="6809FCC8" w14:textId="77777777">
      <w:pPr>
        <w:pStyle w:val="NormalHanging12a"/>
        <w:widowControl/>
      </w:pPr>
      <w:r w:rsidRPr="003B2365">
        <w:t>H.</w:t>
      </w:r>
      <w:r w:rsidRPr="003B2365">
        <w:tab/>
        <w:t>ottaa huomioon, että</w:t>
      </w:r>
      <w:bookmarkStart w:id="9" w:name="_Hlk222405989"/>
      <w:r w:rsidRPr="003B2365">
        <w:t xml:space="preserve"> Euroopan unionin erioikeuksista ja vapauksista tehdyssä pöytäkirjassa N:o 7</w:t>
      </w:r>
      <w:bookmarkEnd w:id="9"/>
      <w:r w:rsidRPr="003B2365">
        <w:t xml:space="preserve">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693BE6" w:rsidRPr="003B2365" w:rsidP="004F06CB" w14:paraId="62337AF7" w14:textId="77777777">
      <w:pPr>
        <w:pStyle w:val="NormalHanging12a"/>
        <w:widowControl/>
      </w:pPr>
      <w:r w:rsidRPr="003B2365">
        <w:t>I.</w:t>
      </w:r>
      <w:r w:rsidRPr="003B2365">
        <w:tab/>
        <w:t>ottaa huomioon, että työjärjestyksen 5 artiklan 2 kohdan mukaan parlamentaarinen koskemattomuus ei ole jäsenen henkilökohtainen erioikeus vaan tae koko parlamentin ja sen jäsenten riippumattomuudesta;</w:t>
      </w:r>
    </w:p>
    <w:p w:rsidR="00693BE6" w:rsidRPr="003B2365" w:rsidP="004F06CB" w14:paraId="6C014EAA" w14:textId="6A253063">
      <w:pPr>
        <w:pStyle w:val="NormalHanging12a"/>
        <w:widowControl/>
      </w:pPr>
      <w:r w:rsidRPr="003B2365">
        <w:t>J.</w:t>
      </w:r>
      <w:r w:rsidRPr="003B2365">
        <w:tab/>
        <w:t xml:space="preserve">ottaa huomioon, että tässä tapauksessa parlamentti ei löytänyt todisteita </w:t>
      </w:r>
      <w:r w:rsidRPr="003B2365">
        <w:rPr>
          <w:i/>
          <w:iCs/>
        </w:rPr>
        <w:t>fumus</w:t>
      </w:r>
      <w:r w:rsidRPr="003B2365">
        <w:rPr>
          <w:i/>
          <w:iCs/>
        </w:rPr>
        <w:t xml:space="preserve"> </w:t>
      </w:r>
      <w:r w:rsidRPr="003B2365">
        <w:rPr>
          <w:i/>
          <w:iCs/>
        </w:rPr>
        <w:t>persecutioni</w:t>
      </w:r>
      <w:r w:rsidRPr="003B2365">
        <w:t>s</w:t>
      </w:r>
      <w:r w:rsidRPr="003B2365">
        <w:t xml:space="preserve"> -tilanteesta eli ei vaikuta siltä, että kyseisen oikeusmenettelyn tarkoituksena olisi vahingoittaa </w:t>
      </w:r>
      <w:r w:rsidRPr="003B2365" w:rsidR="004F06CB">
        <w:t xml:space="preserve">Patryk Jakin </w:t>
      </w:r>
      <w:r w:rsidRPr="003B2365">
        <w:t xml:space="preserve">poliittista toimintaa </w:t>
      </w:r>
      <w:r w:rsidRPr="003B2365" w:rsidR="00470A56">
        <w:t xml:space="preserve">Euroopan </w:t>
      </w:r>
      <w:r w:rsidRPr="003B2365" w:rsidR="004F06CB">
        <w:t xml:space="preserve">parlamentin jäsenenä </w:t>
      </w:r>
      <w:r w:rsidRPr="003B2365">
        <w:t>ja siten parlamentin riippumattomuutta;</w:t>
      </w:r>
    </w:p>
    <w:p w:rsidR="00693BE6" w:rsidRPr="003B2365" w:rsidP="004F06CB" w14:paraId="0933B00B" w14:textId="77777777">
      <w:pPr>
        <w:pStyle w:val="NormalHanging12a"/>
        <w:widowControl/>
      </w:pPr>
      <w:r w:rsidRPr="003B2365">
        <w:t>K.</w:t>
      </w:r>
      <w:r w:rsidRPr="003B2365">
        <w:tab/>
        <w:t>ottaa huomioon, että parlamenttia ei voida rinnastaa tuomioistuimeen eikä parlamentin jäsentä voida pitää koskemattomuuden pidättämistä koskevassa menettelyssä ”syytettynä”</w:t>
      </w:r>
      <w:r>
        <w:rPr>
          <w:vertAlign w:val="superscript"/>
        </w:rPr>
        <w:footnoteReference w:id="3"/>
      </w:r>
      <w:r w:rsidRPr="003B2365">
        <w:t>;</w:t>
      </w:r>
    </w:p>
    <w:p w:rsidR="00693BE6" w:rsidRPr="003B2365" w:rsidP="004F06CB" w14:paraId="1EF55936" w14:textId="77777777">
      <w:pPr>
        <w:pStyle w:val="NormalHanging12a"/>
        <w:widowControl/>
      </w:pPr>
      <w:r w:rsidRPr="003B2365">
        <w:t>1.</w:t>
      </w:r>
      <w:r w:rsidRPr="003B2365">
        <w:tab/>
        <w:t>päättää pidättää Patryk Jakin koskemattomuuden;</w:t>
      </w:r>
    </w:p>
    <w:p w:rsidR="00FA3686" w:rsidRPr="003B2365" w:rsidP="004F06CB" w14:paraId="456C1D78" w14:textId="30FEEB94">
      <w:pPr>
        <w:pStyle w:val="NormalHanging12a"/>
        <w:widowControl/>
      </w:pPr>
      <w:r w:rsidRPr="003B2365">
        <w:t>2.</w:t>
      </w:r>
      <w:r w:rsidRPr="003B2365">
        <w:tab/>
        <w:t>kehottaa puhemiestä välittämään tämän päätöksen sekä asiasta vastaavan valiokunnan mietinnön viipymättä Puolan tasavallan toimivaltaiselle viranomaiselle ja Patryk Jakille.</w:t>
      </w:r>
    </w:p>
    <w:sectPr w:rsidSect="00FA36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226AE" w:rsidRPr="00FA3686" w14:paraId="544C4708" w14:textId="77777777">
      <w:r w:rsidRPr="00FA3686">
        <w:separator/>
      </w:r>
    </w:p>
  </w:footnote>
  <w:footnote w:type="continuationSeparator" w:id="1">
    <w:p w:rsidR="002226AE" w:rsidRPr="00FA3686" w14:paraId="010C6D06" w14:textId="77777777">
      <w:r w:rsidRPr="00FA3686">
        <w:continuationSeparator/>
      </w:r>
    </w:p>
  </w:footnote>
  <w:footnote w:id="2">
    <w:p w:rsidR="00693BE6" w:rsidRPr="00FA3686" w:rsidP="004F06CB" w14:paraId="4AB5A4F9" w14:textId="3054DC7F">
      <w:pPr>
        <w:pStyle w:val="FootnoteText"/>
        <w:keepLines w:val="0"/>
        <w:ind w:left="567" w:hanging="567"/>
        <w:rPr>
          <w:sz w:val="24"/>
          <w:lang w:val="fi-FI"/>
        </w:rPr>
      </w:pPr>
      <w:r w:rsidRPr="00FA3686">
        <w:rPr>
          <w:rStyle w:val="FootnoteReference"/>
          <w:sz w:val="24"/>
          <w:lang w:val="fi-FI"/>
        </w:rPr>
        <w:footnoteRef/>
      </w:r>
      <w:r w:rsidRPr="00FA3686" w:rsidR="00FA3686">
        <w:rPr>
          <w:sz w:val="24"/>
          <w:lang w:val="fi-FI"/>
        </w:rPr>
        <w:t xml:space="preserve"> </w:t>
      </w:r>
      <w:r w:rsidRPr="00FA3686" w:rsidR="00FA3686">
        <w:rPr>
          <w:sz w:val="24"/>
          <w:lang w:val="fi-FI"/>
        </w:rPr>
        <w:tab/>
      </w:r>
      <w:r w:rsidRPr="00FA3686">
        <w:rPr>
          <w:sz w:val="24"/>
          <w:lang w:val="fi-FI"/>
        </w:rPr>
        <w:t xml:space="preserve">yhteisöjen tuomioistuimen tuomio 21.10.2008, </w:t>
      </w:r>
      <w:r w:rsidRPr="00FA3686">
        <w:rPr>
          <w:sz w:val="24"/>
          <w:lang w:val="fi-FI"/>
        </w:rPr>
        <w:t>Marra</w:t>
      </w:r>
      <w:r w:rsidRPr="00FA3686">
        <w:rPr>
          <w:sz w:val="24"/>
          <w:lang w:val="fi-FI"/>
        </w:rPr>
        <w:t xml:space="preserve"> v. De </w:t>
      </w:r>
      <w:r w:rsidRPr="00FA3686">
        <w:rPr>
          <w:sz w:val="24"/>
          <w:lang w:val="fi-FI"/>
        </w:rPr>
        <w:t>Gregorio</w:t>
      </w:r>
      <w:r w:rsidRPr="00FA3686">
        <w:rPr>
          <w:sz w:val="24"/>
          <w:lang w:val="fi-FI"/>
        </w:rPr>
        <w:t xml:space="preserve"> ja </w:t>
      </w:r>
      <w:r w:rsidRPr="00FA3686">
        <w:rPr>
          <w:sz w:val="24"/>
          <w:lang w:val="fi-FI"/>
        </w:rPr>
        <w:t>Clemente</w:t>
      </w:r>
      <w:r w:rsidRPr="00FA3686">
        <w:rPr>
          <w:sz w:val="24"/>
          <w:lang w:val="fi-FI"/>
        </w:rPr>
        <w:t xml:space="preserve">, C-200/07 ja C-201/07, ECLI:EU:C:2008:579, unionin yleisen tuomioistuimen tuomio 19.3.2010, </w:t>
      </w:r>
      <w:r w:rsidRPr="00FA3686">
        <w:rPr>
          <w:sz w:val="24"/>
          <w:lang w:val="fi-FI"/>
        </w:rPr>
        <w:t>Gollnisch</w:t>
      </w:r>
      <w:r w:rsidRPr="00FA3686">
        <w:rPr>
          <w:sz w:val="24"/>
          <w:lang w:val="fi-FI"/>
        </w:rPr>
        <w:t xml:space="preserve"> v. parlamentti, T-42/06, ECLI:EU:T:2010:102, unionin tuomioistuimen tuomio 6.9.2011, Patriciello, C-163/10, ECLI: EU:C:2011:543 sekä unionin yleisen tuomioistuimen tuomio 17.1.2013, </w:t>
      </w:r>
      <w:r w:rsidRPr="00FA3686">
        <w:rPr>
          <w:sz w:val="24"/>
          <w:lang w:val="fi-FI"/>
        </w:rPr>
        <w:t>Gollnisch</w:t>
      </w:r>
      <w:r w:rsidRPr="00FA3686">
        <w:rPr>
          <w:sz w:val="24"/>
          <w:lang w:val="fi-FI"/>
        </w:rPr>
        <w:t xml:space="preserve"> v. parlamentti, T-346/11 ja T-347/11, ECLI:EU:T:2013:23. sekä unionin tuomioistuimen tuomio 19.12.2019, </w:t>
      </w:r>
      <w:r w:rsidRPr="00FA3686">
        <w:rPr>
          <w:sz w:val="24"/>
          <w:lang w:val="fi-FI"/>
        </w:rPr>
        <w:t>Junqueras</w:t>
      </w:r>
      <w:r w:rsidRPr="00FA3686">
        <w:rPr>
          <w:sz w:val="24"/>
          <w:lang w:val="fi-FI"/>
        </w:rPr>
        <w:t xml:space="preserve"> Vies, C-502/19, ECLI:EU:C:2019:1115.</w:t>
      </w:r>
    </w:p>
  </w:footnote>
  <w:footnote w:id="3">
    <w:p w:rsidR="00693BE6" w:rsidRPr="00FA3686" w:rsidP="004F06CB" w14:paraId="3586B861" w14:textId="7DFA3772">
      <w:pPr>
        <w:pStyle w:val="FootnoteText"/>
        <w:keepLines w:val="0"/>
        <w:ind w:left="567" w:hanging="567"/>
        <w:rPr>
          <w:sz w:val="24"/>
          <w:lang w:val="fi-FI"/>
        </w:rPr>
      </w:pPr>
      <w:r w:rsidRPr="00FA3686">
        <w:rPr>
          <w:rStyle w:val="FootnoteReference"/>
          <w:sz w:val="24"/>
          <w:lang w:val="fi-FI"/>
        </w:rPr>
        <w:footnoteRef/>
      </w:r>
      <w:r w:rsidRPr="00FA3686" w:rsidR="00FA3686">
        <w:rPr>
          <w:sz w:val="24"/>
          <w:lang w:val="fi-FI"/>
        </w:rPr>
        <w:t xml:space="preserve"> </w:t>
      </w:r>
      <w:r w:rsidRPr="00FA3686" w:rsidR="00FA3686">
        <w:rPr>
          <w:sz w:val="24"/>
          <w:lang w:val="fi-FI"/>
        </w:rPr>
        <w:tab/>
      </w:r>
      <w:r w:rsidRPr="00FA3686">
        <w:rPr>
          <w:sz w:val="24"/>
          <w:lang w:val="fi-FI"/>
        </w:rPr>
        <w:t xml:space="preserve">Unionin yleisen tuomioistuimen tuomio 30.4.2019, </w:t>
      </w:r>
      <w:r w:rsidRPr="00FA3686">
        <w:rPr>
          <w:sz w:val="24"/>
          <w:lang w:val="fi-FI"/>
        </w:rPr>
        <w:t>Briois</w:t>
      </w:r>
      <w:r w:rsidRPr="00FA3686">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3876710">
    <w:abstractNumId w:val="9"/>
  </w:num>
  <w:num w:numId="2" w16cid:durableId="1347976151">
    <w:abstractNumId w:val="9"/>
  </w:num>
  <w:num w:numId="3" w16cid:durableId="1324236625">
    <w:abstractNumId w:val="7"/>
  </w:num>
  <w:num w:numId="4" w16cid:durableId="298728481">
    <w:abstractNumId w:val="7"/>
  </w:num>
  <w:num w:numId="5" w16cid:durableId="222302500">
    <w:abstractNumId w:val="6"/>
  </w:num>
  <w:num w:numId="6" w16cid:durableId="2098863671">
    <w:abstractNumId w:val="6"/>
  </w:num>
  <w:num w:numId="7" w16cid:durableId="2141411838">
    <w:abstractNumId w:val="5"/>
  </w:num>
  <w:num w:numId="8" w16cid:durableId="1945071492">
    <w:abstractNumId w:val="5"/>
  </w:num>
  <w:num w:numId="9" w16cid:durableId="715666559">
    <w:abstractNumId w:val="4"/>
  </w:num>
  <w:num w:numId="10" w16cid:durableId="2115709453">
    <w:abstractNumId w:val="4"/>
  </w:num>
  <w:num w:numId="11" w16cid:durableId="1723216383">
    <w:abstractNumId w:val="8"/>
  </w:num>
  <w:num w:numId="12" w16cid:durableId="270475869">
    <w:abstractNumId w:val="8"/>
  </w:num>
  <w:num w:numId="13" w16cid:durableId="1191144552">
    <w:abstractNumId w:val="3"/>
  </w:num>
  <w:num w:numId="14" w16cid:durableId="2048219794">
    <w:abstractNumId w:val="3"/>
  </w:num>
  <w:num w:numId="15" w16cid:durableId="1167089043">
    <w:abstractNumId w:val="2"/>
  </w:num>
  <w:num w:numId="16" w16cid:durableId="1371342896">
    <w:abstractNumId w:val="2"/>
  </w:num>
  <w:num w:numId="17" w16cid:durableId="115413343">
    <w:abstractNumId w:val="1"/>
  </w:num>
  <w:num w:numId="18" w16cid:durableId="1324964422">
    <w:abstractNumId w:val="1"/>
  </w:num>
  <w:num w:numId="19" w16cid:durableId="2096320207">
    <w:abstractNumId w:val="0"/>
  </w:num>
  <w:num w:numId="20" w16cid:durableId="410154004">
    <w:abstractNumId w:val="0"/>
  </w:num>
  <w:num w:numId="21" w16cid:durableId="1986861076">
    <w:abstractNumId w:val="9"/>
  </w:num>
  <w:num w:numId="22" w16cid:durableId="976951875">
    <w:abstractNumId w:val="7"/>
  </w:num>
  <w:num w:numId="23" w16cid:durableId="1529413633">
    <w:abstractNumId w:val="6"/>
  </w:num>
  <w:num w:numId="24" w16cid:durableId="1925257597">
    <w:abstractNumId w:val="5"/>
  </w:num>
  <w:num w:numId="25" w16cid:durableId="1717775368">
    <w:abstractNumId w:val="4"/>
  </w:num>
  <w:num w:numId="26" w16cid:durableId="261257299">
    <w:abstractNumId w:val="8"/>
  </w:num>
  <w:num w:numId="27" w16cid:durableId="1509712043">
    <w:abstractNumId w:val="3"/>
  </w:num>
  <w:num w:numId="28" w16cid:durableId="1393187870">
    <w:abstractNumId w:val="2"/>
  </w:num>
  <w:num w:numId="29" w16cid:durableId="1594239077">
    <w:abstractNumId w:val="1"/>
  </w:num>
  <w:num w:numId="30" w16cid:durableId="1352024482">
    <w:abstractNumId w:val="0"/>
  </w:num>
  <w:num w:numId="31" w16cid:durableId="361906345">
    <w:abstractNumId w:val="9"/>
  </w:num>
  <w:num w:numId="32" w16cid:durableId="1758819310">
    <w:abstractNumId w:val="7"/>
  </w:num>
  <w:num w:numId="33" w16cid:durableId="1783963345">
    <w:abstractNumId w:val="6"/>
  </w:num>
  <w:num w:numId="34" w16cid:durableId="432475533">
    <w:abstractNumId w:val="5"/>
  </w:num>
  <w:num w:numId="35" w16cid:durableId="488718124">
    <w:abstractNumId w:val="4"/>
  </w:num>
  <w:num w:numId="36" w16cid:durableId="18629225">
    <w:abstractNumId w:val="8"/>
  </w:num>
  <w:num w:numId="37" w16cid:durableId="1354842243">
    <w:abstractNumId w:val="3"/>
  </w:num>
  <w:num w:numId="38" w16cid:durableId="1492333669">
    <w:abstractNumId w:val="2"/>
  </w:num>
  <w:num w:numId="39" w16cid:durableId="791169567">
    <w:abstractNumId w:val="1"/>
  </w:num>
  <w:num w:numId="40" w16cid:durableId="375203590">
    <w:abstractNumId w:val="0"/>
  </w:num>
  <w:num w:numId="41" w16cid:durableId="1181428413">
    <w:abstractNumId w:val="10"/>
  </w:num>
  <w:num w:numId="42" w16cid:durableId="1050572960">
    <w:abstractNumId w:val="10"/>
  </w:num>
  <w:num w:numId="43" w16cid:durableId="1628657380">
    <w:abstractNumId w:val="10"/>
  </w:num>
  <w:num w:numId="44" w16cid:durableId="765804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6AE"/>
    <w:rsid w:val="00002272"/>
    <w:rsid w:val="00026376"/>
    <w:rsid w:val="00064002"/>
    <w:rsid w:val="000677B9"/>
    <w:rsid w:val="000831BA"/>
    <w:rsid w:val="000A42CC"/>
    <w:rsid w:val="000E7DD9"/>
    <w:rsid w:val="0010095E"/>
    <w:rsid w:val="0012555D"/>
    <w:rsid w:val="00125B37"/>
    <w:rsid w:val="00187494"/>
    <w:rsid w:val="00196F3A"/>
    <w:rsid w:val="001E1179"/>
    <w:rsid w:val="001F32AE"/>
    <w:rsid w:val="002226AE"/>
    <w:rsid w:val="00253E23"/>
    <w:rsid w:val="002767FF"/>
    <w:rsid w:val="002B18FE"/>
    <w:rsid w:val="002B5493"/>
    <w:rsid w:val="00343214"/>
    <w:rsid w:val="00361C00"/>
    <w:rsid w:val="00395FA1"/>
    <w:rsid w:val="003B2365"/>
    <w:rsid w:val="003E15D4"/>
    <w:rsid w:val="00401DEA"/>
    <w:rsid w:val="00411CCE"/>
    <w:rsid w:val="0041666E"/>
    <w:rsid w:val="00421060"/>
    <w:rsid w:val="00470A56"/>
    <w:rsid w:val="00471C19"/>
    <w:rsid w:val="004867E3"/>
    <w:rsid w:val="00494A28"/>
    <w:rsid w:val="004C0004"/>
    <w:rsid w:val="004C5D52"/>
    <w:rsid w:val="004F06CB"/>
    <w:rsid w:val="0050519A"/>
    <w:rsid w:val="005072A1"/>
    <w:rsid w:val="00514517"/>
    <w:rsid w:val="0052419B"/>
    <w:rsid w:val="00545827"/>
    <w:rsid w:val="00560270"/>
    <w:rsid w:val="005C2568"/>
    <w:rsid w:val="005F1B17"/>
    <w:rsid w:val="006037C0"/>
    <w:rsid w:val="006631B6"/>
    <w:rsid w:val="00680577"/>
    <w:rsid w:val="00693BE6"/>
    <w:rsid w:val="006B5164"/>
    <w:rsid w:val="006D2683"/>
    <w:rsid w:val="006F74FA"/>
    <w:rsid w:val="00731ADD"/>
    <w:rsid w:val="00734777"/>
    <w:rsid w:val="00747932"/>
    <w:rsid w:val="00751A4A"/>
    <w:rsid w:val="00756632"/>
    <w:rsid w:val="00762C74"/>
    <w:rsid w:val="00786EC0"/>
    <w:rsid w:val="007B7FA5"/>
    <w:rsid w:val="007D1690"/>
    <w:rsid w:val="007E22AD"/>
    <w:rsid w:val="00817416"/>
    <w:rsid w:val="00842779"/>
    <w:rsid w:val="00865F67"/>
    <w:rsid w:val="00881A7B"/>
    <w:rsid w:val="008840E5"/>
    <w:rsid w:val="00887B3E"/>
    <w:rsid w:val="00891F23"/>
    <w:rsid w:val="008C2AC6"/>
    <w:rsid w:val="00930C23"/>
    <w:rsid w:val="0093193B"/>
    <w:rsid w:val="009509D8"/>
    <w:rsid w:val="00950B64"/>
    <w:rsid w:val="00957740"/>
    <w:rsid w:val="00981893"/>
    <w:rsid w:val="009C7CE0"/>
    <w:rsid w:val="009E3D5D"/>
    <w:rsid w:val="00A1687D"/>
    <w:rsid w:val="00A43E52"/>
    <w:rsid w:val="00A4678D"/>
    <w:rsid w:val="00A778C7"/>
    <w:rsid w:val="00AB441E"/>
    <w:rsid w:val="00AB6293"/>
    <w:rsid w:val="00AE0928"/>
    <w:rsid w:val="00AF3B82"/>
    <w:rsid w:val="00B12E95"/>
    <w:rsid w:val="00B22876"/>
    <w:rsid w:val="00B558F0"/>
    <w:rsid w:val="00B62C32"/>
    <w:rsid w:val="00BD48FE"/>
    <w:rsid w:val="00BD7BD8"/>
    <w:rsid w:val="00BE6ADC"/>
    <w:rsid w:val="00C05BFE"/>
    <w:rsid w:val="00C23CD4"/>
    <w:rsid w:val="00C61C0C"/>
    <w:rsid w:val="00C941CB"/>
    <w:rsid w:val="00CC2357"/>
    <w:rsid w:val="00CF071A"/>
    <w:rsid w:val="00D058B8"/>
    <w:rsid w:val="00D40F65"/>
    <w:rsid w:val="00D56C11"/>
    <w:rsid w:val="00D834A0"/>
    <w:rsid w:val="00D872DF"/>
    <w:rsid w:val="00D91E21"/>
    <w:rsid w:val="00DA7FCD"/>
    <w:rsid w:val="00DC1447"/>
    <w:rsid w:val="00E365E1"/>
    <w:rsid w:val="00E7158F"/>
    <w:rsid w:val="00E820A4"/>
    <w:rsid w:val="00EB006A"/>
    <w:rsid w:val="00EB4772"/>
    <w:rsid w:val="00ED169E"/>
    <w:rsid w:val="00ED4235"/>
    <w:rsid w:val="00F04346"/>
    <w:rsid w:val="00F075DC"/>
    <w:rsid w:val="00F149E9"/>
    <w:rsid w:val="00F14CE6"/>
    <w:rsid w:val="00F43FBD"/>
    <w:rsid w:val="00F5134D"/>
    <w:rsid w:val="00F74202"/>
    <w:rsid w:val="00F87713"/>
    <w:rsid w:val="00FA3686"/>
    <w:rsid w:val="00FB4360"/>
    <w:rsid w:val="00FD0C70"/>
  </w:rsids>
  <w:docVars>
    <w:docVar w:name="dvdocse" w:val="A10-0108/2026"/>
    <w:docVar w:name="dvlangue" w:val="FI"/>
    <w:docVar w:name="dvnumam" w:val="0"/>
    <w:docVar w:name="dvpe" w:val="786.688"/>
    <w:docVar w:name="dvrapporteur" w:val="Esittelijä: "/>
    <w:docVar w:name="dvtitre" w:val="Euroopan parlamentin päätös xx. huhtikuuta 2026 Patryk Jakin koskemattomuuden pidättämistä koskevasta pyynnöstä(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325811"/>
  <w15:chartTrackingRefBased/>
  <w15:docId w15:val="{A7186DB1-FD0E-478E-9EAA-B27AD4E22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3BE6"/>
    <w:pPr>
      <w:spacing w:after="240"/>
      <w:ind w:left="567" w:hanging="567"/>
    </w:pPr>
  </w:style>
  <w:style w:type="paragraph" w:customStyle="1" w:styleId="EPComma">
    <w:name w:val="EPComma"/>
    <w:basedOn w:val="Normal"/>
    <w:rsid w:val="00693BE6"/>
    <w:pPr>
      <w:spacing w:before="480" w:after="240"/>
    </w:pPr>
  </w:style>
  <w:style w:type="paragraph" w:styleId="Footer">
    <w:name w:val="footer"/>
    <w:basedOn w:val="Normal"/>
    <w:link w:val="FooterChar"/>
    <w:rsid w:val="004F06CB"/>
    <w:pPr>
      <w:tabs>
        <w:tab w:val="center" w:pos="4513"/>
        <w:tab w:val="right" w:pos="9026"/>
      </w:tabs>
    </w:pPr>
  </w:style>
  <w:style w:type="character" w:customStyle="1" w:styleId="FooterChar">
    <w:name w:val="Footer Char"/>
    <w:basedOn w:val="DefaultParagraphFont"/>
    <w:link w:val="Footer"/>
    <w:rsid w:val="004F06CB"/>
    <w:rPr>
      <w:sz w:val="24"/>
      <w:lang w:val="fi-FI"/>
    </w:rPr>
  </w:style>
  <w:style w:type="paragraph" w:styleId="Revision">
    <w:name w:val="Revision"/>
    <w:hidden/>
    <w:uiPriority w:val="99"/>
    <w:semiHidden/>
    <w:rsid w:val="004F06C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686</Words>
  <Characters>5359</Characters>
  <Application>Microsoft Office Word</Application>
  <DocSecurity>0</DocSecurity>
  <Lines>191</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2026-05-29T09:21:00Z</dcterms:created>
  <dcterms:modified xsi:type="dcterms:W3CDTF">2026-05-29T09:21:00Z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A10-0108/2026</vt:lpwstr>
  </property>
  <property fmtid="{D5CDD505-2E9C-101B-9397-08002B2CF9AE}" pid="4" name="&lt;Type&gt;">
    <vt:lpwstr>RR</vt:lpwstr>
  </property>
</Properties>
</file>