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9A5AE2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06715" w:rsidP="0010095E" w14:paraId="6343E0B4" w14:textId="77777777">
            <w:pPr>
              <w:pStyle w:val="EPName"/>
            </w:pPr>
            <w:r w:rsidRPr="00206715">
              <w:t>Parlamento europeo</w:t>
            </w:r>
          </w:p>
          <w:p w:rsidR="00751A4A" w:rsidRPr="00206715" w:rsidP="005F1B17" w14:paraId="3E10448A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6715">
              <w:t>2024</w:t>
            </w:r>
            <w:r w:rsidRPr="00206715" w:rsidR="00817416">
              <w:t>-202</w:t>
            </w:r>
            <w:r w:rsidRPr="0020671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06715" w:rsidP="0010095E" w14:paraId="11223DB3" w14:textId="77777777">
            <w:pPr>
              <w:pStyle w:val="EPLogo"/>
            </w:pPr>
            <w:r w:rsidRPr="0020671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06715" w:rsidP="004C5D52" w14:paraId="1416FBDE" w14:textId="77777777">
      <w:pPr>
        <w:pStyle w:val="LineTop"/>
      </w:pPr>
    </w:p>
    <w:p w:rsidR="00680577" w:rsidRPr="00206715" w:rsidP="00680577" w14:paraId="50C92420" w14:textId="77777777">
      <w:pPr>
        <w:pStyle w:val="EPBodyTA1"/>
      </w:pPr>
      <w:r w:rsidRPr="00206715">
        <w:t>TESTI APPROVATI</w:t>
      </w:r>
    </w:p>
    <w:p w:rsidR="00D058B8" w:rsidRPr="00206715" w:rsidP="00D058B8" w14:paraId="4F7BCD78" w14:textId="77777777">
      <w:pPr>
        <w:pStyle w:val="LineBottom"/>
      </w:pPr>
    </w:p>
    <w:p w:rsidR="000D6618" w:rsidRPr="00206715" w:rsidP="000D6618" w14:paraId="5B86595F" w14:textId="19B4A681">
      <w:pPr>
        <w:pStyle w:val="ATHeading1"/>
      </w:pPr>
      <w:bookmarkStart w:id="0" w:name="TANumber"/>
      <w:r w:rsidRPr="00206715">
        <w:t>P10_TA(2026)0</w:t>
      </w:r>
      <w:bookmarkEnd w:id="0"/>
      <w:r w:rsidRPr="00206715" w:rsidR="00206715">
        <w:t>105</w:t>
      </w:r>
    </w:p>
    <w:p w:rsidR="000D6618" w:rsidRPr="00206715" w:rsidP="000D6618" w14:paraId="4C1F771D" w14:textId="77777777">
      <w:pPr>
        <w:pStyle w:val="ATHeading2"/>
      </w:pPr>
      <w:bookmarkStart w:id="1" w:name="title"/>
      <w:r w:rsidRPr="00206715">
        <w:t xml:space="preserve">Richiesta di revoca dell'immunità di </w:t>
      </w:r>
      <w:r w:rsidRPr="00206715">
        <w:t>Patryk</w:t>
      </w:r>
      <w:r w:rsidRPr="00206715">
        <w:t xml:space="preserve"> Jaki</w:t>
      </w:r>
      <w:bookmarkEnd w:id="1"/>
    </w:p>
    <w:p w:rsidR="000D6618" w:rsidRPr="00206715" w:rsidP="000D6618" w14:paraId="6E29790F" w14:textId="77777777">
      <w:pPr>
        <w:rPr>
          <w:i/>
          <w:vanish/>
        </w:rPr>
      </w:pPr>
      <w:r>
        <w:rPr>
          <w:i/>
        </w:rPr>
        <w:fldChar w:fldCharType="begin"/>
      </w:r>
      <w:r w:rsidRPr="00206715">
        <w:rPr>
          <w:i/>
        </w:rPr>
        <w:instrText xml:space="preserve"> TC"(</w:instrText>
      </w:r>
      <w:bookmarkStart w:id="2" w:name="DocNumber"/>
      <w:r w:rsidRPr="00206715">
        <w:rPr>
          <w:i/>
        </w:rPr>
        <w:instrText>A10-0108/2026</w:instrText>
      </w:r>
      <w:bookmarkEnd w:id="2"/>
      <w:r w:rsidRPr="00206715">
        <w:rPr>
          <w:i/>
        </w:rPr>
        <w:instrText xml:space="preserve"> - Relatore: </w:instrText>
      </w:r>
      <w:r w:rsidRPr="00206715">
        <w:rPr>
          <w:i/>
        </w:rPr>
        <w:instrText>Adrián</w:instrText>
      </w:r>
      <w:r w:rsidRPr="00206715">
        <w:rPr>
          <w:i/>
        </w:rPr>
        <w:instrText xml:space="preserve"> Vázquez </w:instrText>
      </w:r>
      <w:r w:rsidRPr="00206715">
        <w:rPr>
          <w:i/>
        </w:rPr>
        <w:instrText>Lázara</w:instrText>
      </w:r>
      <w:r w:rsidRPr="0020671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0D6618" w:rsidRPr="00206715" w:rsidP="000D6618" w14:paraId="4816395F" w14:textId="77777777">
      <w:pPr>
        <w:rPr>
          <w:vanish/>
        </w:rPr>
      </w:pPr>
      <w:bookmarkStart w:id="3" w:name="Commission"/>
      <w:r w:rsidRPr="00206715">
        <w:rPr>
          <w:vanish/>
        </w:rPr>
        <w:t>Commissione giuridica</w:t>
      </w:r>
      <w:bookmarkEnd w:id="3"/>
    </w:p>
    <w:p w:rsidR="000D6618" w:rsidRPr="00206715" w:rsidP="000D6618" w14:paraId="17A3D458" w14:textId="77777777">
      <w:pPr>
        <w:rPr>
          <w:vanish/>
        </w:rPr>
      </w:pPr>
      <w:bookmarkStart w:id="4" w:name="PE"/>
      <w:r w:rsidRPr="00206715">
        <w:rPr>
          <w:vanish/>
        </w:rPr>
        <w:t>PE786.688</w:t>
      </w:r>
      <w:bookmarkEnd w:id="4"/>
    </w:p>
    <w:p w:rsidR="000D6618" w:rsidRPr="00206715" w:rsidP="00F5636D" w14:paraId="7DB84B6A" w14:textId="4A5E102B">
      <w:pPr>
        <w:pStyle w:val="ATHeading3"/>
      </w:pPr>
      <w:bookmarkStart w:id="5" w:name="Sujet"/>
      <w:r w:rsidRPr="00206715">
        <w:t xml:space="preserve">Decisione del Parlamento europeo del 28 aprile 2026 sulla richiesta di revoca dell'immunità di </w:t>
      </w:r>
      <w:r w:rsidRPr="00206715">
        <w:t>Patryk</w:t>
      </w:r>
      <w:r w:rsidRPr="00206715">
        <w:t xml:space="preserve"> Jaki</w:t>
      </w:r>
      <w:bookmarkEnd w:id="5"/>
      <w:r w:rsidRPr="00206715">
        <w:t xml:space="preserve"> </w:t>
      </w:r>
      <w:bookmarkStart w:id="6" w:name="References"/>
      <w:r w:rsidRPr="00206715">
        <w:t>(2025/2171(IMM))</w:t>
      </w:r>
      <w:bookmarkEnd w:id="6"/>
    </w:p>
    <w:p w:rsidR="005E0087" w:rsidRPr="00206715" w:rsidP="005E0087" w14:paraId="4779B602" w14:textId="77777777">
      <w:pPr>
        <w:pStyle w:val="EPComma"/>
      </w:pPr>
      <w:bookmarkStart w:id="7" w:name="TextBodyBegin"/>
      <w:bookmarkEnd w:id="7"/>
      <w:r w:rsidRPr="00206715">
        <w:rPr>
          <w:i/>
        </w:rPr>
        <w:t>Il Parlamento europeo</w:t>
      </w:r>
      <w:r w:rsidRPr="00206715">
        <w:t>,</w:t>
      </w:r>
    </w:p>
    <w:p w:rsidR="005E0087" w:rsidRPr="00206715" w:rsidP="005E0087" w14:paraId="23485820" w14:textId="6060A938">
      <w:pPr>
        <w:pStyle w:val="NormalHanging12a"/>
      </w:pPr>
      <w:r w:rsidRPr="00206715">
        <w:t>–</w:t>
      </w:r>
      <w:r w:rsidRPr="00206715">
        <w:tab/>
        <w:t xml:space="preserve">vista la richiesta di revoca dell'immunità di </w:t>
      </w:r>
      <w:r w:rsidRPr="00206715">
        <w:t>Patryk</w:t>
      </w:r>
      <w:r w:rsidRPr="00206715">
        <w:t xml:space="preserve"> Jaki, </w:t>
      </w:r>
      <w:r w:rsidRPr="00206715" w:rsidR="002310A9">
        <w:t xml:space="preserve">presentata </w:t>
      </w:r>
      <w:r w:rsidRPr="00206715">
        <w:t>dal tribunale distrettuale di Varsavia-</w:t>
      </w:r>
      <w:r w:rsidRPr="00206715">
        <w:t>Śródmieście</w:t>
      </w:r>
      <w:r w:rsidRPr="00206715" w:rsidR="00F5636D">
        <w:t xml:space="preserve"> con lettera in data 6 agosto 2025</w:t>
      </w:r>
      <w:r w:rsidRPr="00206715">
        <w:t xml:space="preserve">, </w:t>
      </w:r>
      <w:r w:rsidRPr="00206715" w:rsidR="00F5636D">
        <w:t>nel quadro di</w:t>
      </w:r>
      <w:r w:rsidRPr="00206715">
        <w:t xml:space="preserve"> un procedimento penale avviato nei suoi confronti mediante querela presentata dal rappresentante legale </w:t>
      </w:r>
      <w:r w:rsidRPr="00206715" w:rsidR="00687B31">
        <w:t>del</w:t>
      </w:r>
      <w:r w:rsidRPr="00206715" w:rsidR="00F5636D">
        <w:t xml:space="preserve"> </w:t>
      </w:r>
      <w:r w:rsidRPr="00206715" w:rsidR="002310A9">
        <w:t>querelante</w:t>
      </w:r>
      <w:r w:rsidRPr="00206715">
        <w:t>, e comunicata in Aula l'8 settembre 2025,</w:t>
      </w:r>
    </w:p>
    <w:p w:rsidR="005E0087" w:rsidRPr="00206715" w:rsidP="005E0087" w14:paraId="29697E98" w14:textId="77777777">
      <w:pPr>
        <w:pStyle w:val="NormalHanging12a"/>
      </w:pPr>
      <w:r w:rsidRPr="00206715">
        <w:t>–</w:t>
      </w:r>
      <w:r w:rsidRPr="00206715">
        <w:tab/>
        <w:t xml:space="preserve">avendo ascoltato </w:t>
      </w:r>
      <w:r w:rsidRPr="00206715">
        <w:t>Patryk</w:t>
      </w:r>
      <w:r w:rsidRPr="00206715">
        <w:t xml:space="preserve"> Jaki il 23 marzo 2026 a norma dell'articolo 9, paragrafo 6, del suo regolamento,</w:t>
      </w:r>
    </w:p>
    <w:p w:rsidR="005E0087" w:rsidRPr="00206715" w:rsidP="005E0087" w14:paraId="4F2A652F" w14:textId="77777777">
      <w:pPr>
        <w:pStyle w:val="NormalHanging12a"/>
      </w:pPr>
      <w:r w:rsidRPr="00206715">
        <w:t>–</w:t>
      </w:r>
      <w:r w:rsidRPr="00206715">
        <w:tab/>
        <w:t>visti gli articoli 8 e 9 del protocollo n. 7 sui privilegi e sulle immunità dell'Unione europea e l'articolo 6, paragrafo 2, dell'atto relativo all'elezione dei membri del Parlamento europeo a suffragio universale diretto, del 20 settembre 1976,</w:t>
      </w:r>
    </w:p>
    <w:p w:rsidR="005E0087" w:rsidRPr="00206715" w:rsidP="005E0087" w14:paraId="28789F5B" w14:textId="77777777">
      <w:pPr>
        <w:pStyle w:val="NormalHanging12a"/>
      </w:pPr>
      <w:r w:rsidRPr="00206715">
        <w:t>–</w:t>
      </w:r>
      <w:r w:rsidRPr="00206715">
        <w:tab/>
        <w:t>viste le sentenze pronunciate dalla Corte di giustizia dell'Unione europea il 21 ottobre 2008, 19 marzo 2010, 6 settembre 2011, 17 gennaio 2013 e 19 dicembre 2019</w:t>
      </w:r>
      <w:r>
        <w:rPr>
          <w:vertAlign w:val="superscript"/>
        </w:rPr>
        <w:footnoteReference w:id="2"/>
      </w:r>
      <w:r w:rsidRPr="00206715">
        <w:t>,</w:t>
      </w:r>
    </w:p>
    <w:p w:rsidR="005E0087" w:rsidRPr="00206715" w:rsidP="005E0087" w14:paraId="36863363" w14:textId="77777777">
      <w:pPr>
        <w:pStyle w:val="NormalHanging12a"/>
      </w:pPr>
      <w:r w:rsidRPr="00206715">
        <w:t>–</w:t>
      </w:r>
      <w:r w:rsidRPr="00206715">
        <w:tab/>
        <w:t>visto l'articolo 105, paragrafi 2 e 5, della Costituzione della Repubblica di Polonia,</w:t>
      </w:r>
    </w:p>
    <w:p w:rsidR="005E0087" w:rsidRPr="00206715" w:rsidP="005E0087" w14:paraId="556E21D3" w14:textId="77777777">
      <w:pPr>
        <w:pStyle w:val="NormalHanging12a"/>
      </w:pPr>
      <w:r w:rsidRPr="00206715">
        <w:t>–</w:t>
      </w:r>
      <w:r w:rsidRPr="00206715">
        <w:tab/>
        <w:t>visti l'articolo 5, paragrafo 2, l'articolo 6, paragrafo 1, e l'articolo 9 del suo regolamento,</w:t>
      </w:r>
    </w:p>
    <w:p w:rsidR="005E0087" w:rsidRPr="00206715" w:rsidP="005E0087" w14:paraId="7D1472B7" w14:textId="77777777">
      <w:pPr>
        <w:pStyle w:val="NormalHanging12a"/>
      </w:pPr>
      <w:r w:rsidRPr="00206715">
        <w:t>–</w:t>
      </w:r>
      <w:r w:rsidRPr="00206715">
        <w:tab/>
        <w:t>vista la relazione della commissione giuridica (A10</w:t>
      </w:r>
      <w:r w:rsidRPr="00206715">
        <w:noBreakHyphen/>
        <w:t>0108/2026),</w:t>
      </w:r>
    </w:p>
    <w:p w:rsidR="005E0087" w:rsidRPr="00206715" w:rsidP="005E0087" w14:paraId="1481D93C" w14:textId="56A0B29A">
      <w:pPr>
        <w:pStyle w:val="NormalHanging12a"/>
      </w:pPr>
      <w:r w:rsidRPr="00206715">
        <w:t>A.</w:t>
      </w:r>
      <w:r w:rsidRPr="00206715">
        <w:tab/>
        <w:t xml:space="preserve">considerando che, con lettera </w:t>
      </w:r>
      <w:r w:rsidRPr="00206715" w:rsidR="00DA33B0">
        <w:t xml:space="preserve">in data </w:t>
      </w:r>
      <w:r w:rsidRPr="00206715">
        <w:t>6 agosto 2025, il tribunale distrettuale di Varsavia-</w:t>
      </w:r>
      <w:r w:rsidRPr="00206715">
        <w:t>Śródmieście</w:t>
      </w:r>
      <w:r w:rsidRPr="00206715">
        <w:t xml:space="preserve"> ha presentato una richiesta di revoca dell'immunità di </w:t>
      </w:r>
      <w:r w:rsidRPr="00206715">
        <w:t>Patryk</w:t>
      </w:r>
      <w:r w:rsidRPr="00206715">
        <w:t xml:space="preserve"> Jaki</w:t>
      </w:r>
      <w:bookmarkStart w:id="8" w:name="_Hlk228180840"/>
      <w:r w:rsidRPr="00206715">
        <w:t xml:space="preserve">, </w:t>
      </w:r>
      <w:bookmarkStart w:id="9" w:name="_Hlk222405545"/>
      <w:r w:rsidRPr="00206715">
        <w:t>deputato al Parlamento europeo eletto in Polonia</w:t>
      </w:r>
      <w:bookmarkEnd w:id="9"/>
      <w:r w:rsidRPr="00206715">
        <w:t xml:space="preserve">, </w:t>
      </w:r>
      <w:bookmarkEnd w:id="8"/>
      <w:r w:rsidRPr="00206715" w:rsidR="002310A9">
        <w:t>nel quadro di</w:t>
      </w:r>
      <w:r w:rsidRPr="00206715">
        <w:t xml:space="preserve"> un procedimento penale avviato dinanzi ad esso per un presunto reato </w:t>
      </w:r>
      <w:r w:rsidRPr="00206715" w:rsidR="002310A9">
        <w:t>perseguibile a querela di parte</w:t>
      </w:r>
      <w:r w:rsidRPr="00206715">
        <w:t>;</w:t>
      </w:r>
    </w:p>
    <w:p w:rsidR="005E0087" w:rsidRPr="00206715" w:rsidP="005E0087" w14:paraId="547784EC" w14:textId="08034600">
      <w:pPr>
        <w:pStyle w:val="NormalHanging12a"/>
      </w:pPr>
      <w:r w:rsidRPr="00206715">
        <w:t>B.</w:t>
      </w:r>
      <w:r w:rsidRPr="00206715">
        <w:tab/>
        <w:t xml:space="preserve">considerando che, secondo </w:t>
      </w:r>
      <w:r w:rsidRPr="00206715" w:rsidR="002310A9">
        <w:t>la</w:t>
      </w:r>
      <w:r w:rsidRPr="00206715">
        <w:t xml:space="preserve"> richiesta, nel periodo dal 5 giugno 2024 al 7 giugno 2024, agendo in rapida successione seguendo un piano premeditato e con intento diretto, </w:t>
      </w:r>
      <w:r w:rsidRPr="00206715">
        <w:t>Patryk</w:t>
      </w:r>
      <w:r w:rsidRPr="00206715">
        <w:t xml:space="preserve"> Jaki avrebbe diffamato il </w:t>
      </w:r>
      <w:r w:rsidRPr="00206715" w:rsidR="002310A9">
        <w:t>querelante</w:t>
      </w:r>
      <w:r w:rsidRPr="00206715" w:rsidR="00742FED">
        <w:t>,</w:t>
      </w:r>
      <w:r w:rsidRPr="00206715">
        <w:t xml:space="preserve"> un giudice</w:t>
      </w:r>
      <w:r w:rsidRPr="00206715" w:rsidR="00742FED">
        <w:t>,</w:t>
      </w:r>
      <w:r w:rsidRPr="00206715">
        <w:t xml:space="preserve"> nei </w:t>
      </w:r>
      <w:r w:rsidRPr="00206715" w:rsidR="002310A9">
        <w:t xml:space="preserve">modi </w:t>
      </w:r>
      <w:r w:rsidRPr="00206715">
        <w:t xml:space="preserve">seguenti: i) durante una riunione </w:t>
      </w:r>
      <w:r w:rsidRPr="00206715" w:rsidR="002310A9">
        <w:t xml:space="preserve">di campagna </w:t>
      </w:r>
      <w:r w:rsidRPr="00206715">
        <w:t xml:space="preserve">elettorale a </w:t>
      </w:r>
      <w:r w:rsidRPr="00206715">
        <w:t>Będzin</w:t>
      </w:r>
      <w:r w:rsidRPr="00206715">
        <w:t xml:space="preserve"> il 5 giugno 2024, durante uno scambio con una delle persone presenti, </w:t>
      </w:r>
      <w:r w:rsidRPr="00206715">
        <w:t>Patryk</w:t>
      </w:r>
      <w:r w:rsidRPr="00206715">
        <w:t xml:space="preserve"> Jaki avrebbe rilasciato dichiarazioni sul </w:t>
      </w:r>
      <w:r w:rsidRPr="00206715" w:rsidR="002310A9">
        <w:t>querelante</w:t>
      </w:r>
      <w:r w:rsidRPr="00206715">
        <w:t xml:space="preserve"> accusandolo di aver autorizzato senza esserne consapevole l'uso dello spyware </w:t>
      </w:r>
      <w:r w:rsidRPr="00206715">
        <w:t>Pegasus</w:t>
      </w:r>
      <w:r w:rsidRPr="00206715">
        <w:t xml:space="preserve">; e ii) il 7 giugno 2024, </w:t>
      </w:r>
      <w:r w:rsidRPr="00206715">
        <w:t>Patryk</w:t>
      </w:r>
      <w:r w:rsidRPr="00206715">
        <w:t xml:space="preserve"> Jaki avrebbe poi diffuso su scala nazionale tramite mass media (ossia sulle piattaforme social Instagram, Facebook e X </w:t>
      </w:r>
      <w:r w:rsidRPr="00206715" w:rsidR="002310A9">
        <w:t>(</w:t>
      </w:r>
      <w:r w:rsidRPr="00206715">
        <w:t>Twitter</w:t>
      </w:r>
      <w:r w:rsidRPr="00206715" w:rsidR="002310A9">
        <w:t>)</w:t>
      </w:r>
      <w:r w:rsidRPr="00206715">
        <w:t xml:space="preserve">) la registrazione </w:t>
      </w:r>
      <w:r w:rsidRPr="00206715" w:rsidR="002310A9">
        <w:t xml:space="preserve">di tale </w:t>
      </w:r>
      <w:r w:rsidRPr="00206715">
        <w:t xml:space="preserve">scambio, sostenendo che il </w:t>
      </w:r>
      <w:r w:rsidRPr="00206715" w:rsidR="002310A9">
        <w:t>querelante</w:t>
      </w:r>
      <w:r w:rsidRPr="00206715">
        <w:t xml:space="preserve"> era venuto meno ai suoi doveri di giudice relativi allo svolgimento di non specificate "indagini e verifiche" riguardanti il metodo di sorveglianza operativa nel contesto dell'esame di richieste di ordinanze di sorveglianza operativa, aveva esercitato la professione di giudice in modo improprio e mostrava parzialità in quanto soggetto all'influenza di un partito politico;</w:t>
      </w:r>
    </w:p>
    <w:p w:rsidR="005E0087" w:rsidRPr="00206715" w:rsidP="005E0087" w14:paraId="08333F6F" w14:textId="3CAEBED7">
      <w:pPr>
        <w:pStyle w:val="NormalHanging12a"/>
      </w:pPr>
      <w:r w:rsidRPr="00206715">
        <w:t>C.</w:t>
      </w:r>
      <w:r w:rsidRPr="00206715">
        <w:tab/>
        <w:t xml:space="preserve">considerando che </w:t>
      </w:r>
      <w:r w:rsidRPr="00206715">
        <w:t>Patryk</w:t>
      </w:r>
      <w:r w:rsidRPr="00206715">
        <w:t xml:space="preserve"> Jaki avrebbe pertanto diffamato il </w:t>
      </w:r>
      <w:r w:rsidRPr="00206715" w:rsidR="000E2619">
        <w:t>querelante</w:t>
      </w:r>
      <w:r w:rsidRPr="00206715">
        <w:t xml:space="preserve"> con l'intento diretto di umiliarlo </w:t>
      </w:r>
      <w:r w:rsidRPr="00206715" w:rsidR="00742FED">
        <w:t>di fronte</w:t>
      </w:r>
      <w:r w:rsidRPr="00206715">
        <w:t xml:space="preserve"> </w:t>
      </w:r>
      <w:r w:rsidRPr="00206715" w:rsidR="00742FED">
        <w:t>a</w:t>
      </w:r>
      <w:r w:rsidRPr="00206715">
        <w:t>ll'opinione pubblica e di danneggiar</w:t>
      </w:r>
      <w:r w:rsidRPr="00206715" w:rsidR="00742FED">
        <w:t>n</w:t>
      </w:r>
      <w:r w:rsidRPr="00206715">
        <w:t xml:space="preserve">e la reputazione, nonché di fargli perdere la fiducia necessaria per l'esercizio delle sue funzioni di giudice; che le azioni presunte potrebbero costituire reato ai sensi dell'articolo 212, paragrafo 1, in combinato disposto con l'articolo 212, paragrafo 2, e l'articolo 12, paragrafo 1, del </w:t>
      </w:r>
      <w:r w:rsidRPr="00206715">
        <w:t>codice penale</w:t>
      </w:r>
      <w:r w:rsidRPr="00206715">
        <w:t xml:space="preserve"> polacco;</w:t>
      </w:r>
    </w:p>
    <w:p w:rsidR="005E0087" w:rsidRPr="00206715" w:rsidP="005E0087" w14:paraId="311535CE" w14:textId="1ECC4832">
      <w:pPr>
        <w:pStyle w:val="NormalHanging12a"/>
      </w:pPr>
      <w:r w:rsidRPr="00206715">
        <w:t>D.</w:t>
      </w:r>
      <w:r w:rsidRPr="00206715">
        <w:tab/>
        <w:t xml:space="preserve">considerando che </w:t>
      </w:r>
      <w:r w:rsidRPr="00206715">
        <w:t>Patryk</w:t>
      </w:r>
      <w:r w:rsidRPr="00206715">
        <w:t xml:space="preserve"> Jaki è stato eletto al Parlamento europeo alle elezioni europee del </w:t>
      </w:r>
      <w:r w:rsidRPr="00206715" w:rsidR="000E2619">
        <w:t xml:space="preserve">giugno </w:t>
      </w:r>
      <w:r w:rsidRPr="00206715">
        <w:t xml:space="preserve">2019 </w:t>
      </w:r>
      <w:r w:rsidRPr="00206715" w:rsidR="000E2619">
        <w:t>e che</w:t>
      </w:r>
      <w:r w:rsidRPr="00206715" w:rsidR="00DA33B0">
        <w:t>,</w:t>
      </w:r>
      <w:r w:rsidRPr="00206715">
        <w:t xml:space="preserve"> </w:t>
      </w:r>
      <w:r w:rsidRPr="00206715" w:rsidR="000E2619">
        <w:t>pertanto</w:t>
      </w:r>
      <w:r w:rsidRPr="00206715">
        <w:t xml:space="preserve">, </w:t>
      </w:r>
      <w:r w:rsidRPr="00206715" w:rsidR="000E2619">
        <w:t xml:space="preserve">era deputato al Parlamento europeo </w:t>
      </w:r>
      <w:r w:rsidRPr="00206715">
        <w:t>all'epoca del presunto reato;</w:t>
      </w:r>
    </w:p>
    <w:p w:rsidR="005E0087" w:rsidRPr="00206715" w:rsidP="005E0087" w14:paraId="15BDE752" w14:textId="2AC61DCD">
      <w:pPr>
        <w:pStyle w:val="NormalHanging12a"/>
      </w:pPr>
      <w:r w:rsidRPr="00206715">
        <w:t>E.</w:t>
      </w:r>
      <w:r w:rsidRPr="00206715">
        <w:tab/>
        <w:t xml:space="preserve">considerando che il presunto reato e la successiva richiesta di revoca dell'immunità non si riferiscono a opinioni o a voti espressi da </w:t>
      </w:r>
      <w:r w:rsidRPr="00206715">
        <w:t>Patryk</w:t>
      </w:r>
      <w:r w:rsidRPr="00206715">
        <w:t xml:space="preserve"> Jaki nell'esercizio delle sue funzioni ai sensi dell'articolo 8 del protocollo n. 7 sui privilegi e sulle immunità dell'Unione europea;</w:t>
      </w:r>
    </w:p>
    <w:p w:rsidR="005E0087" w:rsidRPr="00206715" w:rsidP="005E0087" w14:paraId="315FF335" w14:textId="48402407">
      <w:pPr>
        <w:pStyle w:val="NormalHanging12a"/>
      </w:pPr>
      <w:r w:rsidRPr="00206715">
        <w:t>F.</w:t>
      </w:r>
      <w:r w:rsidRPr="00206715">
        <w:tab/>
        <w:t>considerando che l'articolo 9, primo comma, lettera a), del protocollo n. 7 sui privilegi e sulle immunità dell'Unione europea stabilisce che</w:t>
      </w:r>
      <w:bookmarkStart w:id="10" w:name="_Hlk228181261"/>
      <w:r w:rsidRPr="00206715" w:rsidR="000E2619">
        <w:rPr>
          <w:color w:val="000000"/>
        </w:rPr>
        <w:t>, per la durata delle sessioni del Parlamento europeo,</w:t>
      </w:r>
      <w:r w:rsidRPr="00206715">
        <w:t xml:space="preserve"> </w:t>
      </w:r>
      <w:bookmarkEnd w:id="10"/>
      <w:r w:rsidRPr="00206715">
        <w:t xml:space="preserve">i membri </w:t>
      </w:r>
      <w:r w:rsidRPr="00206715" w:rsidR="000E2619">
        <w:t>di esso</w:t>
      </w:r>
      <w:r w:rsidRPr="00206715">
        <w:t xml:space="preserve"> beneficiano, sul territorio nazionale, delle immunità riconosciute ai membri del parlamento del loro </w:t>
      </w:r>
      <w:r w:rsidRPr="00206715" w:rsidR="000E2619">
        <w:t>Stato membro</w:t>
      </w:r>
      <w:r w:rsidRPr="00206715">
        <w:t>;</w:t>
      </w:r>
    </w:p>
    <w:p w:rsidR="005E0087" w:rsidRPr="00206715" w:rsidP="005E0087" w14:paraId="4901F77E" w14:textId="6FD1F80E">
      <w:pPr>
        <w:pStyle w:val="NormalHanging12a"/>
      </w:pPr>
      <w:r w:rsidRPr="00206715">
        <w:t>G.</w:t>
      </w:r>
      <w:r w:rsidRPr="00206715">
        <w:tab/>
        <w:t xml:space="preserve">considerando che, a norma dell'articolo 105, paragrafi 2 e 5, della Costituzione </w:t>
      </w:r>
      <w:r w:rsidRPr="00206715" w:rsidR="000E2619">
        <w:t>della Repubblica di Polonia</w:t>
      </w:r>
      <w:r w:rsidRPr="00206715">
        <w:t xml:space="preserve">, dal giorno in cui sono annunciati i risultati elettorali fino al giorno in cui termina il suo mandato, un deputato non può essere chiamato a rispondere penalmente senza l'autorizzazione del </w:t>
      </w:r>
      <w:r w:rsidRPr="00206715">
        <w:rPr>
          <w:i/>
          <w:iCs/>
        </w:rPr>
        <w:t>Sejm</w:t>
      </w:r>
      <w:r w:rsidRPr="00206715">
        <w:t xml:space="preserve"> e non può essere detenuto o arrestato senza l'autorizzazione del </w:t>
      </w:r>
      <w:r w:rsidRPr="00206715">
        <w:rPr>
          <w:i/>
          <w:iCs/>
        </w:rPr>
        <w:t>Sejm</w:t>
      </w:r>
      <w:r w:rsidRPr="00206715">
        <w:t>, tranne nei casi in cui il deputato sia fermato in flagranza di reato o in cui la sua detenzione sia necessaria per garantire l'adeguato svolgimento del procedimento;</w:t>
      </w:r>
    </w:p>
    <w:p w:rsidR="005E0087" w:rsidRPr="00206715" w:rsidP="005E0087" w14:paraId="6B80824D" w14:textId="77777777">
      <w:pPr>
        <w:pStyle w:val="NormalHanging12a"/>
      </w:pPr>
      <w:r w:rsidRPr="00206715">
        <w:t>H.</w:t>
      </w:r>
      <w:r w:rsidRPr="00206715">
        <w:tab/>
        <w:t xml:space="preserve">considerando che l'immunità </w:t>
      </w:r>
      <w:bookmarkStart w:id="11" w:name="_Hlk222405989"/>
      <w:bookmarkStart w:id="12" w:name="_Hlk228181417"/>
      <w:r w:rsidRPr="00206715">
        <w:t>prevista dal protocollo n. 7 sui privilegi e sulle immunità dell'Unione europea</w:t>
      </w:r>
      <w:bookmarkEnd w:id="11"/>
      <w:r w:rsidRPr="00206715">
        <w:t xml:space="preserve"> </w:t>
      </w:r>
      <w:bookmarkEnd w:id="12"/>
      <w:r w:rsidRPr="00206715">
        <w:t xml:space="preserve">è intesa a proteggere il Parlamento e i deputati che lo compongono da procedimenti giudiziari relativi ad attività svolte nell'esercizio del mandato </w:t>
      </w:r>
      <w:r w:rsidRPr="00206715">
        <w:t>parlamentare e che non possono essere disgiunte da esso;</w:t>
      </w:r>
    </w:p>
    <w:p w:rsidR="005E0087" w:rsidRPr="00206715" w:rsidP="005E0087" w14:paraId="3C13A288" w14:textId="65262FDD">
      <w:pPr>
        <w:pStyle w:val="NormalHanging12a"/>
      </w:pPr>
      <w:r w:rsidRPr="00206715">
        <w:t>I.</w:t>
      </w:r>
      <w:r w:rsidRPr="00206715">
        <w:tab/>
        <w:t>considerando che, conformemente all'articolo 5, paragrafo 2, del suo regolamento, l'immunità parlamentare non è un privilegio personale del deputato ma una garanzia di indipendenza del Parlamento in quanto istituzione e dei suoi membri;</w:t>
      </w:r>
    </w:p>
    <w:p w:rsidR="005E0087" w:rsidRPr="00206715" w:rsidP="005E0087" w14:paraId="584F1E3C" w14:textId="73CAFF4C">
      <w:pPr>
        <w:pStyle w:val="NormalHanging12a"/>
      </w:pPr>
      <w:r w:rsidRPr="00206715">
        <w:t>J.</w:t>
      </w:r>
      <w:r w:rsidRPr="00206715">
        <w:tab/>
        <w:t xml:space="preserve">considerando che, nella fattispecie, il Parlamento non ha riscontrato prova di </w:t>
      </w:r>
      <w:r w:rsidRPr="00206715">
        <w:rPr>
          <w:i/>
          <w:iCs/>
        </w:rPr>
        <w:t xml:space="preserve">fumus </w:t>
      </w:r>
      <w:r w:rsidRPr="00206715">
        <w:rPr>
          <w:i/>
          <w:iCs/>
        </w:rPr>
        <w:t>persecutionis</w:t>
      </w:r>
      <w:r w:rsidRPr="00206715">
        <w:t xml:space="preserve">, ossia non </w:t>
      </w:r>
      <w:r w:rsidRPr="00206715" w:rsidR="000E2619">
        <w:t xml:space="preserve">si evince </w:t>
      </w:r>
      <w:r w:rsidRPr="00206715">
        <w:t xml:space="preserve">che l'intento </w:t>
      </w:r>
      <w:r w:rsidRPr="00206715" w:rsidR="000E2619">
        <w:t>alla base de</w:t>
      </w:r>
      <w:r w:rsidRPr="00206715">
        <w:t xml:space="preserve">l procedimento giudiziario in questione sia quello di recare pregiudizio all'attività politica </w:t>
      </w:r>
      <w:r w:rsidRPr="00206715" w:rsidR="000E2619">
        <w:t xml:space="preserve">di </w:t>
      </w:r>
      <w:r w:rsidRPr="00206715" w:rsidR="000E2619">
        <w:t>Patryk</w:t>
      </w:r>
      <w:r w:rsidRPr="00206715" w:rsidR="000E2619">
        <w:t xml:space="preserve"> Jaki in quanto membro del Parlamento europeo</w:t>
      </w:r>
      <w:r w:rsidRPr="00206715">
        <w:t xml:space="preserve"> </w:t>
      </w:r>
      <w:bookmarkStart w:id="13" w:name="_Hlk228180097"/>
      <w:r w:rsidRPr="00206715">
        <w:t xml:space="preserve">e </w:t>
      </w:r>
      <w:r w:rsidRPr="00206715" w:rsidR="00717024">
        <w:t xml:space="preserve">di conseguenza </w:t>
      </w:r>
      <w:r w:rsidRPr="00206715">
        <w:t>all'indipendenza del Parlamento</w:t>
      </w:r>
      <w:bookmarkEnd w:id="13"/>
      <w:r w:rsidRPr="00206715">
        <w:t>;</w:t>
      </w:r>
    </w:p>
    <w:p w:rsidR="005E0087" w:rsidRPr="00206715" w:rsidP="005E0087" w14:paraId="6E47D409" w14:textId="75DD75A5">
      <w:pPr>
        <w:pStyle w:val="NormalHanging12a"/>
      </w:pPr>
      <w:r w:rsidRPr="00206715">
        <w:t>K.</w:t>
      </w:r>
      <w:r w:rsidRPr="00206715">
        <w:tab/>
        <w:t xml:space="preserve">considerando, da un lato, </w:t>
      </w:r>
      <w:r w:rsidRPr="00206715" w:rsidR="00717024">
        <w:t xml:space="preserve">che </w:t>
      </w:r>
      <w:r w:rsidRPr="00206715">
        <w:t xml:space="preserve">il Parlamento non dovrebbe essere assimilato a un tribunale e, dall'altro lato, </w:t>
      </w:r>
      <w:r w:rsidRPr="00206715" w:rsidR="00717024">
        <w:t xml:space="preserve">che </w:t>
      </w:r>
      <w:r w:rsidRPr="00206715">
        <w:t>il deputato non dovrebbe, nel contesto di una procedura di revoca dell'immunità, essere considerato un "accusato"</w:t>
      </w:r>
      <w:r>
        <w:rPr>
          <w:vertAlign w:val="superscript"/>
        </w:rPr>
        <w:footnoteReference w:id="3"/>
      </w:r>
      <w:r w:rsidRPr="00206715">
        <w:t>;</w:t>
      </w:r>
    </w:p>
    <w:p w:rsidR="005E0087" w:rsidRPr="00206715" w:rsidP="005E0087" w14:paraId="549E6138" w14:textId="77777777">
      <w:pPr>
        <w:pStyle w:val="NormalHanging12a"/>
      </w:pPr>
      <w:r w:rsidRPr="00206715">
        <w:t>1.</w:t>
      </w:r>
      <w:r w:rsidRPr="00206715">
        <w:tab/>
        <w:t xml:space="preserve">decide di revocare l'immunità di </w:t>
      </w:r>
      <w:r w:rsidRPr="00206715">
        <w:t>Patryk</w:t>
      </w:r>
      <w:r w:rsidRPr="00206715">
        <w:t xml:space="preserve"> Jaki;</w:t>
      </w:r>
    </w:p>
    <w:p w:rsidR="00DE2555" w:rsidRPr="00206715" w:rsidP="00DE2555" w14:paraId="5B04763C" w14:textId="6C9542E2">
      <w:pPr>
        <w:pStyle w:val="NormalHanging12a"/>
      </w:pPr>
      <w:r w:rsidRPr="00206715">
        <w:t>2.</w:t>
      </w:r>
      <w:r w:rsidRPr="00206715">
        <w:tab/>
        <w:t xml:space="preserve">incarica la sua Presidente di trasmettere immediatamente la presente decisione e la relazione della sua commissione competente all'autorità competente della Repubblica di Polonia e a </w:t>
      </w:r>
      <w:r w:rsidRPr="00206715">
        <w:t>Patryk</w:t>
      </w:r>
      <w:r w:rsidRPr="00206715">
        <w:t xml:space="preserve"> Jaki.</w:t>
      </w:r>
    </w:p>
    <w:p w:rsidR="00E365E1" w:rsidRPr="00206715" w:rsidP="000D6618" w14:paraId="77839487" w14:textId="64927440"/>
    <w:sectPr w:rsidSect="00DE25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E2555" w14:paraId="2F14EE1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E2555" w14:paraId="63D5467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E2555" w14:paraId="75A7FE4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D6618" w:rsidRPr="00DE2555" w14:paraId="03242800" w14:textId="77777777">
      <w:r w:rsidRPr="00DE2555">
        <w:separator/>
      </w:r>
    </w:p>
  </w:footnote>
  <w:footnote w:type="continuationSeparator" w:id="1">
    <w:p w:rsidR="000D6618" w:rsidRPr="00DE2555" w14:paraId="501481B2" w14:textId="77777777">
      <w:r w:rsidRPr="00DE2555">
        <w:continuationSeparator/>
      </w:r>
    </w:p>
  </w:footnote>
  <w:footnote w:id="2">
    <w:p w:rsidR="005E0087" w:rsidRPr="00DE2555" w:rsidP="00F5636D" w14:paraId="6C7542B7" w14:textId="63FE6AB5">
      <w:pPr>
        <w:pStyle w:val="FootnoteText"/>
        <w:ind w:left="567" w:hanging="567"/>
        <w:rPr>
          <w:sz w:val="24"/>
          <w:lang w:val="it-IT"/>
        </w:rPr>
      </w:pPr>
      <w:r w:rsidRPr="00DE2555">
        <w:rPr>
          <w:rStyle w:val="FootnoteReference"/>
          <w:sz w:val="24"/>
          <w:lang w:val="it-IT"/>
        </w:rPr>
        <w:footnoteRef/>
      </w:r>
      <w:r w:rsidRPr="00DE2555" w:rsidR="00DE2555">
        <w:rPr>
          <w:sz w:val="24"/>
          <w:lang w:val="it-IT"/>
        </w:rPr>
        <w:t xml:space="preserve"> </w:t>
      </w:r>
      <w:r w:rsidRPr="00DE2555" w:rsidR="00DE2555">
        <w:rPr>
          <w:sz w:val="24"/>
          <w:lang w:val="it-IT"/>
        </w:rPr>
        <w:tab/>
      </w:r>
      <w:r w:rsidRPr="00DE2555">
        <w:rPr>
          <w:sz w:val="24"/>
          <w:lang w:val="it-IT"/>
        </w:rPr>
        <w:t xml:space="preserve">Sentenza della Corte di giustizia del 21 ottobre 2008, </w:t>
      </w:r>
      <w:r w:rsidRPr="00DE2555">
        <w:rPr>
          <w:i/>
          <w:iCs/>
          <w:sz w:val="24"/>
          <w:lang w:val="it-IT"/>
        </w:rPr>
        <w:t>Marra/De Gregorio e Clemente</w:t>
      </w:r>
      <w:r w:rsidRPr="00DE2555">
        <w:rPr>
          <w:sz w:val="24"/>
          <w:lang w:val="it-IT"/>
        </w:rPr>
        <w:t xml:space="preserve">, C-200/07 e C-201/07, ECLI:EU:C:2008:579; sentenza del Tribunale del 19 marzo 2010, </w:t>
      </w:r>
      <w:r w:rsidRPr="00DE2555">
        <w:rPr>
          <w:i/>
          <w:iCs/>
          <w:sz w:val="24"/>
          <w:lang w:val="it-IT"/>
        </w:rPr>
        <w:t>Gollnisch</w:t>
      </w:r>
      <w:r w:rsidRPr="00DE2555">
        <w:rPr>
          <w:i/>
          <w:iCs/>
          <w:sz w:val="24"/>
          <w:lang w:val="it-IT"/>
        </w:rPr>
        <w:t>/Parlamento</w:t>
      </w:r>
      <w:r w:rsidRPr="00DE2555">
        <w:rPr>
          <w:sz w:val="24"/>
          <w:lang w:val="it-IT"/>
        </w:rPr>
        <w:t xml:space="preserve">, T-42/06, ECLI:EU:T:2010:102; sentenza della Corte di giustizia del 6 settembre 2011, </w:t>
      </w:r>
      <w:r w:rsidRPr="00DE2555">
        <w:rPr>
          <w:i/>
          <w:sz w:val="24"/>
          <w:lang w:val="it-IT"/>
        </w:rPr>
        <w:t>Patriciello</w:t>
      </w:r>
      <w:r w:rsidRPr="00DE2555">
        <w:rPr>
          <w:sz w:val="24"/>
          <w:lang w:val="it-IT"/>
        </w:rPr>
        <w:t xml:space="preserve">, C-163/10, ECLI: EU:C:2011:543; sentenza del Tribunale del 17 gennaio 2013, </w:t>
      </w:r>
      <w:r w:rsidRPr="00DE2555">
        <w:rPr>
          <w:i/>
          <w:iCs/>
          <w:sz w:val="24"/>
          <w:lang w:val="it-IT"/>
        </w:rPr>
        <w:t>Gollnisch</w:t>
      </w:r>
      <w:r w:rsidRPr="00DE2555">
        <w:rPr>
          <w:i/>
          <w:iCs/>
          <w:sz w:val="24"/>
          <w:lang w:val="it-IT"/>
        </w:rPr>
        <w:t>/Parlamento</w:t>
      </w:r>
      <w:r w:rsidRPr="00DE2555">
        <w:rPr>
          <w:sz w:val="24"/>
          <w:lang w:val="it-IT"/>
        </w:rPr>
        <w:t xml:space="preserve">, T-346/11 e T-347/11, ECLI:EU:T:2013:23; sentenza della Corte di giustizia del 19 dicembre 2019, </w:t>
      </w:r>
      <w:r w:rsidRPr="00DE2555">
        <w:rPr>
          <w:i/>
          <w:iCs/>
          <w:sz w:val="24"/>
          <w:lang w:val="it-IT"/>
        </w:rPr>
        <w:t>Junqueras</w:t>
      </w:r>
      <w:r w:rsidRPr="00DE2555">
        <w:rPr>
          <w:i/>
          <w:iCs/>
          <w:sz w:val="24"/>
          <w:lang w:val="it-IT"/>
        </w:rPr>
        <w:t xml:space="preserve"> </w:t>
      </w:r>
      <w:r w:rsidRPr="00DE2555">
        <w:rPr>
          <w:i/>
          <w:iCs/>
          <w:sz w:val="24"/>
          <w:lang w:val="it-IT"/>
        </w:rPr>
        <w:t>Vies</w:t>
      </w:r>
      <w:r w:rsidRPr="00DE2555">
        <w:rPr>
          <w:sz w:val="24"/>
          <w:lang w:val="it-IT"/>
        </w:rPr>
        <w:t>, C-502/19, ECLI:EU:C:2019:1115.</w:t>
      </w:r>
    </w:p>
  </w:footnote>
  <w:footnote w:id="3">
    <w:p w:rsidR="005E0087" w:rsidRPr="00DE2555" w:rsidP="00DE2555" w14:paraId="698D5226" w14:textId="6B6B0CA6">
      <w:pPr>
        <w:pStyle w:val="FootnoteText"/>
        <w:ind w:left="567" w:hanging="567"/>
        <w:rPr>
          <w:sz w:val="24"/>
          <w:lang w:val="it-IT"/>
        </w:rPr>
      </w:pPr>
      <w:r w:rsidRPr="00DE2555">
        <w:rPr>
          <w:rStyle w:val="FootnoteReference"/>
          <w:sz w:val="24"/>
          <w:lang w:val="it-IT"/>
        </w:rPr>
        <w:footnoteRef/>
      </w:r>
      <w:r w:rsidRPr="00DE2555" w:rsidR="00DE2555">
        <w:rPr>
          <w:sz w:val="24"/>
          <w:lang w:val="it-IT"/>
        </w:rPr>
        <w:t xml:space="preserve"> </w:t>
      </w:r>
      <w:r w:rsidRPr="00DE2555" w:rsidR="00DE2555">
        <w:rPr>
          <w:sz w:val="24"/>
          <w:lang w:val="it-IT"/>
        </w:rPr>
        <w:tab/>
      </w:r>
      <w:r w:rsidRPr="00DE2555">
        <w:rPr>
          <w:sz w:val="24"/>
          <w:lang w:val="it-IT"/>
        </w:rPr>
        <w:t xml:space="preserve">Sentenza del Tribunale del 30 aprile 2019, </w:t>
      </w:r>
      <w:r w:rsidRPr="00DE2555">
        <w:rPr>
          <w:i/>
          <w:iCs/>
          <w:sz w:val="24"/>
          <w:lang w:val="it-IT"/>
        </w:rPr>
        <w:t>Briois</w:t>
      </w:r>
      <w:r w:rsidRPr="00DE2555">
        <w:rPr>
          <w:i/>
          <w:iCs/>
          <w:sz w:val="24"/>
          <w:lang w:val="it-IT"/>
        </w:rPr>
        <w:t>/Parlamento</w:t>
      </w:r>
      <w:r w:rsidRPr="00DE2555">
        <w:rPr>
          <w:sz w:val="24"/>
          <w:lang w:val="it-I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E2555" w14:paraId="79CAEC6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E2555" w14:paraId="083B9FE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E2555" w14:paraId="70F2649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16304463">
    <w:abstractNumId w:val="9"/>
  </w:num>
  <w:num w:numId="2" w16cid:durableId="1916233227">
    <w:abstractNumId w:val="9"/>
  </w:num>
  <w:num w:numId="3" w16cid:durableId="1547913237">
    <w:abstractNumId w:val="7"/>
  </w:num>
  <w:num w:numId="4" w16cid:durableId="952828250">
    <w:abstractNumId w:val="7"/>
  </w:num>
  <w:num w:numId="5" w16cid:durableId="325982636">
    <w:abstractNumId w:val="6"/>
  </w:num>
  <w:num w:numId="6" w16cid:durableId="2042319371">
    <w:abstractNumId w:val="6"/>
  </w:num>
  <w:num w:numId="7" w16cid:durableId="1270966663">
    <w:abstractNumId w:val="5"/>
  </w:num>
  <w:num w:numId="8" w16cid:durableId="392310865">
    <w:abstractNumId w:val="5"/>
  </w:num>
  <w:num w:numId="9" w16cid:durableId="1188986295">
    <w:abstractNumId w:val="4"/>
  </w:num>
  <w:num w:numId="10" w16cid:durableId="1140029154">
    <w:abstractNumId w:val="4"/>
  </w:num>
  <w:num w:numId="11" w16cid:durableId="494805203">
    <w:abstractNumId w:val="8"/>
  </w:num>
  <w:num w:numId="12" w16cid:durableId="1133135573">
    <w:abstractNumId w:val="8"/>
  </w:num>
  <w:num w:numId="13" w16cid:durableId="341975691">
    <w:abstractNumId w:val="3"/>
  </w:num>
  <w:num w:numId="14" w16cid:durableId="1735741066">
    <w:abstractNumId w:val="3"/>
  </w:num>
  <w:num w:numId="15" w16cid:durableId="1590918570">
    <w:abstractNumId w:val="2"/>
  </w:num>
  <w:num w:numId="16" w16cid:durableId="1103038187">
    <w:abstractNumId w:val="2"/>
  </w:num>
  <w:num w:numId="17" w16cid:durableId="1297956446">
    <w:abstractNumId w:val="1"/>
  </w:num>
  <w:num w:numId="18" w16cid:durableId="1155682177">
    <w:abstractNumId w:val="1"/>
  </w:num>
  <w:num w:numId="19" w16cid:durableId="1775054039">
    <w:abstractNumId w:val="0"/>
  </w:num>
  <w:num w:numId="20" w16cid:durableId="2020303050">
    <w:abstractNumId w:val="0"/>
  </w:num>
  <w:num w:numId="21" w16cid:durableId="1705908102">
    <w:abstractNumId w:val="9"/>
  </w:num>
  <w:num w:numId="22" w16cid:durableId="979458437">
    <w:abstractNumId w:val="7"/>
  </w:num>
  <w:num w:numId="23" w16cid:durableId="745080170">
    <w:abstractNumId w:val="6"/>
  </w:num>
  <w:num w:numId="24" w16cid:durableId="1381589552">
    <w:abstractNumId w:val="5"/>
  </w:num>
  <w:num w:numId="25" w16cid:durableId="304551767">
    <w:abstractNumId w:val="4"/>
  </w:num>
  <w:num w:numId="26" w16cid:durableId="1669090478">
    <w:abstractNumId w:val="8"/>
  </w:num>
  <w:num w:numId="27" w16cid:durableId="1804617629">
    <w:abstractNumId w:val="3"/>
  </w:num>
  <w:num w:numId="28" w16cid:durableId="1839465056">
    <w:abstractNumId w:val="2"/>
  </w:num>
  <w:num w:numId="29" w16cid:durableId="986907167">
    <w:abstractNumId w:val="1"/>
  </w:num>
  <w:num w:numId="30" w16cid:durableId="664475787">
    <w:abstractNumId w:val="0"/>
  </w:num>
  <w:num w:numId="31" w16cid:durableId="1460076630">
    <w:abstractNumId w:val="9"/>
  </w:num>
  <w:num w:numId="32" w16cid:durableId="1282612953">
    <w:abstractNumId w:val="7"/>
  </w:num>
  <w:num w:numId="33" w16cid:durableId="1495412043">
    <w:abstractNumId w:val="6"/>
  </w:num>
  <w:num w:numId="34" w16cid:durableId="1127429700">
    <w:abstractNumId w:val="5"/>
  </w:num>
  <w:num w:numId="35" w16cid:durableId="326907847">
    <w:abstractNumId w:val="4"/>
  </w:num>
  <w:num w:numId="36" w16cid:durableId="1586110903">
    <w:abstractNumId w:val="8"/>
  </w:num>
  <w:num w:numId="37" w16cid:durableId="1145242482">
    <w:abstractNumId w:val="3"/>
  </w:num>
  <w:num w:numId="38" w16cid:durableId="650645647">
    <w:abstractNumId w:val="2"/>
  </w:num>
  <w:num w:numId="39" w16cid:durableId="1769497512">
    <w:abstractNumId w:val="1"/>
  </w:num>
  <w:num w:numId="40" w16cid:durableId="872881396">
    <w:abstractNumId w:val="0"/>
  </w:num>
  <w:num w:numId="41" w16cid:durableId="250706047">
    <w:abstractNumId w:val="10"/>
  </w:num>
  <w:num w:numId="42" w16cid:durableId="314262206">
    <w:abstractNumId w:val="10"/>
  </w:num>
  <w:num w:numId="43" w16cid:durableId="1503007486">
    <w:abstractNumId w:val="10"/>
  </w:num>
  <w:num w:numId="44" w16cid:durableId="12749445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618"/>
    <w:rsid w:val="00002272"/>
    <w:rsid w:val="00064002"/>
    <w:rsid w:val="000677B9"/>
    <w:rsid w:val="000831BA"/>
    <w:rsid w:val="000A42CC"/>
    <w:rsid w:val="000D6618"/>
    <w:rsid w:val="000E2619"/>
    <w:rsid w:val="000E7DD9"/>
    <w:rsid w:val="0010095E"/>
    <w:rsid w:val="00125B37"/>
    <w:rsid w:val="00187494"/>
    <w:rsid w:val="001F32AE"/>
    <w:rsid w:val="00206715"/>
    <w:rsid w:val="002310A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0087"/>
    <w:rsid w:val="005F1B17"/>
    <w:rsid w:val="006037C0"/>
    <w:rsid w:val="006631B6"/>
    <w:rsid w:val="00680577"/>
    <w:rsid w:val="00687B31"/>
    <w:rsid w:val="006F74FA"/>
    <w:rsid w:val="00717024"/>
    <w:rsid w:val="00731ADD"/>
    <w:rsid w:val="00734777"/>
    <w:rsid w:val="00737E48"/>
    <w:rsid w:val="00742FED"/>
    <w:rsid w:val="00747932"/>
    <w:rsid w:val="00751A4A"/>
    <w:rsid w:val="00756632"/>
    <w:rsid w:val="00762C74"/>
    <w:rsid w:val="00786EC0"/>
    <w:rsid w:val="007D1690"/>
    <w:rsid w:val="007E22AD"/>
    <w:rsid w:val="007F51D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700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6749"/>
    <w:rsid w:val="00D834A0"/>
    <w:rsid w:val="00D872DF"/>
    <w:rsid w:val="00D91E21"/>
    <w:rsid w:val="00DA33B0"/>
    <w:rsid w:val="00DA7FCD"/>
    <w:rsid w:val="00DE255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36D"/>
    <w:rsid w:val="00F74202"/>
    <w:rsid w:val="00F87713"/>
    <w:rsid w:val="00FB4360"/>
    <w:rsid w:val="00FD0C70"/>
  </w:rsids>
  <w:docVars>
    <w:docVar w:name="dvdocse" w:val="A10-0108/2026"/>
    <w:docVar w:name="dvlangue" w:val="IT"/>
    <w:docVar w:name="dvnumam" w:val="0"/>
    <w:docVar w:name="dvpe" w:val="786.688"/>
    <w:docVar w:name="dvrapporteur" w:val="Relatore: "/>
    <w:docVar w:name="dvtitre" w:val="Decisione del Parlamento europeo del 28 aprile 2026 sulla richiesta di revoca dell'immunità di Patryk Jaki(2025/2171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5EE88E5"/>
  <w15:chartTrackingRefBased/>
  <w15:docId w15:val="{8E876F88-380E-4F9F-B2A0-E6823A420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E008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Hanging12a">
    <w:name w:val="NormalHanging12a"/>
    <w:basedOn w:val="Normal"/>
    <w:rsid w:val="005E008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E00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E0087"/>
    <w:rPr>
      <w:sz w:val="24"/>
      <w:lang w:val="it-IT"/>
    </w:rPr>
  </w:style>
  <w:style w:type="paragraph" w:customStyle="1" w:styleId="EPFooter">
    <w:name w:val="EPFooter"/>
    <w:basedOn w:val="Normal"/>
    <w:rsid w:val="005E008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E0087"/>
    <w:pPr>
      <w:spacing w:before="480" w:after="240"/>
    </w:pPr>
  </w:style>
  <w:style w:type="paragraph" w:styleId="Revision">
    <w:name w:val="Revision"/>
    <w:hidden/>
    <w:uiPriority w:val="99"/>
    <w:semiHidden/>
    <w:rsid w:val="00F5636D"/>
    <w:rPr>
      <w:sz w:val="24"/>
      <w:lang w:val="it-IT"/>
    </w:rPr>
  </w:style>
  <w:style w:type="character" w:styleId="CommentReference">
    <w:name w:val="annotation reference"/>
    <w:basedOn w:val="DefaultParagraphFont"/>
    <w:rsid w:val="00687B31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7B3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7B31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687B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7B31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893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2026-04-28T11:33:00Z</dcterms:created>
  <dcterms:modified xsi:type="dcterms:W3CDTF">2026-04-28T11:33:00Z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A10-0108/2026</vt:lpwstr>
  </property>
  <property fmtid="{D5CDD505-2E9C-101B-9397-08002B2CF9AE}" pid="4" name="&lt;Type&gt;">
    <vt:lpwstr>RR</vt:lpwstr>
  </property>
</Properties>
</file>