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421E2D6" w14:textId="77777777" w:rsidTr="0010095E">
        <w:tblPrEx>
          <w:tblW w:w="9072" w:type="dxa"/>
          <w:tblLook w:val="01E0"/>
        </w:tblPrEx>
        <w:trPr>
          <w:trHeight w:hRule="exact" w:val="1418"/>
        </w:trPr>
        <w:tc>
          <w:tcPr>
            <w:tcW w:w="6804" w:type="dxa"/>
            <w:shd w:val="clear" w:color="auto" w:fill="auto"/>
            <w:vAlign w:val="center"/>
          </w:tcPr>
          <w:p w:rsidR="00751A4A" w:rsidRPr="00864B47" w:rsidP="0010095E" w14:paraId="1ACF452D" w14:textId="5F21AD1A">
            <w:pPr>
              <w:pStyle w:val="EPName"/>
            </w:pPr>
            <w:r w:rsidRPr="00864B47">
              <w:t>Eiropas Parlaments</w:t>
            </w:r>
          </w:p>
          <w:p w:rsidR="00751A4A" w:rsidRPr="00864B47" w:rsidP="005F1B17" w14:paraId="1C9D7C75" w14:textId="77777777">
            <w:pPr>
              <w:pStyle w:val="EPTerm"/>
              <w:rPr>
                <w:rStyle w:val="HideTWBExt"/>
                <w:noProof w:val="0"/>
                <w:vanish w:val="0"/>
                <w:color w:val="auto"/>
              </w:rPr>
            </w:pPr>
            <w:r w:rsidRPr="00864B47">
              <w:t>2024</w:t>
            </w:r>
            <w:r w:rsidRPr="00864B47" w:rsidR="00817416">
              <w:t>-202</w:t>
            </w:r>
            <w:r w:rsidRPr="00864B47">
              <w:t>9</w:t>
            </w:r>
          </w:p>
        </w:tc>
        <w:tc>
          <w:tcPr>
            <w:tcW w:w="2268" w:type="dxa"/>
            <w:shd w:val="clear" w:color="auto" w:fill="auto"/>
          </w:tcPr>
          <w:p w:rsidR="00751A4A" w:rsidRPr="00864B47" w:rsidP="0010095E" w14:paraId="60BC5551" w14:textId="77777777">
            <w:pPr>
              <w:pStyle w:val="EPLogo"/>
            </w:pPr>
            <w:r w:rsidRPr="00864B4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864B47" w:rsidP="004C5D52" w14:paraId="1308007D" w14:textId="77777777">
      <w:pPr>
        <w:pStyle w:val="LineTop"/>
      </w:pPr>
    </w:p>
    <w:p w:rsidR="00680577" w:rsidRPr="00864B47" w:rsidP="00680577" w14:paraId="35077F99" w14:textId="77777777">
      <w:pPr>
        <w:pStyle w:val="EPBodyTA1"/>
      </w:pPr>
      <w:r w:rsidRPr="00864B47">
        <w:t>PIEŅEMTIE TEKSTI</w:t>
      </w:r>
    </w:p>
    <w:p w:rsidR="00D058B8" w:rsidRPr="00864B47" w:rsidP="00D058B8" w14:paraId="7BB6CF4B" w14:textId="77777777">
      <w:pPr>
        <w:pStyle w:val="LineBottom"/>
      </w:pPr>
    </w:p>
    <w:p w:rsidR="00310ED4" w:rsidRPr="00864B47" w:rsidP="00310ED4" w14:paraId="2F3B71B9" w14:textId="2BABE959">
      <w:pPr>
        <w:pStyle w:val="ATHeading1"/>
      </w:pPr>
      <w:bookmarkStart w:id="0" w:name="TANumber"/>
      <w:r w:rsidRPr="00864B47">
        <w:t>P10_TA(2026)0</w:t>
      </w:r>
      <w:r w:rsidRPr="00864B47" w:rsidR="00864B47">
        <w:t>105</w:t>
      </w:r>
      <w:bookmarkEnd w:id="0"/>
    </w:p>
    <w:p w:rsidR="00310ED4" w:rsidRPr="00864B47" w:rsidP="00310ED4" w14:paraId="16869B41" w14:textId="07D64749">
      <w:pPr>
        <w:pStyle w:val="ATHeading2"/>
      </w:pPr>
      <w:bookmarkStart w:id="1" w:name="title"/>
      <w:r w:rsidRPr="00864B47">
        <w:t>Piepras</w:t>
      </w:r>
      <w:r w:rsidRPr="00864B47">
        <w:rPr>
          <w:rFonts w:hint="eastAsia"/>
        </w:rPr>
        <w:t>ī</w:t>
      </w:r>
      <w:r w:rsidRPr="00864B47">
        <w:t xml:space="preserve">jums atcelt </w:t>
      </w:r>
      <w:r w:rsidRPr="00864B47">
        <w:rPr>
          <w:i/>
          <w:iCs/>
        </w:rPr>
        <w:t>Patryk</w:t>
      </w:r>
      <w:r w:rsidRPr="00864B47">
        <w:rPr>
          <w:i/>
          <w:iCs/>
        </w:rPr>
        <w:t xml:space="preserve"> Jaki</w:t>
      </w:r>
      <w:r w:rsidRPr="00864B47">
        <w:t xml:space="preserve"> imunit</w:t>
      </w:r>
      <w:r w:rsidRPr="00864B47">
        <w:rPr>
          <w:rFonts w:hint="eastAsia"/>
        </w:rPr>
        <w:t>ā</w:t>
      </w:r>
      <w:r w:rsidRPr="00864B47">
        <w:t>ti</w:t>
      </w:r>
      <w:bookmarkEnd w:id="1"/>
    </w:p>
    <w:p w:rsidR="00310ED4" w:rsidRPr="00864B47" w:rsidP="00310ED4" w14:paraId="44FEC64F" w14:textId="77777777">
      <w:pPr>
        <w:rPr>
          <w:i/>
          <w:vanish/>
        </w:rPr>
      </w:pPr>
      <w:r>
        <w:rPr>
          <w:i/>
        </w:rPr>
        <w:fldChar w:fldCharType="begin"/>
      </w:r>
      <w:r w:rsidRPr="00864B47">
        <w:rPr>
          <w:i/>
        </w:rPr>
        <w:instrText xml:space="preserve"> TC"(</w:instrText>
      </w:r>
      <w:bookmarkStart w:id="2" w:name="DocNumber"/>
      <w:r w:rsidRPr="00864B47">
        <w:rPr>
          <w:i/>
        </w:rPr>
        <w:instrText>A10-0108/2026</w:instrText>
      </w:r>
      <w:bookmarkEnd w:id="2"/>
      <w:r w:rsidRPr="00864B47">
        <w:rPr>
          <w:i/>
        </w:rPr>
        <w:instrText xml:space="preserve"> - Referents: Adrián Vázquez Lázara)"\l3 \n&gt; \* MERGEFORMAT </w:instrText>
      </w:r>
      <w:r>
        <w:rPr>
          <w:i/>
        </w:rPr>
        <w:fldChar w:fldCharType="end"/>
      </w:r>
    </w:p>
    <w:p w:rsidR="00310ED4" w:rsidRPr="00864B47" w:rsidP="00310ED4" w14:paraId="7D0A994A" w14:textId="77777777">
      <w:pPr>
        <w:rPr>
          <w:vanish/>
        </w:rPr>
      </w:pPr>
      <w:bookmarkStart w:id="3" w:name="Commission"/>
      <w:r w:rsidRPr="00864B47">
        <w:rPr>
          <w:vanish/>
        </w:rPr>
        <w:t>Juridiskā komiteja</w:t>
      </w:r>
      <w:bookmarkEnd w:id="3"/>
    </w:p>
    <w:p w:rsidR="00310ED4" w:rsidRPr="00864B47" w:rsidP="00310ED4" w14:paraId="1AA7AEDC" w14:textId="77777777">
      <w:pPr>
        <w:rPr>
          <w:vanish/>
        </w:rPr>
      </w:pPr>
      <w:bookmarkStart w:id="4" w:name="PE"/>
      <w:r w:rsidRPr="00864B47">
        <w:rPr>
          <w:vanish/>
        </w:rPr>
        <w:t>PE786.688</w:t>
      </w:r>
      <w:bookmarkEnd w:id="4"/>
    </w:p>
    <w:p w:rsidR="00310ED4" w:rsidRPr="00864B47" w:rsidP="00310ED4" w14:paraId="2DEBF4E1" w14:textId="1B1ECCF1">
      <w:pPr>
        <w:pStyle w:val="ATHeading3"/>
      </w:pPr>
      <w:bookmarkStart w:id="5" w:name="Sujet"/>
      <w:r w:rsidRPr="00864B47">
        <w:t xml:space="preserve">Eiropas Parlamenta 2026. gada </w:t>
      </w:r>
      <w:r w:rsidRPr="00864B47" w:rsidR="006B6D97">
        <w:t>28. aprīļa</w:t>
      </w:r>
      <w:r w:rsidRPr="00864B47">
        <w:t xml:space="preserve"> lēmums par pieprasījumu atcelt </w:t>
      </w:r>
      <w:r w:rsidRPr="00864B47">
        <w:rPr>
          <w:i/>
          <w:iCs/>
        </w:rPr>
        <w:t>Patryk</w:t>
      </w:r>
      <w:r w:rsidRPr="00864B47">
        <w:rPr>
          <w:i/>
          <w:iCs/>
        </w:rPr>
        <w:t xml:space="preserve"> Jaki</w:t>
      </w:r>
      <w:r w:rsidRPr="00864B47">
        <w:t xml:space="preserve"> imunitāti</w:t>
      </w:r>
      <w:bookmarkEnd w:id="5"/>
      <w:r w:rsidRPr="00864B47">
        <w:t xml:space="preserve"> </w:t>
      </w:r>
      <w:bookmarkStart w:id="6" w:name="References"/>
      <w:r w:rsidRPr="00864B47">
        <w:t>(2025/2171(IMM))</w:t>
      </w:r>
      <w:bookmarkEnd w:id="6"/>
    </w:p>
    <w:p w:rsidR="00574C5C" w:rsidRPr="00864B47" w:rsidP="00574C5C" w14:paraId="3EED8CE5" w14:textId="77777777">
      <w:pPr>
        <w:pStyle w:val="EPComma"/>
      </w:pPr>
      <w:bookmarkStart w:id="7" w:name="TextBodyBegin"/>
      <w:bookmarkEnd w:id="7"/>
      <w:r w:rsidRPr="00864B47">
        <w:rPr>
          <w:i/>
          <w:iCs/>
        </w:rPr>
        <w:t>Eiropas Parlaments</w:t>
      </w:r>
      <w:r w:rsidRPr="00864B47">
        <w:t>,</w:t>
      </w:r>
    </w:p>
    <w:p w:rsidR="00574C5C" w:rsidRPr="00864B47" w:rsidP="00574C5C" w14:paraId="3A431498" w14:textId="77777777">
      <w:pPr>
        <w:pStyle w:val="NormalHanging12a"/>
      </w:pPr>
      <w:r w:rsidRPr="00864B47">
        <w:t>–</w:t>
      </w:r>
      <w:r w:rsidRPr="00864B47">
        <w:tab/>
        <w:t xml:space="preserve">ņemot vērā pieprasījumu atcelt </w:t>
      </w:r>
      <w:r w:rsidRPr="00864B47">
        <w:rPr>
          <w:i/>
          <w:iCs/>
        </w:rPr>
        <w:t>Patryk</w:t>
      </w:r>
      <w:r w:rsidRPr="00864B47">
        <w:rPr>
          <w:i/>
          <w:iCs/>
        </w:rPr>
        <w:t xml:space="preserve"> Jaki</w:t>
      </w:r>
      <w:r w:rsidRPr="00864B47">
        <w:t xml:space="preserve"> imunitāti, kuru saistībā ar kriminālprocesu, kas pret viņu ir ierosināts, pamatojoties uz </w:t>
      </w:r>
      <w:r w:rsidRPr="00864B47">
        <w:t>privātapsūdzētāja</w:t>
      </w:r>
      <w:r w:rsidRPr="00864B47">
        <w:t xml:space="preserve"> likumīgā pārstāvja iesniegtu privātu apsūdzību, ar 2025. gada 6. augusta vēstuli ir iesniegusi Varšavas Centra rajona tiesa un par kuru paziņots 2025. gada 8. septembra plenārsēdē,</w:t>
      </w:r>
    </w:p>
    <w:p w:rsidR="00574C5C" w:rsidRPr="00864B47" w:rsidP="00574C5C" w14:paraId="3A79D82C" w14:textId="77777777">
      <w:pPr>
        <w:pStyle w:val="NormalHanging12a"/>
      </w:pPr>
      <w:r w:rsidRPr="00864B47">
        <w:t>–</w:t>
      </w:r>
      <w:r w:rsidRPr="00864B47">
        <w:tab/>
        <w:t xml:space="preserve">pēc </w:t>
      </w:r>
      <w:r w:rsidRPr="00864B47">
        <w:rPr>
          <w:i/>
          <w:iCs/>
        </w:rPr>
        <w:t>Patryk</w:t>
      </w:r>
      <w:r w:rsidRPr="00864B47">
        <w:rPr>
          <w:i/>
          <w:iCs/>
        </w:rPr>
        <w:t xml:space="preserve"> Jaki</w:t>
      </w:r>
      <w:r w:rsidRPr="00864B47">
        <w:t xml:space="preserve"> uzklausīšanas 2026. gada 23. martā saskaņā ar Reglamenta 9. panta 6. punktu,</w:t>
      </w:r>
    </w:p>
    <w:p w:rsidR="00574C5C" w:rsidRPr="00864B47" w:rsidP="00574C5C" w14:paraId="6F66D85D" w14:textId="77777777">
      <w:pPr>
        <w:pStyle w:val="NormalHanging12a"/>
      </w:pPr>
      <w:r w:rsidRPr="00864B47">
        <w:t>–</w:t>
      </w:r>
      <w:r w:rsidRPr="00864B47">
        <w:tab/>
        <w:t>ņemot vērā Protokola (Nr. 7) par privilēģijām un imunitāti Eiropas Savienībā 8. un 9. pantu, kā arī 1976. gada 20. septembra Akta par Eiropas Parlamenta deputātu ievēlēšanu tiešās vispārējās vēlēšanās 6. panta 2. punktu,</w:t>
      </w:r>
    </w:p>
    <w:p w:rsidR="00574C5C" w:rsidRPr="00864B47" w:rsidP="00574C5C" w14:paraId="57875375" w14:textId="77777777">
      <w:pPr>
        <w:pStyle w:val="NormalHanging12a"/>
      </w:pPr>
      <w:r w:rsidRPr="00864B47">
        <w:t>–</w:t>
      </w:r>
      <w:r w:rsidRPr="00864B47">
        <w:tab/>
        <w:t>ņemot vērā Eiropas Savienības Tiesas 2008. gada 21. oktobra, 2010. gada 19. marta, 2011. gada 6. septembra, 2013. gada 17. janvāra un 2019. gada 19. decembra spriedumu</w:t>
      </w:r>
      <w:r>
        <w:rPr>
          <w:vertAlign w:val="superscript"/>
        </w:rPr>
        <w:footnoteReference w:id="2"/>
      </w:r>
      <w:r w:rsidRPr="00864B47">
        <w:t>,</w:t>
      </w:r>
    </w:p>
    <w:p w:rsidR="00574C5C" w:rsidRPr="00864B47" w:rsidP="00574C5C" w14:paraId="7D998A17" w14:textId="77777777">
      <w:pPr>
        <w:pStyle w:val="NormalHanging12a"/>
      </w:pPr>
      <w:r w:rsidRPr="00864B47">
        <w:t>–</w:t>
      </w:r>
      <w:r w:rsidRPr="00864B47">
        <w:tab/>
        <w:t>ņemot vērā Polijas Republikas Konstitūcijas 105. panta 2. punktu un 5. punktu,</w:t>
      </w:r>
    </w:p>
    <w:p w:rsidR="00574C5C" w:rsidRPr="00864B47" w:rsidP="00574C5C" w14:paraId="0653855A" w14:textId="77777777">
      <w:pPr>
        <w:pStyle w:val="NormalHanging12a"/>
      </w:pPr>
      <w:r w:rsidRPr="00864B47">
        <w:t>–</w:t>
      </w:r>
      <w:r w:rsidRPr="00864B47">
        <w:tab/>
        <w:t>ņemot vērā Reglamenta 5. panta 2. punktu, 6. panta 1. punktu un 9. pantu,</w:t>
      </w:r>
    </w:p>
    <w:p w:rsidR="00574C5C" w:rsidRPr="00864B47" w:rsidP="00574C5C" w14:paraId="4D2F7DE0" w14:textId="77777777">
      <w:pPr>
        <w:pStyle w:val="NormalHanging12a"/>
      </w:pPr>
      <w:r w:rsidRPr="00864B47">
        <w:t>–</w:t>
      </w:r>
      <w:r w:rsidRPr="00864B47">
        <w:tab/>
        <w:t>ņemot vērā Juridiskās komitejas ziņojumu (A10</w:t>
      </w:r>
      <w:r w:rsidRPr="00864B47">
        <w:noBreakHyphen/>
        <w:t>0108/2026),</w:t>
      </w:r>
    </w:p>
    <w:p w:rsidR="00574C5C" w:rsidRPr="00864B47" w:rsidP="00574C5C" w14:paraId="31FCCC59" w14:textId="77777777">
      <w:pPr>
        <w:pStyle w:val="NormalHanging12a"/>
      </w:pPr>
      <w:r w:rsidRPr="00864B47">
        <w:t>A.</w:t>
      </w:r>
      <w:r w:rsidRPr="00864B47">
        <w:tab/>
        <w:t xml:space="preserve">tā kā Varšavas Centra rajona tiesa ar 2025. gada 6. augusta vēstuli iesniedza pieprasījumu atcelt </w:t>
      </w:r>
      <w:bookmarkStart w:id="8" w:name="_Hlk222405545"/>
      <w:r w:rsidRPr="00864B47">
        <w:t>Polijā ievēlētā Eiropas Parlamenta deputāta</w:t>
      </w:r>
      <w:bookmarkEnd w:id="8"/>
      <w:r w:rsidRPr="00864B47">
        <w:t xml:space="preserve"> </w:t>
      </w:r>
      <w:r w:rsidRPr="00864B47">
        <w:rPr>
          <w:i/>
          <w:iCs/>
        </w:rPr>
        <w:t>Patryk</w:t>
      </w:r>
      <w:r w:rsidRPr="00864B47">
        <w:rPr>
          <w:i/>
          <w:iCs/>
        </w:rPr>
        <w:t xml:space="preserve"> Jaki</w:t>
      </w:r>
      <w:r w:rsidRPr="00864B47">
        <w:t xml:space="preserve"> imunitāti saistībā ar kriminālprocesu, kas minētajā tiesā sākts par iespējamu noziedzīgu nodarījumu, par kuru iesniegta privāta apsūdzība;</w:t>
      </w:r>
    </w:p>
    <w:p w:rsidR="00574C5C" w:rsidRPr="00864B47" w:rsidP="00574C5C" w14:paraId="4A38413B" w14:textId="23315730">
      <w:pPr>
        <w:pStyle w:val="NormalHanging12a"/>
      </w:pPr>
      <w:r w:rsidRPr="00864B47">
        <w:t>B.</w:t>
      </w:r>
      <w:r w:rsidRPr="00864B47">
        <w:tab/>
        <w:t xml:space="preserve">tā kā pieprasījumā teikts, ka laikā no 2024. gada 5. jūnija līdz 2024. gada 7. jūnijam </w:t>
      </w:r>
      <w:r w:rsidRPr="00864B47">
        <w:rPr>
          <w:i/>
          <w:iCs/>
        </w:rPr>
        <w:t>Patryk</w:t>
      </w:r>
      <w:r w:rsidRPr="00864B47">
        <w:rPr>
          <w:i/>
          <w:iCs/>
        </w:rPr>
        <w:t xml:space="preserve"> Jaki</w:t>
      </w:r>
      <w:r w:rsidRPr="00864B47">
        <w:t xml:space="preserve">, rīkojoties ātri pēc kārtas, pēc iepriekš sagatavota plāna un ar tiešu nodomu, esot šādi apmelojis </w:t>
      </w:r>
      <w:r w:rsidRPr="00864B47">
        <w:t>privātapsūdzētāju</w:t>
      </w:r>
      <w:r w:rsidRPr="00864B47">
        <w:t xml:space="preserve"> (tiesnesi): i) vēlēšanu kampaņas sanāksmē </w:t>
      </w:r>
      <w:r w:rsidRPr="00864B47">
        <w:t>Bedzinā</w:t>
      </w:r>
      <w:r w:rsidRPr="00864B47">
        <w:t xml:space="preserve"> 2024. gada 5. jūnijā viedokļu apmaiņā ar vienu no sanāksmē klātesošajām personām </w:t>
      </w:r>
      <w:r w:rsidRPr="00864B47">
        <w:rPr>
          <w:i/>
          <w:iCs/>
        </w:rPr>
        <w:t>Patryk</w:t>
      </w:r>
      <w:r w:rsidRPr="00864B47">
        <w:rPr>
          <w:i/>
          <w:iCs/>
        </w:rPr>
        <w:t xml:space="preserve"> Jaki</w:t>
      </w:r>
      <w:r w:rsidRPr="00864B47">
        <w:t xml:space="preserve"> nāca klajā ar paziņojumiem par </w:t>
      </w:r>
      <w:r w:rsidRPr="00864B47">
        <w:t>privātapsūdzētāju</w:t>
      </w:r>
      <w:r w:rsidRPr="00864B47">
        <w:t xml:space="preserve">, apgalvojot, ka viņš ir nezinot atļāvis izmantot spiegprogrammatūru </w:t>
      </w:r>
      <w:r w:rsidRPr="00864B47">
        <w:rPr>
          <w:i/>
          <w:iCs/>
        </w:rPr>
        <w:t>Pegasus</w:t>
      </w:r>
      <w:r w:rsidRPr="00864B47">
        <w:t xml:space="preserve">, un ii) 2024. gada 7. jūnijā </w:t>
      </w:r>
      <w:r w:rsidRPr="00864B47">
        <w:rPr>
          <w:i/>
          <w:iCs/>
        </w:rPr>
        <w:t>Patryk</w:t>
      </w:r>
      <w:r w:rsidRPr="00864B47">
        <w:rPr>
          <w:i/>
          <w:iCs/>
        </w:rPr>
        <w:t xml:space="preserve"> Jaki</w:t>
      </w:r>
      <w:r w:rsidRPr="00864B47">
        <w:t xml:space="preserve"> </w:t>
      </w:r>
      <w:r w:rsidRPr="00864B47" w:rsidR="00BB0FA2">
        <w:t>minētās</w:t>
      </w:r>
      <w:r w:rsidRPr="00864B47">
        <w:t xml:space="preserve"> viedokļu apmaiņas ierakstu esot izplatījis visā valstī, izmantojot masu medijus (t. i., sociālo mediju platformas </w:t>
      </w:r>
      <w:r w:rsidRPr="00864B47">
        <w:rPr>
          <w:i/>
          <w:iCs/>
        </w:rPr>
        <w:t>Instagram</w:t>
      </w:r>
      <w:r w:rsidRPr="00864B47">
        <w:t xml:space="preserve">, </w:t>
      </w:r>
      <w:r w:rsidRPr="00864B47">
        <w:rPr>
          <w:i/>
          <w:iCs/>
        </w:rPr>
        <w:t>Facebook</w:t>
      </w:r>
      <w:r w:rsidRPr="00864B47">
        <w:t xml:space="preserve"> un </w:t>
      </w:r>
      <w:r w:rsidRPr="00864B47">
        <w:rPr>
          <w:i/>
          <w:iCs/>
        </w:rPr>
        <w:t>X</w:t>
      </w:r>
      <w:r w:rsidRPr="00864B47">
        <w:t xml:space="preserve"> (</w:t>
      </w:r>
      <w:r w:rsidRPr="00864B47">
        <w:rPr>
          <w:i/>
          <w:iCs/>
        </w:rPr>
        <w:t>Twitter</w:t>
      </w:r>
      <w:r w:rsidRPr="00864B47">
        <w:t xml:space="preserve">)), apgalvojot, ka </w:t>
      </w:r>
      <w:r w:rsidRPr="00864B47">
        <w:t>privātapsūdzētājs</w:t>
      </w:r>
      <w:r w:rsidRPr="00864B47">
        <w:t xml:space="preserve"> nav pildījis savus tiesneša pienākumus, kuri saistīti ar neprecizētām “izmeklēšanām un pārbaudēm” attiecībā uz operatīvās novērošanas metodi operatīvās novērošanas rīkojumu pieprasīšanas kontekstā, ka viņš kā tiesnesis nav darbojies pienācīgi un ka viņš ir bijis neobjektīvs, būdams politiskās partijas ietekmē;</w:t>
      </w:r>
    </w:p>
    <w:p w:rsidR="00574C5C" w:rsidRPr="00864B47" w:rsidP="00574C5C" w14:paraId="6B2B5889" w14:textId="77777777">
      <w:pPr>
        <w:pStyle w:val="NormalHanging12a"/>
      </w:pPr>
      <w:r w:rsidRPr="00864B47">
        <w:t>C.</w:t>
      </w:r>
      <w:r w:rsidRPr="00864B47">
        <w:tab/>
        <w:t xml:space="preserve">tā kā </w:t>
      </w:r>
      <w:r w:rsidRPr="00864B47">
        <w:rPr>
          <w:i/>
          <w:iCs/>
        </w:rPr>
        <w:t>Patryk</w:t>
      </w:r>
      <w:r w:rsidRPr="00864B47">
        <w:rPr>
          <w:i/>
          <w:iCs/>
        </w:rPr>
        <w:t xml:space="preserve"> Jaki</w:t>
      </w:r>
      <w:r w:rsidRPr="00864B47">
        <w:t xml:space="preserve"> tādējādi esot </w:t>
      </w:r>
      <w:r w:rsidRPr="00864B47">
        <w:t>privātapsūdzētāju</w:t>
      </w:r>
      <w:r w:rsidRPr="00864B47">
        <w:t xml:space="preserve"> apmelojis ar tiešu nodomu viņu pazemot sabiedrības priekšā un kaitēt viņa reputācijai, kā arī panākt, ka viņš zaudē uzticību, kas nepieciešama tiesneša pienākumu veikšanai; tā kā šīs darbības, ko viņš esot veicis, varētu būt nodarījums, kas ir paredzēts Polijas Kriminālkodeksa 212. panta 1. punktā kopsakarā ar 212. panta 2. punktu un 12. panta 1. punktu;</w:t>
      </w:r>
    </w:p>
    <w:p w:rsidR="00574C5C" w:rsidRPr="00864B47" w:rsidP="00574C5C" w14:paraId="78F07361" w14:textId="77777777">
      <w:pPr>
        <w:pStyle w:val="NormalHanging12a"/>
      </w:pPr>
      <w:r w:rsidRPr="00864B47">
        <w:t>D.</w:t>
      </w:r>
      <w:r w:rsidRPr="00864B47">
        <w:tab/>
        <w:t xml:space="preserve">tā kā 2019. gada jūnija Eiropas Parlamenta vēlēšanās </w:t>
      </w:r>
      <w:r w:rsidRPr="00864B47">
        <w:rPr>
          <w:i/>
          <w:iCs/>
        </w:rPr>
        <w:t>Patryk</w:t>
      </w:r>
      <w:r w:rsidRPr="00864B47">
        <w:rPr>
          <w:i/>
          <w:iCs/>
        </w:rPr>
        <w:t xml:space="preserve"> Jaki</w:t>
      </w:r>
      <w:r w:rsidRPr="00864B47">
        <w:t xml:space="preserve"> tika ievēlēts Eiropas Parlamentā un inkriminētā nodarījuma izdarīšanas laikā viņš bija Eiropas Parlamenta deputāts;</w:t>
      </w:r>
    </w:p>
    <w:p w:rsidR="00574C5C" w:rsidRPr="00864B47" w:rsidP="00574C5C" w14:paraId="3B875AEE" w14:textId="77777777">
      <w:pPr>
        <w:pStyle w:val="NormalHanging12a"/>
      </w:pPr>
      <w:r w:rsidRPr="00864B47">
        <w:t>E.</w:t>
      </w:r>
      <w:r w:rsidRPr="00864B47">
        <w:tab/>
        <w:t xml:space="preserve">tā kā inkriminētais nodarījums nav </w:t>
      </w:r>
      <w:r w:rsidRPr="00864B47">
        <w:rPr>
          <w:i/>
          <w:iCs/>
        </w:rPr>
        <w:t>Patryk</w:t>
      </w:r>
      <w:r w:rsidRPr="00864B47">
        <w:rPr>
          <w:i/>
          <w:iCs/>
        </w:rPr>
        <w:t xml:space="preserve"> </w:t>
      </w:r>
      <w:r w:rsidRPr="00864B47">
        <w:rPr>
          <w:i/>
          <w:iCs/>
        </w:rPr>
        <w:t>Jaki</w:t>
      </w:r>
      <w:r w:rsidRPr="00864B47">
        <w:t>viedoklis</w:t>
      </w:r>
      <w:r w:rsidRPr="00864B47">
        <w:t xml:space="preserve"> vai balsojums, kas pausts vai izdarīts, viņam pildot savus pienākumus Protokola (Nr. 7) par privilēģijām un imunitāti Eiropas Savienībā 8. panta nozīmē, un no tā izrietošais pieprasījums atcelt viņa imunitāti nav saistīts ar tādu viedokli vai balsojumu;</w:t>
      </w:r>
    </w:p>
    <w:p w:rsidR="00574C5C" w:rsidRPr="00864B47" w:rsidP="00574C5C" w14:paraId="52B83EB1" w14:textId="35562108">
      <w:pPr>
        <w:pStyle w:val="NormalHanging12a"/>
      </w:pPr>
      <w:r w:rsidRPr="00864B47">
        <w:t>F.</w:t>
      </w:r>
      <w:r w:rsidRPr="00864B47">
        <w:tab/>
        <w:t xml:space="preserve">tā kā saskaņā ar Protokola (Nr. 7) par privilēģijām un imunitāti Eiropas Savienībā 9. panta pirmās daļas a) punktu Eiropas Parlamenta locekļiem savā </w:t>
      </w:r>
      <w:r w:rsidRPr="00864B47" w:rsidR="006B6D97">
        <w:t>dalīb</w:t>
      </w:r>
      <w:r w:rsidRPr="00864B47">
        <w:t>valstī ir imunitāte, ko piešķir attiecīgās valsts parlamenta locekļiem;</w:t>
      </w:r>
    </w:p>
    <w:p w:rsidR="00574C5C" w:rsidRPr="00864B47" w:rsidP="00574C5C" w14:paraId="0149EB2A" w14:textId="6D4FA720">
      <w:pPr>
        <w:pStyle w:val="NormalHanging12a"/>
      </w:pPr>
      <w:r w:rsidRPr="00864B47">
        <w:t>G.</w:t>
      </w:r>
      <w:r w:rsidRPr="00864B47">
        <w:tab/>
        <w:t xml:space="preserve">tā kā saskaņā ar Polijas </w:t>
      </w:r>
      <w:r w:rsidRPr="00864B47" w:rsidR="00127B39">
        <w:t xml:space="preserve">Republikas </w:t>
      </w:r>
      <w:r w:rsidRPr="00864B47">
        <w:t xml:space="preserve">Konstitūcijas 105. panta 2. un 5. punktu, sākot no vēlēšanu rezultātu pasludināšanas dienas un līdz attiecīgā deputāta mandāta termiņa beigām, viņu bez </w:t>
      </w:r>
      <w:r w:rsidRPr="00864B47">
        <w:t>Sejma</w:t>
      </w:r>
      <w:r w:rsidRPr="00864B47">
        <w:t xml:space="preserve"> piekrišanas nedrīkst saukt pie kriminālatbildības un bez minētās piekrišanas nedrīkst aizturēt vai apcietināt, izņemot gadījumus, kuros viņš tiek pieķerts noziedzīga nodarījuma izdarīšanas brīdī un kuros viņa aizturēšana ir nepieciešama, lai nodrošinātu procesuālo darbību pienācīgu veikšanu;</w:t>
      </w:r>
    </w:p>
    <w:p w:rsidR="00574C5C" w:rsidRPr="00864B47" w:rsidP="00574C5C" w14:paraId="0BCF5C17" w14:textId="77777777">
      <w:pPr>
        <w:pStyle w:val="NormalHanging12a"/>
      </w:pPr>
      <w:r w:rsidRPr="00864B47">
        <w:t>H.</w:t>
      </w:r>
      <w:r w:rsidRPr="00864B47">
        <w:tab/>
        <w:t xml:space="preserve">tā kā </w:t>
      </w:r>
      <w:bookmarkStart w:id="9" w:name="_Hlk222405989"/>
      <w:r w:rsidRPr="00864B47">
        <w:t>Protokola (Nr. 7) par imunitāti un privilēģijām Eiropas Savienībā paredzētās</w:t>
      </w:r>
      <w:bookmarkEnd w:id="9"/>
      <w:r w:rsidRPr="00864B47">
        <w:t xml:space="preserve"> imunitātes mērķis ir aizsargāt Parlamentu un tā deputātus pret juridiskiem procesiem, kas tiek ierosināti par darbībām, kuras ir veiktas, pildot parlamentāros pienākumus, un kuras atrauti no šiem pienākumiem skatīt nevar;</w:t>
      </w:r>
    </w:p>
    <w:p w:rsidR="00574C5C" w:rsidRPr="00864B47" w:rsidP="00574C5C" w14:paraId="2D0C89D1" w14:textId="36EA9DBC">
      <w:pPr>
        <w:pStyle w:val="NormalHanging12a"/>
      </w:pPr>
      <w:r w:rsidRPr="00864B47">
        <w:t>I.</w:t>
      </w:r>
      <w:r w:rsidRPr="00864B47">
        <w:tab/>
        <w:t xml:space="preserve">tā kā saskaņā ar Parlamenta Reglamenta 5. panta 2. punktu deputāta imunitāte nav </w:t>
      </w:r>
      <w:r w:rsidRPr="00864B47" w:rsidR="00BB0FA2">
        <w:t xml:space="preserve">viņa </w:t>
      </w:r>
      <w:r w:rsidRPr="00864B47">
        <w:t>personiska privilēģija, bet gan visa Parlamenta un tā deputātu neatkarības garantija;</w:t>
      </w:r>
    </w:p>
    <w:p w:rsidR="00574C5C" w:rsidRPr="00864B47" w:rsidP="00574C5C" w14:paraId="550FE364" w14:textId="23333BE0">
      <w:pPr>
        <w:pStyle w:val="NormalHanging12a"/>
      </w:pPr>
      <w:r w:rsidRPr="00864B47">
        <w:t>J.</w:t>
      </w:r>
      <w:r w:rsidRPr="00864B47">
        <w:tab/>
        <w:t xml:space="preserve">tā kā šajā lietā Parlamentam nav pierādījumu par </w:t>
      </w:r>
      <w:r w:rsidRPr="00864B47">
        <w:rPr>
          <w:i/>
          <w:iCs/>
        </w:rPr>
        <w:t>fumus</w:t>
      </w:r>
      <w:r w:rsidRPr="00864B47">
        <w:rPr>
          <w:i/>
          <w:iCs/>
        </w:rPr>
        <w:t xml:space="preserve"> </w:t>
      </w:r>
      <w:r w:rsidRPr="00864B47">
        <w:rPr>
          <w:i/>
          <w:iCs/>
        </w:rPr>
        <w:t>persecutionis</w:t>
      </w:r>
      <w:r w:rsidRPr="00864B47">
        <w:t xml:space="preserve">, proti, nešķiet, ka attiecīgās tiesvedības pamatā esošais nolūks ir kaitēt </w:t>
      </w:r>
      <w:r w:rsidRPr="00864B47" w:rsidR="00127B39">
        <w:rPr>
          <w:i/>
          <w:iCs/>
        </w:rPr>
        <w:t>Patryk</w:t>
      </w:r>
      <w:r w:rsidRPr="00864B47" w:rsidR="00127B39">
        <w:rPr>
          <w:i/>
          <w:iCs/>
        </w:rPr>
        <w:t xml:space="preserve"> Jaki</w:t>
      </w:r>
      <w:r w:rsidRPr="00864B47" w:rsidR="00127B39">
        <w:t xml:space="preserve"> </w:t>
      </w:r>
      <w:r w:rsidRPr="00864B47">
        <w:t xml:space="preserve">politiskajai darbībai </w:t>
      </w:r>
      <w:r w:rsidRPr="00864B47" w:rsidR="00127B39">
        <w:t xml:space="preserve">kā Eiropas Parlamenta deputātam </w:t>
      </w:r>
      <w:r w:rsidRPr="00864B47">
        <w:t>un līdz ar to Parlamenta neatkarībai;</w:t>
      </w:r>
      <w:r w:rsidRPr="00864B47" w:rsidR="00127B39">
        <w:t xml:space="preserve"> </w:t>
      </w:r>
    </w:p>
    <w:p w:rsidR="00574C5C" w:rsidRPr="00864B47" w:rsidP="00574C5C" w14:paraId="5D9347F5" w14:textId="77777777">
      <w:pPr>
        <w:pStyle w:val="NormalHanging12a"/>
      </w:pPr>
      <w:r w:rsidRPr="00864B47">
        <w:t>K.</w:t>
      </w:r>
      <w:r w:rsidRPr="00864B47">
        <w:tab/>
        <w:t>tā kā, no vienas puses, Parlaments nevar tikt pielīdzināts tiesai un, no otras puses, deputāts imunitātes atcelšanas procedūras kontekstā nevar tikt uzskatīts par apsūdzēto</w:t>
      </w:r>
      <w:r>
        <w:rPr>
          <w:vertAlign w:val="superscript"/>
        </w:rPr>
        <w:footnoteReference w:id="3"/>
      </w:r>
      <w:r w:rsidRPr="00864B47">
        <w:t>;</w:t>
      </w:r>
    </w:p>
    <w:p w:rsidR="00574C5C" w:rsidRPr="00864B47" w:rsidP="00574C5C" w14:paraId="763C753E" w14:textId="77777777">
      <w:pPr>
        <w:pStyle w:val="NormalHanging12a"/>
      </w:pPr>
      <w:r w:rsidRPr="00864B47">
        <w:t>1.</w:t>
      </w:r>
      <w:r w:rsidRPr="00864B47">
        <w:tab/>
        <w:t xml:space="preserve">nolemj atcelt </w:t>
      </w:r>
      <w:r w:rsidRPr="00864B47">
        <w:rPr>
          <w:i/>
          <w:iCs/>
        </w:rPr>
        <w:t>Patryk</w:t>
      </w:r>
      <w:r w:rsidRPr="00864B47">
        <w:rPr>
          <w:i/>
          <w:iCs/>
        </w:rPr>
        <w:t xml:space="preserve"> Jaki</w:t>
      </w:r>
      <w:r w:rsidRPr="00864B47">
        <w:t xml:space="preserve"> imunitāti;</w:t>
      </w:r>
    </w:p>
    <w:p w:rsidR="00E365E1" w:rsidRPr="00864B47" w:rsidP="00864B47" w14:paraId="6C73C74F" w14:textId="39E78315">
      <w:pPr>
        <w:ind w:left="567" w:hanging="567"/>
      </w:pPr>
      <w:r w:rsidRPr="00864B47">
        <w:t>2.</w:t>
      </w:r>
      <w:r w:rsidRPr="00864B47">
        <w:tab/>
        <w:t xml:space="preserve">uzdod priekšsēdētājai šo lēmumu un atbildīgās komitejas ziņojumu nekavējoties nosūtīt kompetentajai Polijas Republikas iestādei un </w:t>
      </w:r>
      <w:r w:rsidRPr="00864B47">
        <w:rPr>
          <w:i/>
          <w:iCs/>
        </w:rPr>
        <w:t>Patryk</w:t>
      </w:r>
      <w:r w:rsidRPr="00864B47">
        <w:rPr>
          <w:i/>
          <w:iCs/>
        </w:rPr>
        <w:t xml:space="preserve"> Jaki</w:t>
      </w:r>
      <w:r w:rsidRPr="00864B47">
        <w:t>.</w:t>
      </w:r>
    </w:p>
    <w:sectPr w:rsidSect="00E70FE3">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70FE3" w14:paraId="110FE593"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70FE3" w14:paraId="1BBFFF3B"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70FE3" w14:paraId="45A81ED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10ED4" w:rsidRPr="00E70FE3" w14:paraId="35C0B33F" w14:textId="77777777">
      <w:r w:rsidRPr="00E70FE3">
        <w:separator/>
      </w:r>
    </w:p>
  </w:footnote>
  <w:footnote w:type="continuationSeparator" w:id="1">
    <w:p w:rsidR="00310ED4" w:rsidRPr="00E70FE3" w14:paraId="4674C0F5" w14:textId="77777777">
      <w:r w:rsidRPr="00E70FE3">
        <w:continuationSeparator/>
      </w:r>
    </w:p>
  </w:footnote>
  <w:footnote w:id="2">
    <w:p w:rsidR="00574C5C" w:rsidRPr="00E70FE3" w:rsidP="00E70FE3" w14:paraId="006D5A7B" w14:textId="1868EFE2">
      <w:pPr>
        <w:pStyle w:val="FootnoteText"/>
        <w:ind w:left="567" w:hanging="567"/>
        <w:rPr>
          <w:sz w:val="24"/>
          <w:vertAlign w:val="superscript"/>
          <w:lang w:val="lv-LV"/>
        </w:rPr>
      </w:pPr>
      <w:r w:rsidRPr="00E70FE3">
        <w:rPr>
          <w:rStyle w:val="FootnoteReference"/>
          <w:sz w:val="24"/>
          <w:lang w:val="lv-LV"/>
        </w:rPr>
        <w:footnoteRef/>
      </w:r>
      <w:r w:rsidRPr="00E70FE3" w:rsidR="00E70FE3">
        <w:rPr>
          <w:sz w:val="24"/>
          <w:lang w:val="lv-LV"/>
        </w:rPr>
        <w:t xml:space="preserve"> </w:t>
      </w:r>
      <w:r w:rsidRPr="00E70FE3" w:rsidR="00E70FE3">
        <w:rPr>
          <w:sz w:val="24"/>
          <w:lang w:val="lv-LV"/>
        </w:rPr>
        <w:tab/>
      </w:r>
      <w:r w:rsidRPr="00E70FE3">
        <w:rPr>
          <w:sz w:val="24"/>
          <w:lang w:val="lv-LV"/>
        </w:rPr>
        <w:t xml:space="preserve">Tiesas 2008. gada 21. oktobra spriedums, </w:t>
      </w:r>
      <w:r w:rsidRPr="00E70FE3">
        <w:rPr>
          <w:i/>
          <w:iCs/>
          <w:sz w:val="24"/>
          <w:lang w:val="lv-LV"/>
        </w:rPr>
        <w:t>Marra</w:t>
      </w:r>
      <w:r w:rsidRPr="00E70FE3">
        <w:rPr>
          <w:i/>
          <w:iCs/>
          <w:sz w:val="24"/>
          <w:lang w:val="lv-LV"/>
        </w:rPr>
        <w:t>/</w:t>
      </w:r>
      <w:r w:rsidRPr="00E70FE3">
        <w:rPr>
          <w:i/>
          <w:iCs/>
          <w:sz w:val="24"/>
          <w:lang w:val="lv-LV"/>
        </w:rPr>
        <w:t>De</w:t>
      </w:r>
      <w:r w:rsidRPr="00E70FE3">
        <w:rPr>
          <w:i/>
          <w:iCs/>
          <w:sz w:val="24"/>
          <w:lang w:val="lv-LV"/>
        </w:rPr>
        <w:t xml:space="preserve"> Gregorio</w:t>
      </w:r>
      <w:r w:rsidRPr="00E70FE3">
        <w:rPr>
          <w:sz w:val="24"/>
          <w:lang w:val="lv-LV"/>
        </w:rPr>
        <w:t xml:space="preserve"> un </w:t>
      </w:r>
      <w:r w:rsidRPr="00E70FE3">
        <w:rPr>
          <w:i/>
          <w:iCs/>
          <w:sz w:val="24"/>
          <w:lang w:val="lv-LV"/>
        </w:rPr>
        <w:t>Clemente</w:t>
      </w:r>
      <w:r w:rsidRPr="00E70FE3">
        <w:rPr>
          <w:sz w:val="24"/>
          <w:lang w:val="lv-LV"/>
        </w:rPr>
        <w:t xml:space="preserve">, C-200/07 un C-201/07, ECLI:EU:C:2008:579; Tiesas 2010. gada 19. marta spriedums, </w:t>
      </w:r>
      <w:r w:rsidRPr="00E70FE3">
        <w:rPr>
          <w:i/>
          <w:iCs/>
          <w:sz w:val="24"/>
          <w:lang w:val="lv-LV"/>
        </w:rPr>
        <w:t>Gollnisch</w:t>
      </w:r>
      <w:r w:rsidRPr="00E70FE3">
        <w:rPr>
          <w:sz w:val="24"/>
          <w:lang w:val="lv-LV"/>
        </w:rPr>
        <w:t xml:space="preserve">/Parlaments, T-42/06, ECLI:EU:T:2010:102; Tiesas 2011. gada 6. septembra spriedums, </w:t>
      </w:r>
      <w:r w:rsidRPr="00E70FE3">
        <w:rPr>
          <w:i/>
          <w:iCs/>
          <w:sz w:val="24"/>
          <w:lang w:val="lv-LV"/>
        </w:rPr>
        <w:t>Patriciello</w:t>
      </w:r>
      <w:r w:rsidRPr="00E70FE3">
        <w:rPr>
          <w:sz w:val="24"/>
          <w:lang w:val="lv-LV"/>
        </w:rPr>
        <w:t xml:space="preserve">, C-163/10, ECLI: EU:C:2011:543; Vispārējās tiesas 2013. gada 17. janvāra spriedums, </w:t>
      </w:r>
      <w:r w:rsidRPr="00E70FE3">
        <w:rPr>
          <w:i/>
          <w:iCs/>
          <w:sz w:val="24"/>
          <w:lang w:val="lv-LV"/>
        </w:rPr>
        <w:t>Gollnisch</w:t>
      </w:r>
      <w:r w:rsidRPr="00E70FE3">
        <w:rPr>
          <w:sz w:val="24"/>
          <w:lang w:val="lv-LV"/>
        </w:rPr>
        <w:t xml:space="preserve">/Parlaments, T-346/11 un T-347/11, ECLI:EU:T:2013:23; Tiesas 2019. gada 19. decembra spriedums, </w:t>
      </w:r>
      <w:r w:rsidRPr="00E70FE3">
        <w:rPr>
          <w:i/>
          <w:iCs/>
          <w:sz w:val="24"/>
          <w:lang w:val="lv-LV"/>
        </w:rPr>
        <w:t>Junqueras</w:t>
      </w:r>
      <w:r w:rsidRPr="00E70FE3">
        <w:rPr>
          <w:i/>
          <w:iCs/>
          <w:sz w:val="24"/>
          <w:lang w:val="lv-LV"/>
        </w:rPr>
        <w:t xml:space="preserve"> Vies</w:t>
      </w:r>
      <w:r w:rsidRPr="00E70FE3">
        <w:rPr>
          <w:sz w:val="24"/>
          <w:lang w:val="lv-LV"/>
        </w:rPr>
        <w:t>, C-502/19, ECLI:EU:C:2019:1115.</w:t>
      </w:r>
    </w:p>
    <w:p w:rsidR="00574C5C" w:rsidRPr="00E70FE3" w:rsidP="00E70FE3" w14:paraId="7E34DB6D" w14:textId="0CC77AC2">
      <w:pPr>
        <w:pStyle w:val="FootnoteText"/>
        <w:ind w:left="567" w:hanging="567"/>
        <w:rPr>
          <w:sz w:val="24"/>
          <w:lang w:val="lv-LV"/>
        </w:rPr>
      </w:pPr>
      <w:r w:rsidRPr="00E70FE3">
        <w:rPr>
          <w:sz w:val="24"/>
          <w:lang w:val="lv-LV"/>
        </w:rPr>
        <w:t xml:space="preserve"> </w:t>
      </w:r>
      <w:r w:rsidRPr="00E70FE3">
        <w:rPr>
          <w:sz w:val="24"/>
          <w:lang w:val="lv-LV"/>
        </w:rPr>
        <w:tab/>
      </w:r>
    </w:p>
  </w:footnote>
  <w:footnote w:id="3">
    <w:p w:rsidR="00574C5C" w:rsidRPr="00E70FE3" w:rsidP="00E70FE3" w14:paraId="4CD2CE06" w14:textId="037A38B8">
      <w:pPr>
        <w:pStyle w:val="FootnoteText"/>
        <w:ind w:left="567" w:hanging="567"/>
        <w:rPr>
          <w:sz w:val="24"/>
          <w:lang w:val="lv-LV"/>
        </w:rPr>
      </w:pPr>
      <w:r w:rsidRPr="00E70FE3">
        <w:rPr>
          <w:rStyle w:val="FootnoteReference"/>
          <w:sz w:val="24"/>
          <w:lang w:val="lv-LV"/>
        </w:rPr>
        <w:footnoteRef/>
      </w:r>
      <w:r w:rsidRPr="00E70FE3" w:rsidR="00E70FE3">
        <w:rPr>
          <w:sz w:val="24"/>
          <w:lang w:val="lv-LV"/>
        </w:rPr>
        <w:t xml:space="preserve"> </w:t>
      </w:r>
      <w:r w:rsidRPr="00E70FE3" w:rsidR="00E70FE3">
        <w:rPr>
          <w:sz w:val="24"/>
          <w:lang w:val="lv-LV"/>
        </w:rPr>
        <w:tab/>
      </w:r>
      <w:r w:rsidRPr="00E70FE3">
        <w:rPr>
          <w:sz w:val="24"/>
          <w:lang w:val="lv-LV"/>
        </w:rPr>
        <w:t xml:space="preserve">Vispārējās tiesas 2019. gada 30. aprīļa spriedums, </w:t>
      </w:r>
      <w:r w:rsidRPr="00E70FE3">
        <w:rPr>
          <w:i/>
          <w:iCs/>
          <w:sz w:val="24"/>
          <w:lang w:val="lv-LV"/>
        </w:rPr>
        <w:t>Briois</w:t>
      </w:r>
      <w:r w:rsidRPr="00E70FE3">
        <w:rPr>
          <w:sz w:val="24"/>
          <w:lang w:val="lv-LV"/>
        </w:rPr>
        <w:t>/Parlaments,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70FE3" w14:paraId="12C3184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70FE3" w14:paraId="1CC7E684"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70FE3" w14:paraId="7094DD6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13983723">
    <w:abstractNumId w:val="9"/>
  </w:num>
  <w:num w:numId="2" w16cid:durableId="885947513">
    <w:abstractNumId w:val="9"/>
  </w:num>
  <w:num w:numId="3" w16cid:durableId="1099177629">
    <w:abstractNumId w:val="7"/>
  </w:num>
  <w:num w:numId="4" w16cid:durableId="1587422579">
    <w:abstractNumId w:val="7"/>
  </w:num>
  <w:num w:numId="5" w16cid:durableId="526676105">
    <w:abstractNumId w:val="6"/>
  </w:num>
  <w:num w:numId="6" w16cid:durableId="1539200733">
    <w:abstractNumId w:val="6"/>
  </w:num>
  <w:num w:numId="7" w16cid:durableId="968707397">
    <w:abstractNumId w:val="5"/>
  </w:num>
  <w:num w:numId="8" w16cid:durableId="1196237793">
    <w:abstractNumId w:val="5"/>
  </w:num>
  <w:num w:numId="9" w16cid:durableId="876889095">
    <w:abstractNumId w:val="4"/>
  </w:num>
  <w:num w:numId="10" w16cid:durableId="2094543983">
    <w:abstractNumId w:val="4"/>
  </w:num>
  <w:num w:numId="11" w16cid:durableId="919681855">
    <w:abstractNumId w:val="8"/>
  </w:num>
  <w:num w:numId="12" w16cid:durableId="1374185272">
    <w:abstractNumId w:val="8"/>
  </w:num>
  <w:num w:numId="13" w16cid:durableId="2064984736">
    <w:abstractNumId w:val="3"/>
  </w:num>
  <w:num w:numId="14" w16cid:durableId="1486362136">
    <w:abstractNumId w:val="3"/>
  </w:num>
  <w:num w:numId="15" w16cid:durableId="1120606018">
    <w:abstractNumId w:val="2"/>
  </w:num>
  <w:num w:numId="16" w16cid:durableId="1335765722">
    <w:abstractNumId w:val="2"/>
  </w:num>
  <w:num w:numId="17" w16cid:durableId="1405683033">
    <w:abstractNumId w:val="1"/>
  </w:num>
  <w:num w:numId="18" w16cid:durableId="1395354097">
    <w:abstractNumId w:val="1"/>
  </w:num>
  <w:num w:numId="19" w16cid:durableId="30958893">
    <w:abstractNumId w:val="0"/>
  </w:num>
  <w:num w:numId="20" w16cid:durableId="1025329227">
    <w:abstractNumId w:val="0"/>
  </w:num>
  <w:num w:numId="21" w16cid:durableId="1396858332">
    <w:abstractNumId w:val="9"/>
  </w:num>
  <w:num w:numId="22" w16cid:durableId="1957329999">
    <w:abstractNumId w:val="7"/>
  </w:num>
  <w:num w:numId="23" w16cid:durableId="342977301">
    <w:abstractNumId w:val="6"/>
  </w:num>
  <w:num w:numId="24" w16cid:durableId="547650556">
    <w:abstractNumId w:val="5"/>
  </w:num>
  <w:num w:numId="25" w16cid:durableId="178661253">
    <w:abstractNumId w:val="4"/>
  </w:num>
  <w:num w:numId="26" w16cid:durableId="1732149024">
    <w:abstractNumId w:val="8"/>
  </w:num>
  <w:num w:numId="27" w16cid:durableId="1415974233">
    <w:abstractNumId w:val="3"/>
  </w:num>
  <w:num w:numId="28" w16cid:durableId="823548842">
    <w:abstractNumId w:val="2"/>
  </w:num>
  <w:num w:numId="29" w16cid:durableId="15889140">
    <w:abstractNumId w:val="1"/>
  </w:num>
  <w:num w:numId="30" w16cid:durableId="1808621146">
    <w:abstractNumId w:val="0"/>
  </w:num>
  <w:num w:numId="31" w16cid:durableId="372196363">
    <w:abstractNumId w:val="9"/>
  </w:num>
  <w:num w:numId="32" w16cid:durableId="1449544453">
    <w:abstractNumId w:val="7"/>
  </w:num>
  <w:num w:numId="33" w16cid:durableId="1458837110">
    <w:abstractNumId w:val="6"/>
  </w:num>
  <w:num w:numId="34" w16cid:durableId="2090076161">
    <w:abstractNumId w:val="5"/>
  </w:num>
  <w:num w:numId="35" w16cid:durableId="1150827867">
    <w:abstractNumId w:val="4"/>
  </w:num>
  <w:num w:numId="36" w16cid:durableId="309947864">
    <w:abstractNumId w:val="8"/>
  </w:num>
  <w:num w:numId="37" w16cid:durableId="386534927">
    <w:abstractNumId w:val="3"/>
  </w:num>
  <w:num w:numId="38" w16cid:durableId="1759254483">
    <w:abstractNumId w:val="2"/>
  </w:num>
  <w:num w:numId="39" w16cid:durableId="560949589">
    <w:abstractNumId w:val="1"/>
  </w:num>
  <w:num w:numId="40" w16cid:durableId="1244223870">
    <w:abstractNumId w:val="0"/>
  </w:num>
  <w:num w:numId="41" w16cid:durableId="1672902557">
    <w:abstractNumId w:val="10"/>
  </w:num>
  <w:num w:numId="42" w16cid:durableId="688869805">
    <w:abstractNumId w:val="10"/>
  </w:num>
  <w:num w:numId="43" w16cid:durableId="873344025">
    <w:abstractNumId w:val="10"/>
  </w:num>
  <w:num w:numId="44" w16cid:durableId="11119032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ED4"/>
    <w:rsid w:val="00002272"/>
    <w:rsid w:val="00064002"/>
    <w:rsid w:val="000677B9"/>
    <w:rsid w:val="000831BA"/>
    <w:rsid w:val="000A42CC"/>
    <w:rsid w:val="000E7DD9"/>
    <w:rsid w:val="0010095E"/>
    <w:rsid w:val="00125B37"/>
    <w:rsid w:val="00127B39"/>
    <w:rsid w:val="00187284"/>
    <w:rsid w:val="00187494"/>
    <w:rsid w:val="00197980"/>
    <w:rsid w:val="001F32AE"/>
    <w:rsid w:val="002767FF"/>
    <w:rsid w:val="002B18FE"/>
    <w:rsid w:val="002B5493"/>
    <w:rsid w:val="00310ED4"/>
    <w:rsid w:val="00343214"/>
    <w:rsid w:val="00361C00"/>
    <w:rsid w:val="00395FA1"/>
    <w:rsid w:val="003E15D4"/>
    <w:rsid w:val="00411CCE"/>
    <w:rsid w:val="0041666E"/>
    <w:rsid w:val="00421060"/>
    <w:rsid w:val="00471C19"/>
    <w:rsid w:val="004867E3"/>
    <w:rsid w:val="00494A28"/>
    <w:rsid w:val="004A10BB"/>
    <w:rsid w:val="004C0004"/>
    <w:rsid w:val="004C5D52"/>
    <w:rsid w:val="0050519A"/>
    <w:rsid w:val="005072A1"/>
    <w:rsid w:val="00514517"/>
    <w:rsid w:val="00545827"/>
    <w:rsid w:val="00560270"/>
    <w:rsid w:val="00574C5C"/>
    <w:rsid w:val="005C2568"/>
    <w:rsid w:val="005F1B17"/>
    <w:rsid w:val="006037C0"/>
    <w:rsid w:val="006631B6"/>
    <w:rsid w:val="00680577"/>
    <w:rsid w:val="006B6D97"/>
    <w:rsid w:val="006F74FA"/>
    <w:rsid w:val="007030AC"/>
    <w:rsid w:val="00731ADD"/>
    <w:rsid w:val="00734777"/>
    <w:rsid w:val="00747932"/>
    <w:rsid w:val="00751A4A"/>
    <w:rsid w:val="00756632"/>
    <w:rsid w:val="00762C74"/>
    <w:rsid w:val="00786EC0"/>
    <w:rsid w:val="00793897"/>
    <w:rsid w:val="007D1690"/>
    <w:rsid w:val="007E22AD"/>
    <w:rsid w:val="00817416"/>
    <w:rsid w:val="00842779"/>
    <w:rsid w:val="00864B47"/>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5C2C"/>
    <w:rsid w:val="00BB0FA2"/>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2A7E"/>
    <w:rsid w:val="00E365E1"/>
    <w:rsid w:val="00E70FE3"/>
    <w:rsid w:val="00E820A4"/>
    <w:rsid w:val="00EB006A"/>
    <w:rsid w:val="00EB4772"/>
    <w:rsid w:val="00ED169E"/>
    <w:rsid w:val="00ED4235"/>
    <w:rsid w:val="00F04346"/>
    <w:rsid w:val="00F075DC"/>
    <w:rsid w:val="00F149E9"/>
    <w:rsid w:val="00F5134D"/>
    <w:rsid w:val="00F62DB1"/>
    <w:rsid w:val="00F74202"/>
    <w:rsid w:val="00F87713"/>
    <w:rsid w:val="00FB4360"/>
    <w:rsid w:val="00FD0C70"/>
  </w:rsids>
  <w:docVars>
    <w:docVar w:name="dvdocse" w:val="A10-0108/2026"/>
    <w:docVar w:name="dvlangue" w:val="LV"/>
    <w:docVar w:name="dvnumam" w:val="0"/>
    <w:docVar w:name="dvpe" w:val="786.688"/>
    <w:docVar w:name="dvrapporteur" w:val="Referents: "/>
    <w:docVar w:name="dvtitre" w:val="Eiropas Parlamenta 2026. gada XX. XXX lēmums par pieprasījumu atcelt Patryk Jaki imunitāti(2025/2171(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2E2D260"/>
  <w15:chartTrackingRefBased/>
  <w15:docId w15:val="{ABAA22F0-EBC9-496A-8AF1-2C9BBF55B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574C5C"/>
    <w:rPr>
      <w:b/>
    </w:rPr>
  </w:style>
  <w:style w:type="paragraph" w:customStyle="1" w:styleId="NormalHanging12a">
    <w:name w:val="NormalHanging12a"/>
    <w:basedOn w:val="Normal"/>
    <w:rsid w:val="00574C5C"/>
    <w:pPr>
      <w:spacing w:after="240"/>
      <w:ind w:left="567" w:hanging="567"/>
    </w:pPr>
  </w:style>
  <w:style w:type="paragraph" w:customStyle="1" w:styleId="EPComma">
    <w:name w:val="EPComma"/>
    <w:basedOn w:val="Normal"/>
    <w:rsid w:val="00574C5C"/>
    <w:pPr>
      <w:spacing w:before="480" w:after="240"/>
    </w:pPr>
  </w:style>
  <w:style w:type="paragraph" w:styleId="Revision">
    <w:name w:val="Revision"/>
    <w:hidden/>
    <w:uiPriority w:val="99"/>
    <w:semiHidden/>
    <w:rsid w:val="006B6D97"/>
    <w:rPr>
      <w:sz w:val="24"/>
      <w:lang w:val="lv-LV"/>
    </w:rPr>
  </w:style>
  <w:style w:type="character" w:styleId="CommentReference">
    <w:name w:val="annotation reference"/>
    <w:basedOn w:val="DefaultParagraphFont"/>
    <w:rsid w:val="00197980"/>
    <w:rPr>
      <w:sz w:val="16"/>
      <w:szCs w:val="16"/>
    </w:rPr>
  </w:style>
  <w:style w:type="paragraph" w:styleId="CommentText">
    <w:name w:val="annotation text"/>
    <w:basedOn w:val="Normal"/>
    <w:link w:val="CommentTextChar"/>
    <w:rsid w:val="00197980"/>
    <w:rPr>
      <w:sz w:val="20"/>
    </w:rPr>
  </w:style>
  <w:style w:type="character" w:customStyle="1" w:styleId="CommentTextChar">
    <w:name w:val="Comment Text Char"/>
    <w:basedOn w:val="DefaultParagraphFont"/>
    <w:link w:val="CommentText"/>
    <w:rsid w:val="00197980"/>
    <w:rPr>
      <w:lang w:val="lv-LV"/>
    </w:rPr>
  </w:style>
  <w:style w:type="paragraph" w:styleId="CommentSubject">
    <w:name w:val="annotation subject"/>
    <w:basedOn w:val="CommentText"/>
    <w:next w:val="CommentText"/>
    <w:link w:val="CommentSubjectChar"/>
    <w:rsid w:val="00197980"/>
    <w:rPr>
      <w:b/>
      <w:bCs/>
    </w:rPr>
  </w:style>
  <w:style w:type="character" w:customStyle="1" w:styleId="CommentSubjectChar">
    <w:name w:val="Comment Subject Char"/>
    <w:basedOn w:val="CommentTextChar"/>
    <w:link w:val="CommentSubject"/>
    <w:rsid w:val="00197980"/>
    <w:rPr>
      <w:b/>
      <w:bCs/>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747</Words>
  <Characters>4699</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2026-06-05T08:47:00Z</dcterms:created>
  <dcterms:modified xsi:type="dcterms:W3CDTF">2026-06-05T08:47:00Z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A10-0108/2026</vt:lpwstr>
  </property>
  <property fmtid="{D5CDD505-2E9C-101B-9397-08002B2CF9AE}" pid="4" name="&lt;Type&gt;">
    <vt:lpwstr>RR</vt:lpwstr>
  </property>
</Properties>
</file>