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F4548B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D7598" w:rsidP="0010095E" w14:paraId="269AB0F0" w14:textId="77777777">
            <w:pPr>
              <w:pStyle w:val="EPName"/>
            </w:pPr>
            <w:r w:rsidRPr="00BD7598">
              <w:t>Parlament Ewropew</w:t>
            </w:r>
          </w:p>
          <w:p w:rsidR="00751A4A" w:rsidRPr="00BD7598" w:rsidP="005F1B17" w14:paraId="1782BCA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D7598">
              <w:t>2024</w:t>
            </w:r>
            <w:r w:rsidRPr="00BD7598" w:rsidR="00817416">
              <w:t>-202</w:t>
            </w:r>
            <w:r w:rsidRPr="00BD759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D7598" w:rsidP="0010095E" w14:paraId="0D8D42B8" w14:textId="77777777">
            <w:pPr>
              <w:pStyle w:val="EPLogo"/>
            </w:pPr>
            <w:r w:rsidRPr="00BD759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D7598" w:rsidP="004C5D52" w14:paraId="20034CFB" w14:textId="77777777">
      <w:pPr>
        <w:pStyle w:val="LineTop"/>
      </w:pPr>
    </w:p>
    <w:p w:rsidR="00680577" w:rsidRPr="00BD7598" w:rsidP="00680577" w14:paraId="39ACEB29" w14:textId="77777777">
      <w:pPr>
        <w:pStyle w:val="EPBodyTA1"/>
      </w:pPr>
      <w:r w:rsidRPr="00BD7598">
        <w:t>TESTI ADOTTATI</w:t>
      </w:r>
    </w:p>
    <w:p w:rsidR="00D058B8" w:rsidRPr="00BD7598" w:rsidP="00D058B8" w14:paraId="39C663A7" w14:textId="77777777">
      <w:pPr>
        <w:pStyle w:val="LineBottom"/>
      </w:pPr>
    </w:p>
    <w:p w:rsidR="00E0320B" w:rsidRPr="00BD7598" w:rsidP="00E0320B" w14:paraId="0AE9DCC1" w14:textId="5610F9BA">
      <w:pPr>
        <w:pStyle w:val="ATHeading1"/>
      </w:pPr>
      <w:bookmarkStart w:id="0" w:name="TANumber"/>
      <w:r w:rsidRPr="00BD7598">
        <w:t>P10_TA(2026)0</w:t>
      </w:r>
      <w:bookmarkEnd w:id="0"/>
      <w:r w:rsidR="00D4688A">
        <w:t>105</w:t>
      </w:r>
    </w:p>
    <w:p w:rsidR="00A50ED2" w:rsidRPr="00A50ED2" w:rsidP="00A50ED2" w14:paraId="4CF46EE7" w14:textId="7FFEA917">
      <w:pPr>
        <w:pStyle w:val="ATHeading2"/>
      </w:pPr>
      <w:bookmarkStart w:id="1" w:name="title"/>
      <w:r>
        <w:t>T</w:t>
      </w:r>
      <w:r w:rsidRPr="00A50ED2">
        <w:t>alba għat-tneħħija tal-immunità ta’</w:t>
      </w:r>
      <w:r w:rsidRPr="00AF332C">
        <w:t>Patryk Jaki</w:t>
      </w:r>
    </w:p>
    <w:bookmarkEnd w:id="1"/>
    <w:p w:rsidR="00E0320B" w:rsidRPr="00BD7598" w:rsidP="00E0320B" w14:paraId="06C8B04B" w14:textId="77777777">
      <w:pPr>
        <w:rPr>
          <w:i/>
          <w:vanish/>
        </w:rPr>
      </w:pPr>
      <w:r>
        <w:rPr>
          <w:i/>
        </w:rPr>
        <w:fldChar w:fldCharType="begin"/>
      </w:r>
      <w:r w:rsidRPr="00BD7598">
        <w:rPr>
          <w:i/>
        </w:rPr>
        <w:instrText xml:space="preserve"> TC"(</w:instrText>
      </w:r>
      <w:bookmarkStart w:id="2" w:name="DocNumber"/>
      <w:r w:rsidRPr="00BD7598">
        <w:rPr>
          <w:i/>
        </w:rPr>
        <w:instrText>A10-0108/2026</w:instrText>
      </w:r>
      <w:bookmarkEnd w:id="2"/>
      <w:r w:rsidRPr="00BD7598">
        <w:rPr>
          <w:i/>
        </w:rPr>
        <w:instrText xml:space="preserve"> - </w:instrText>
      </w:r>
      <w:r w:rsidRPr="00BD7598">
        <w:rPr>
          <w:i/>
        </w:rPr>
        <w:instrText>Rapporteur</w:instrText>
      </w:r>
      <w:r w:rsidRPr="00BD7598">
        <w:rPr>
          <w:i/>
        </w:rPr>
        <w:instrText xml:space="preserve">: Adrián Vázquez Lázara)"\l3 \n&gt; \* MERGEFORMAT </w:instrText>
      </w:r>
      <w:r>
        <w:rPr>
          <w:i/>
        </w:rPr>
        <w:fldChar w:fldCharType="end"/>
      </w:r>
    </w:p>
    <w:p w:rsidR="00E0320B" w:rsidRPr="00BD7598" w:rsidP="00E0320B" w14:paraId="5C1FEF55" w14:textId="77777777">
      <w:pPr>
        <w:rPr>
          <w:vanish/>
        </w:rPr>
      </w:pPr>
      <w:bookmarkStart w:id="3" w:name="Commission"/>
      <w:r w:rsidRPr="00BD7598">
        <w:rPr>
          <w:vanish/>
        </w:rPr>
        <w:t>Kumitat għall-Affarijiet Legali</w:t>
      </w:r>
      <w:bookmarkEnd w:id="3"/>
    </w:p>
    <w:p w:rsidR="00E0320B" w:rsidRPr="00BD7598" w:rsidP="00E0320B" w14:paraId="502D71A9" w14:textId="77777777">
      <w:pPr>
        <w:rPr>
          <w:vanish/>
        </w:rPr>
      </w:pPr>
      <w:bookmarkStart w:id="4" w:name="PE"/>
      <w:r w:rsidRPr="00BD7598">
        <w:rPr>
          <w:vanish/>
        </w:rPr>
        <w:t>PE786.688</w:t>
      </w:r>
      <w:bookmarkEnd w:id="4"/>
    </w:p>
    <w:p w:rsidR="00E0320B" w:rsidRPr="00BD7598" w:rsidP="00E0320B" w14:paraId="7A6E3BCE" w14:textId="45419A03">
      <w:pPr>
        <w:pStyle w:val="ATHeading3"/>
      </w:pPr>
      <w:bookmarkStart w:id="5" w:name="Sujet"/>
      <w:r w:rsidRPr="00BD7598">
        <w:t xml:space="preserve">Deċiżjoni tal-Parlament Ewropew </w:t>
      </w:r>
      <w:r w:rsidR="00A50ED2">
        <w:t>tat-28 ta’ April</w:t>
      </w:r>
      <w:r w:rsidRPr="00BD7598">
        <w:t xml:space="preserve"> 2026 dwar it-talba għat-tneħħija tal-immunità ta’ Patryk Jaki</w:t>
      </w:r>
      <w:bookmarkEnd w:id="5"/>
      <w:r w:rsidRPr="00BD7598">
        <w:t xml:space="preserve"> </w:t>
      </w:r>
      <w:bookmarkStart w:id="6" w:name="References"/>
      <w:r w:rsidRPr="00BD7598">
        <w:t>(2025/2171(IMM))</w:t>
      </w:r>
      <w:bookmarkEnd w:id="6"/>
    </w:p>
    <w:p w:rsidR="00A724A0" w:rsidRPr="00BD7598" w:rsidP="00A724A0" w14:paraId="03BE62D2" w14:textId="77777777">
      <w:pPr>
        <w:pStyle w:val="EPComma"/>
      </w:pPr>
      <w:bookmarkStart w:id="7" w:name="TextBodyBegin"/>
      <w:bookmarkEnd w:id="7"/>
      <w:r w:rsidRPr="00BD7598">
        <w:rPr>
          <w:i/>
        </w:rPr>
        <w:t>Il-Parlament Ewropew</w:t>
      </w:r>
      <w:r w:rsidRPr="00BD7598">
        <w:t>,</w:t>
      </w:r>
    </w:p>
    <w:p w:rsidR="00A724A0" w:rsidRPr="00BD7598" w:rsidP="00A724A0" w14:paraId="39E1D593" w14:textId="16078F0B">
      <w:pPr>
        <w:pStyle w:val="NormalHanging12a"/>
      </w:pPr>
      <w:r w:rsidRPr="00BD7598">
        <w:t>–</w:t>
      </w:r>
      <w:r w:rsidRPr="00BD7598">
        <w:tab/>
        <w:t xml:space="preserve">wara li kkunsidra t-talba għat-tneħħija tal-immunità ta’ Patryk Jaki, imressqa mill-Qorti Distrettwali għal </w:t>
      </w:r>
      <w:r w:rsidRPr="00BD7598">
        <w:t>Warsaw-Śródmieście</w:t>
      </w:r>
      <w:r w:rsidR="00A50ED2">
        <w:t xml:space="preserve"> </w:t>
      </w:r>
      <w:r w:rsidRPr="00BD7598" w:rsidR="00A50ED2">
        <w:t>permezz ta’ ittra bid-data tas-6 ta’ Awwissu 2025</w:t>
      </w:r>
      <w:r w:rsidR="00A50ED2">
        <w:t>,</w:t>
      </w:r>
      <w:r w:rsidRPr="00BD7598">
        <w:t xml:space="preserve"> b’rabta mal-proċedimenti kriminali mressqa kontrih permezz ta’ att ta’ akkuża privat ippreżentat mir-rappreżentant legali tal-prosekutur privat u mħabbra fil-Parlament fit-8 ta’ Settembru 2025,</w:t>
      </w:r>
    </w:p>
    <w:p w:rsidR="00A724A0" w:rsidRPr="00BD7598" w:rsidP="00A724A0" w14:paraId="27CB4697" w14:textId="77777777">
      <w:pPr>
        <w:pStyle w:val="NormalHanging12a"/>
      </w:pPr>
      <w:r w:rsidRPr="00BD7598">
        <w:t>–</w:t>
      </w:r>
      <w:r w:rsidRPr="00BD7598">
        <w:tab/>
        <w:t>wara li sema’ lil Patryk Jaki fit-23 ta’ Marzu 2026, skont l-Artikolu 9(6) tar-Regoli ta’ Proċedura tiegħu,</w:t>
      </w:r>
    </w:p>
    <w:p w:rsidR="00A724A0" w:rsidRPr="00BD7598" w:rsidP="00A724A0" w14:paraId="3C5FCEB2" w14:textId="77777777">
      <w:pPr>
        <w:pStyle w:val="NormalHanging12a"/>
      </w:pPr>
      <w:r w:rsidRPr="00BD7598">
        <w:t>–</w:t>
      </w:r>
      <w:r w:rsidRPr="00BD7598">
        <w:tab/>
        <w:t>wara li kkunsidra l-Artikoli 8 u 9 tal-Protokoll Nru 7 dwar il-Privileġġi u l-Immunitajiet tal-Unjoni Ewropea, kif ukoll l-Artikolu 6(2) tal-Att tal-20 ta’ Settembru 1976 dwar l-elezzjoni tal-membri tal-Parlament Ewropew b’vot dirett universali,</w:t>
      </w:r>
    </w:p>
    <w:p w:rsidR="00A724A0" w:rsidRPr="00BD7598" w:rsidP="00A724A0" w14:paraId="42895336" w14:textId="5F69B57B">
      <w:pPr>
        <w:pStyle w:val="NormalHanging12a"/>
      </w:pPr>
      <w:r w:rsidRPr="00BD7598">
        <w:t>–</w:t>
      </w:r>
      <w:r w:rsidRPr="00BD7598">
        <w:tab/>
        <w:t>wara li kkunsidra s-sentenzi mogħtija mill-Qorti tal-Ġustizzja tal-Unjoni Ewropea fil-21 ta’ Ottubru 2008, fid-19 ta’ Marzu 2010, fis-6 ta’ Settembru 2011, fis-17 ta’ Jannar 2013 u fid-19 ta</w:t>
      </w:r>
      <w:r w:rsidR="00053FAC">
        <w:t>’</w:t>
      </w:r>
      <w:r w:rsidRPr="00BD7598">
        <w:t xml:space="preserve"> Diċembru 2019</w:t>
      </w:r>
      <w:r>
        <w:rPr>
          <w:vertAlign w:val="superscript"/>
        </w:rPr>
        <w:footnoteReference w:id="2"/>
      </w:r>
      <w:r w:rsidRPr="00BD7598">
        <w:t>,</w:t>
      </w:r>
    </w:p>
    <w:p w:rsidR="00A724A0" w:rsidRPr="00BD7598" w:rsidP="00A724A0" w14:paraId="294A2293" w14:textId="77777777">
      <w:pPr>
        <w:pStyle w:val="NormalHanging12a"/>
      </w:pPr>
      <w:r w:rsidRPr="00BD7598">
        <w:t>–</w:t>
      </w:r>
      <w:r w:rsidRPr="00BD7598">
        <w:tab/>
        <w:t>wara li kkunsidra l-Artikolu 105(2) u (5) tal-Kostituzzjoni tar-Repubblika tal-Polonja,</w:t>
      </w:r>
    </w:p>
    <w:p w:rsidR="00A724A0" w:rsidRPr="00BD7598" w:rsidP="00A724A0" w14:paraId="1C1D20B8" w14:textId="77777777">
      <w:pPr>
        <w:pStyle w:val="NormalHanging12a"/>
      </w:pPr>
      <w:r w:rsidRPr="00BD7598">
        <w:t>–</w:t>
      </w:r>
      <w:r w:rsidRPr="00BD7598">
        <w:tab/>
        <w:t xml:space="preserve">wara li kkunsidra l-Artikolu 5(2), l-Artikolu 6(1) u l-Artikolu 9 tar-Regoli ta’ Proċedura </w:t>
      </w:r>
      <w:r w:rsidRPr="00BD7598">
        <w:t>tiegħu,</w:t>
      </w:r>
    </w:p>
    <w:p w:rsidR="00A724A0" w:rsidRPr="00BD7598" w:rsidP="00A724A0" w14:paraId="247CF8FB" w14:textId="77777777">
      <w:pPr>
        <w:pStyle w:val="NormalHanging12a"/>
      </w:pPr>
      <w:r w:rsidRPr="00BD7598">
        <w:t>–</w:t>
      </w:r>
      <w:r w:rsidRPr="00BD7598">
        <w:tab/>
        <w:t>wara li kkunsidra r-rapport tal-Kumitat għall-Affarijiet Legali (A10-0108/2026),</w:t>
      </w:r>
    </w:p>
    <w:p w:rsidR="00A724A0" w:rsidRPr="00BD7598" w:rsidP="00A724A0" w14:paraId="69686942" w14:textId="77777777">
      <w:pPr>
        <w:pStyle w:val="NormalHanging12a"/>
      </w:pPr>
      <w:r w:rsidRPr="00BD7598">
        <w:t>A.</w:t>
      </w:r>
      <w:r w:rsidRPr="00BD7598">
        <w:tab/>
        <w:t xml:space="preserve">billi, permezz ta’ ittra bid-data tas-6 ta’ Awwissu 2025, il-Qorti Distrettwali għal </w:t>
      </w:r>
      <w:r w:rsidRPr="00BD7598">
        <w:t>Warsaw-Śródmieście</w:t>
      </w:r>
      <w:r w:rsidRPr="00BD7598">
        <w:t xml:space="preserve"> ressqet talba għat-tneħħija tal-immunità ta’ Patryk Jaki, </w:t>
      </w:r>
      <w:bookmarkStart w:id="8" w:name="_Hlk222405545"/>
      <w:r w:rsidRPr="00BD7598">
        <w:t>Membru tal-Parlament Ewropew elett fil-Polonja</w:t>
      </w:r>
      <w:bookmarkEnd w:id="8"/>
      <w:r w:rsidRPr="00BD7598">
        <w:t>, b’rabta ma’ proċedimenti kriminali mressqa quddiemha għal allegat reat soġġett għal prosekuzzjoni privata;</w:t>
      </w:r>
    </w:p>
    <w:p w:rsidR="008E7230" w:rsidRPr="00A53676" w:rsidP="008E7230" w14:paraId="09226698" w14:textId="6DF4D9E4">
      <w:pPr>
        <w:pStyle w:val="NormalHanging12a"/>
      </w:pPr>
      <w:r w:rsidRPr="00BD7598">
        <w:t>B.</w:t>
      </w:r>
      <w:r w:rsidRPr="00BD7598">
        <w:tab/>
        <w:t xml:space="preserve">billi, skont it-talba, matul il-perjodu mill-5 ta’ Ġunju 2024 sas-7 ta’ Ġunju 2024, filwaqt li aġixxa b’mod rapidu u kontinwu sabiex iwettaq pjan </w:t>
      </w:r>
      <w:r w:rsidRPr="00BD7598">
        <w:t>premeditat</w:t>
      </w:r>
      <w:r w:rsidRPr="00BD7598">
        <w:t xml:space="preserve">, u b’intenzjoni diretta, Patryk Jaki allegatament </w:t>
      </w:r>
      <w:r w:rsidRPr="00BD7598">
        <w:t>immalafama</w:t>
      </w:r>
      <w:r w:rsidRPr="00BD7598">
        <w:t xml:space="preserve"> lill-prosekutur privat – imħallef – b’dan il-mod: (i) matul laqgħa tal-kampanja elettorali f’</w:t>
      </w:r>
      <w:r w:rsidRPr="00BD7598">
        <w:t>Będzin</w:t>
      </w:r>
      <w:r w:rsidRPr="00BD7598">
        <w:t xml:space="preserve"> fil-5 ta’ Ġunju 2024, fi skambju ma’ wieħed mill-persuni preżenti għal-laqgħa, Patryk Jaki </w:t>
      </w:r>
      <w:r w:rsidRPr="008E7230">
        <w:t>allegatament</w:t>
      </w:r>
      <w:r>
        <w:t xml:space="preserve"> </w:t>
      </w:r>
      <w:r w:rsidRPr="00BD7598">
        <w:t xml:space="preserve">għamel dikjarazzjonijiet dwar il-prosekutur privat fejn </w:t>
      </w:r>
      <w:r>
        <w:t>sostna</w:t>
      </w:r>
      <w:r w:rsidR="00795DBA">
        <w:t xml:space="preserve"> li dan tal-aħħar</w:t>
      </w:r>
      <w:r w:rsidRPr="00BD7598">
        <w:t xml:space="preserve"> mingħajr ma kien jaf awtorizza l-użu ta’ </w:t>
      </w:r>
      <w:r w:rsidRPr="00BD7598">
        <w:t>Pegasus</w:t>
      </w:r>
      <w:r w:rsidRPr="00BD7598">
        <w:t xml:space="preserve"> </w:t>
      </w:r>
      <w:r w:rsidRPr="00BD7598">
        <w:t>spyware</w:t>
      </w:r>
      <w:r w:rsidRPr="00BD7598">
        <w:t>, u (</w:t>
      </w:r>
      <w:r w:rsidRPr="00BD7598">
        <w:t>ii</w:t>
      </w:r>
      <w:r w:rsidRPr="00BD7598">
        <w:t xml:space="preserve">) fis-7 ta’ Ġunju 2024 Patryk Jaki mbagħad allegatament xerred ir-recording </w:t>
      </w:r>
      <w:r w:rsidR="00A50ED2">
        <w:t xml:space="preserve">ta’ dak </w:t>
      </w:r>
      <w:r w:rsidRPr="00BD7598">
        <w:t>l-iskambju ma</w:t>
      </w:r>
      <w:r w:rsidR="00795DBA">
        <w:t>dwar i</w:t>
      </w:r>
      <w:r w:rsidRPr="00BD7598">
        <w:t>l-pajjiż kollu permezz tal-media tal-massa (</w:t>
      </w:r>
      <w:r w:rsidRPr="00BD7598">
        <w:t>i.e</w:t>
      </w:r>
      <w:r w:rsidRPr="00BD7598">
        <w:t xml:space="preserve">. il-pjattaformi tal-media soċjali </w:t>
      </w:r>
      <w:r w:rsidRPr="00BD7598">
        <w:t>Instagram</w:t>
      </w:r>
      <w:r w:rsidRPr="00BD7598">
        <w:t xml:space="preserve">, </w:t>
      </w:r>
      <w:r w:rsidRPr="00BD7598">
        <w:t>Facebook</w:t>
      </w:r>
      <w:r w:rsidRPr="00BD7598">
        <w:t xml:space="preserve"> u X (Twitter)), fejn </w:t>
      </w:r>
      <w:r w:rsidR="00795DBA">
        <w:t xml:space="preserve">sostna </w:t>
      </w:r>
      <w:r w:rsidRPr="00BD7598">
        <w:t>li l-prosekutur privat kien ittraskura dmirijietu bħala mħallef relatati mat-twettiq ta’ “investigazzjonijiet u verifiki” mhux speċifikati fir-rigward tal-metodu ta’ sorveljanza operazzjonali fil-kuntest tal-kunsiderazzjoni ta’ talbiet għal ordnijiet ta’ sorveljanza, li huwa eżerċita l-professjoni tiegħu bħala mħallef b’mod mhux xieraq, u li kien ippreġudikat minħabba li kien taħt l-influwenza ta’ partit politiku;</w:t>
      </w:r>
    </w:p>
    <w:p w:rsidR="00A724A0" w:rsidRPr="00BD7598" w:rsidP="00A724A0" w14:paraId="035DCDB2" w14:textId="77777777">
      <w:pPr>
        <w:pStyle w:val="NormalHanging12a"/>
      </w:pPr>
      <w:r w:rsidRPr="00BD7598">
        <w:t>C.</w:t>
      </w:r>
      <w:r w:rsidRPr="00BD7598">
        <w:tab/>
        <w:t xml:space="preserve">billi Patryk Jaki għalhekk allegatament </w:t>
      </w:r>
      <w:r w:rsidRPr="00BD7598">
        <w:t>immalafama</w:t>
      </w:r>
      <w:r w:rsidRPr="00BD7598">
        <w:t xml:space="preserve"> lill-prosekutur privat bl-intenzjoni diretta li </w:t>
      </w:r>
      <w:r w:rsidRPr="00BD7598">
        <w:t>jumiljah</w:t>
      </w:r>
      <w:r w:rsidRPr="00BD7598">
        <w:t xml:space="preserve"> mal-pubbliku u jagħmel ħsara lir-reputazzjoni tiegħu, kif ukoll iġiegħlu jitlef il-fiduċja meħtieġa għat-twettiq ta’ dmirijietu bħala mħallef; billi l-azzjonijiet allegati jistgħu jikkostitwixxu reat skont l-Artikolu 212(1), flimkien mal-Artikolu 212(2) u l-Artikolu 12(1), tal-Kodiċi Kriminali </w:t>
      </w:r>
      <w:r w:rsidRPr="00BD7598">
        <w:t>Polakk</w:t>
      </w:r>
      <w:r w:rsidRPr="00BD7598">
        <w:t>;</w:t>
      </w:r>
    </w:p>
    <w:p w:rsidR="00A724A0" w:rsidRPr="00BD7598" w:rsidP="00A724A0" w14:paraId="40A8D086" w14:textId="77777777">
      <w:pPr>
        <w:pStyle w:val="NormalHanging12a"/>
      </w:pPr>
      <w:r w:rsidRPr="00BD7598">
        <w:t>D.</w:t>
      </w:r>
      <w:r w:rsidRPr="00BD7598">
        <w:tab/>
        <w:t>billi Patryk Jaki ġie elett fil-Parlament Ewropew fl-elezzjonijiet Ewropej ta’ Ġunju 2019 u kien, għalhekk, Membru tal-Parlament Ewropew fi żmien l-allegat reat;</w:t>
      </w:r>
    </w:p>
    <w:p w:rsidR="00A724A0" w:rsidRPr="00BD7598" w:rsidP="00A724A0" w14:paraId="27547AA0" w14:textId="77777777">
      <w:pPr>
        <w:pStyle w:val="NormalHanging12a"/>
      </w:pPr>
      <w:r w:rsidRPr="00BD7598">
        <w:t>E.</w:t>
      </w:r>
      <w:r w:rsidRPr="00BD7598">
        <w:tab/>
        <w:t xml:space="preserve">billi l-allegat reat ma </w:t>
      </w:r>
      <w:r w:rsidRPr="00BD7598">
        <w:t>jikkostitwix</w:t>
      </w:r>
      <w:r w:rsidRPr="00BD7598">
        <w:t xml:space="preserve"> opinjoni espressa jew vot mitfugħ minnu fil-qadi ta’ dmirijietu skont it-tifsira tal-Artikolu 8 tal-Protokoll Nru 7 dwar il-Privileġġi u l-Immunitajiet tal-Unjoni Ewropea, u t-talba sussegwenti għat-tneħħija tal-immunità ta’ Patryk Jaki mhijiex relatata ma’ dawn;</w:t>
      </w:r>
    </w:p>
    <w:p w:rsidR="00A724A0" w:rsidRPr="00BD7598" w:rsidP="00A724A0" w14:paraId="6EF10CB6" w14:textId="68B064CF">
      <w:pPr>
        <w:pStyle w:val="NormalHanging12a"/>
      </w:pPr>
      <w:r w:rsidRPr="00BD7598">
        <w:t>F.</w:t>
      </w:r>
      <w:r w:rsidRPr="00BD7598">
        <w:tab/>
        <w:t xml:space="preserve">billi l-Artikolu 9, l-ewwel paragrafu, il-punt (a), tal-Protokoll Nru 7 dwar il-Privileġġi u l-Immunitajiet tal-Unjoni Ewropea jipprevedi li, waqt is-sessjonijiet tal-Parlament Ewropew, il-Membri tal-Parlament Ewropew għandhom igawdu, fit-territorju tal-Istat </w:t>
      </w:r>
      <w:r w:rsidR="008E7230">
        <w:t xml:space="preserve">Membru </w:t>
      </w:r>
      <w:r w:rsidRPr="00BD7598">
        <w:t>tagħhom stess, l-</w:t>
      </w:r>
      <w:r w:rsidRPr="00BD7598">
        <w:t>immunitajiet</w:t>
      </w:r>
      <w:r w:rsidRPr="00BD7598">
        <w:t xml:space="preserve"> mogħtija lill-membri tal-parlament tal-Istat Membru tagħhom;</w:t>
      </w:r>
    </w:p>
    <w:p w:rsidR="00A724A0" w:rsidRPr="00BD7598" w:rsidP="00A724A0" w14:paraId="308191FD" w14:textId="6557FE92">
      <w:pPr>
        <w:pStyle w:val="NormalHanging12a"/>
      </w:pPr>
      <w:r w:rsidRPr="00BD7598">
        <w:t>G.</w:t>
      </w:r>
      <w:r w:rsidRPr="00BD7598">
        <w:tab/>
        <w:t xml:space="preserve">billi, skont l-Artikolu 105(2) u (5) tal-Kostituzzjoni </w:t>
      </w:r>
      <w:r w:rsidR="008E7230">
        <w:t>tar-Repubblika tal-</w:t>
      </w:r>
      <w:r w:rsidRPr="00BD7598">
        <w:t>Pol</w:t>
      </w:r>
      <w:r w:rsidR="008E7230">
        <w:t>onja</w:t>
      </w:r>
      <w:r w:rsidRPr="00BD7598">
        <w:t xml:space="preserve">, mill-jum li fih jitħabbru r-riżultati tal-elezzjonijiet sal-jum tal-iskadenza tal-mandat tiegħu, deputat ma jistax ikun soġġett għal responsabbiltà kriminali mingħajr l-approvazzjoni </w:t>
      </w:r>
      <w:r w:rsidRPr="00BD7598">
        <w:t>tas-Sejm</w:t>
      </w:r>
      <w:r w:rsidRPr="00BD7598">
        <w:t xml:space="preserve">, u lanqas ma jista’ jiġi detenut jew arrestat mingħajr l-approvazzjoni </w:t>
      </w:r>
      <w:r w:rsidRPr="00BD7598">
        <w:t>tas-Sejm</w:t>
      </w:r>
      <w:r w:rsidRPr="00BD7598">
        <w:t>, għajr f’każijiet meta jkun inqabad iwettaq reat u fejn id-detenzjoni tiegħu tkun meħtieġa biex jiġi żgurat l-andament xieraq tal-proċedimenti;</w:t>
      </w:r>
    </w:p>
    <w:p w:rsidR="00A724A0" w:rsidRPr="00BD7598" w:rsidP="00A724A0" w14:paraId="75CA51BA" w14:textId="77777777">
      <w:pPr>
        <w:pStyle w:val="NormalHanging12a"/>
      </w:pPr>
      <w:r w:rsidRPr="00BD7598">
        <w:t>H.</w:t>
      </w:r>
      <w:r w:rsidRPr="00BD7598">
        <w:tab/>
        <w:t>billi l-għan tal-immunità</w:t>
      </w:r>
      <w:bookmarkStart w:id="9" w:name="_Hlk222405989"/>
      <w:r w:rsidRPr="00BD7598">
        <w:t xml:space="preserve"> prevista fil-Protokoll Nru 7 dwar il-Privileġġi u l-Immunitajiet tal-Unjoni Ewropea</w:t>
      </w:r>
      <w:bookmarkEnd w:id="9"/>
      <w:r w:rsidRPr="00BD7598">
        <w:t xml:space="preserve"> huwa li tipproteġi lill-Parlament u lill-Membri tiegħu minn proċedimenti legali fir-rigward ta’ attivitajiet imwettqa fil-qadi tad-dmirijiet parlamentari u li ma jistgħux jiġu separati minn dawk id-dmirijiet;</w:t>
      </w:r>
    </w:p>
    <w:p w:rsidR="00A724A0" w:rsidRPr="00BD7598" w:rsidP="00A724A0" w14:paraId="6DAE3CF6" w14:textId="77777777">
      <w:pPr>
        <w:pStyle w:val="NormalHanging12a"/>
      </w:pPr>
      <w:r w:rsidRPr="00BD7598">
        <w:t>I.</w:t>
      </w:r>
      <w:r w:rsidRPr="00BD7598">
        <w:tab/>
        <w:t>billi, skont l-Artikolu 5(2) tar-Regoli ta’ Proċedura tiegħu, l-immunità parlamentari mhix privileġġ personali tal-Membru iżda garanzija tal-indipendenza tal-Parlament kollu kemm hu u tal-Membri tiegħu;</w:t>
      </w:r>
    </w:p>
    <w:p w:rsidR="00A724A0" w:rsidRPr="00BD7598" w:rsidP="00A724A0" w14:paraId="506594E3" w14:textId="7BCE02AC">
      <w:pPr>
        <w:pStyle w:val="NormalHanging12a"/>
      </w:pPr>
      <w:r w:rsidRPr="00BD7598">
        <w:t>J.</w:t>
      </w:r>
      <w:r w:rsidRPr="00BD7598">
        <w:tab/>
        <w:t xml:space="preserve">billi, f’dan il-każ, il-Parlament ma sab l-ebda evidenza ta’ </w:t>
      </w:r>
      <w:r w:rsidRPr="00BD7598">
        <w:t>fumus</w:t>
      </w:r>
      <w:r w:rsidRPr="00BD7598">
        <w:t xml:space="preserve"> </w:t>
      </w:r>
      <w:r w:rsidRPr="00BD7598">
        <w:t>persecutionis</w:t>
      </w:r>
      <w:r w:rsidRPr="00BD7598">
        <w:t xml:space="preserve">, jiġifieri elementi fattwali li jindikaw li l-proċedimenti legali inkwistjoni </w:t>
      </w:r>
      <w:r w:rsidR="008E7230">
        <w:t xml:space="preserve">hija </w:t>
      </w:r>
      <w:r w:rsidRPr="008E7230" w:rsidR="008E7230">
        <w:t xml:space="preserve">li ssir ħsara lill-attività politika ta' Patryk Jaki bħala Membru tal-Parlament Ewropew u </w:t>
      </w:r>
      <w:r w:rsidR="008E7230">
        <w:t>għaldaqstant</w:t>
      </w:r>
      <w:r w:rsidRPr="008E7230" w:rsidR="008E7230">
        <w:t xml:space="preserve"> lill-indipendenza tal-Parlament</w:t>
      </w:r>
      <w:r w:rsidRPr="00BD7598">
        <w:t>;</w:t>
      </w:r>
    </w:p>
    <w:p w:rsidR="00A724A0" w:rsidRPr="00BD7598" w:rsidP="00A724A0" w14:paraId="640DBB7A" w14:textId="77777777">
      <w:pPr>
        <w:pStyle w:val="NormalHanging12a"/>
      </w:pPr>
      <w:r w:rsidRPr="00BD7598">
        <w:t>K.</w:t>
      </w:r>
      <w:r w:rsidRPr="00BD7598">
        <w:tab/>
        <w:t>billi l-Parlament ma jistax jitqies bħala qorti u, fil-kuntest ta’ proċedura għat-tneħħija tal-immunità, il-Membru ma jistax jitqies bħala akkużat</w:t>
      </w:r>
      <w:r>
        <w:rPr>
          <w:vertAlign w:val="superscript"/>
        </w:rPr>
        <w:footnoteReference w:id="3"/>
      </w:r>
      <w:r w:rsidRPr="00BD7598">
        <w:t>;</w:t>
      </w:r>
    </w:p>
    <w:p w:rsidR="00A724A0" w:rsidRPr="00BD7598" w:rsidP="00A724A0" w14:paraId="7DDE308D" w14:textId="77777777">
      <w:pPr>
        <w:pStyle w:val="NormalHanging12a"/>
      </w:pPr>
      <w:r w:rsidRPr="00BD7598">
        <w:t>1.</w:t>
      </w:r>
      <w:r w:rsidRPr="00BD7598">
        <w:tab/>
        <w:t>Jiddeċiedi li jneħħi l-immunità ta’ Patryk Jaki;</w:t>
      </w:r>
    </w:p>
    <w:p w:rsidR="00BD7598" w:rsidRPr="00BD7598" w:rsidP="00BD7598" w14:paraId="4FF98D61" w14:textId="00BEBB90">
      <w:pPr>
        <w:pStyle w:val="NormalHanging12a"/>
      </w:pPr>
      <w:r w:rsidRPr="00BD7598">
        <w:t>2.</w:t>
      </w:r>
      <w:r w:rsidRPr="00BD7598">
        <w:tab/>
        <w:t>Jagħti istruzzjonijiet lill-President tiegħu biex tgħaddi minnufih din id-deċiżjoni u r-rapport tal-kumitat responsabbli tiegħu lill-awtorità kompetenti tar-Repubblika tal-Polonja u lil Patryk Jaki.</w:t>
      </w:r>
    </w:p>
    <w:p w:rsidR="00E365E1" w:rsidRPr="00BD7598" w:rsidP="00E0320B" w14:paraId="6C8CB2F9" w14:textId="4870F147"/>
    <w:sectPr w:rsidSect="00BD75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D7598" w14:paraId="1179011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D7598" w14:paraId="40199F9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D7598" w14:paraId="4274A7C7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0320B" w:rsidRPr="00BD7598" w14:paraId="1F3E3F4B" w14:textId="77777777">
      <w:r w:rsidRPr="00BD7598">
        <w:separator/>
      </w:r>
    </w:p>
  </w:footnote>
  <w:footnote w:type="continuationSeparator" w:id="1">
    <w:p w:rsidR="00E0320B" w:rsidRPr="00BD7598" w14:paraId="0007F8EC" w14:textId="77777777">
      <w:r w:rsidRPr="00BD7598">
        <w:continuationSeparator/>
      </w:r>
    </w:p>
  </w:footnote>
  <w:footnote w:id="2">
    <w:p w:rsidR="00A724A0" w:rsidRPr="00BD7598" w:rsidP="00BD7598" w14:paraId="3FA0BE3B" w14:textId="2AD0D4C8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BD7598">
        <w:rPr>
          <w:rStyle w:val="FootnoteReference"/>
          <w:sz w:val="24"/>
          <w:lang w:val="mt-MT"/>
        </w:rPr>
        <w:footnoteRef/>
      </w:r>
      <w:r w:rsidRPr="00BD7598" w:rsidR="00BD7598">
        <w:rPr>
          <w:sz w:val="24"/>
          <w:lang w:val="mt-MT"/>
        </w:rPr>
        <w:t xml:space="preserve"> </w:t>
      </w:r>
      <w:r w:rsidRPr="00BD7598" w:rsidR="00BD7598">
        <w:rPr>
          <w:sz w:val="24"/>
          <w:lang w:val="mt-MT"/>
        </w:rPr>
        <w:tab/>
      </w:r>
      <w:r w:rsidRPr="00BD7598">
        <w:rPr>
          <w:sz w:val="24"/>
          <w:lang w:val="mt-MT"/>
        </w:rPr>
        <w:t xml:space="preserve">Is-sentenza tal-Qorti tal-Ġustizzja tal-21 ta’ Ottubru 2008, </w:t>
      </w:r>
      <w:r w:rsidRPr="00BD7598">
        <w:rPr>
          <w:sz w:val="24"/>
          <w:lang w:val="mt-MT"/>
        </w:rPr>
        <w:t>Marra</w:t>
      </w:r>
      <w:r w:rsidRPr="00BD7598">
        <w:rPr>
          <w:sz w:val="24"/>
          <w:lang w:val="mt-MT"/>
        </w:rPr>
        <w:t xml:space="preserve"> </w:t>
      </w:r>
      <w:r w:rsidRPr="00BD7598">
        <w:rPr>
          <w:sz w:val="24"/>
          <w:lang w:val="mt-MT"/>
        </w:rPr>
        <w:t>vs</w:t>
      </w:r>
      <w:r w:rsidRPr="00BD7598">
        <w:rPr>
          <w:sz w:val="24"/>
          <w:lang w:val="mt-MT"/>
        </w:rPr>
        <w:t xml:space="preserve"> De </w:t>
      </w:r>
      <w:r w:rsidRPr="00BD7598">
        <w:rPr>
          <w:sz w:val="24"/>
          <w:lang w:val="mt-MT"/>
        </w:rPr>
        <w:t>Gregorio</w:t>
      </w:r>
      <w:r w:rsidRPr="00BD7598">
        <w:rPr>
          <w:sz w:val="24"/>
          <w:lang w:val="mt-MT"/>
        </w:rPr>
        <w:t xml:space="preserve"> u </w:t>
      </w:r>
      <w:r w:rsidRPr="00BD7598">
        <w:rPr>
          <w:sz w:val="24"/>
          <w:lang w:val="mt-MT"/>
        </w:rPr>
        <w:t>Clemente</w:t>
      </w:r>
      <w:r w:rsidRPr="00BD7598">
        <w:rPr>
          <w:sz w:val="24"/>
          <w:lang w:val="mt-MT"/>
        </w:rPr>
        <w:t xml:space="preserve">, C-200/07 u C-201/07, ECLI:EU:C:2008:579; is-sentenza tal-Qorti Ġenerali tad-19 ta’ Marzu 2010, </w:t>
      </w:r>
      <w:r w:rsidRPr="00BD7598">
        <w:rPr>
          <w:sz w:val="24"/>
          <w:lang w:val="mt-MT"/>
        </w:rPr>
        <w:t>Gollnisch</w:t>
      </w:r>
      <w:r w:rsidRPr="00BD7598">
        <w:rPr>
          <w:sz w:val="24"/>
          <w:lang w:val="mt-MT"/>
        </w:rPr>
        <w:t xml:space="preserve"> </w:t>
      </w:r>
      <w:r w:rsidRPr="00BD7598">
        <w:rPr>
          <w:sz w:val="24"/>
          <w:lang w:val="mt-MT"/>
        </w:rPr>
        <w:t>vs</w:t>
      </w:r>
      <w:r w:rsidRPr="00BD7598">
        <w:rPr>
          <w:sz w:val="24"/>
          <w:lang w:val="mt-MT"/>
        </w:rPr>
        <w:t xml:space="preserve"> Il-Parlament, T-42/06, ECLI:EU:T:2010:102; is-sentenza tal-Qorti tal-Ġustizzja tas-6 ta’ Settembru 2011, Patriciello, C-163/10, ECLI: EU:C:2011:543; is-sentenza tal-Qorti Ġenerali tas-17 ta’ Jannar 2013, </w:t>
      </w:r>
      <w:r w:rsidRPr="00BD7598">
        <w:rPr>
          <w:sz w:val="24"/>
          <w:lang w:val="mt-MT"/>
        </w:rPr>
        <w:t>Gollnisch</w:t>
      </w:r>
      <w:r w:rsidRPr="00BD7598">
        <w:rPr>
          <w:sz w:val="24"/>
          <w:lang w:val="mt-MT"/>
        </w:rPr>
        <w:t xml:space="preserve"> </w:t>
      </w:r>
      <w:r w:rsidRPr="00BD7598">
        <w:rPr>
          <w:sz w:val="24"/>
          <w:lang w:val="mt-MT"/>
        </w:rPr>
        <w:t>vs</w:t>
      </w:r>
      <w:r w:rsidRPr="00BD7598">
        <w:rPr>
          <w:sz w:val="24"/>
          <w:lang w:val="mt-MT"/>
        </w:rPr>
        <w:t xml:space="preserve"> Il-Parlament, T-346/11 u T-347/11, ECLI:EU:T:2013:23; is-sentenza tal-Qorti tal-Ġustizzja tad-19 ta’ Diċembru 2019, </w:t>
      </w:r>
      <w:r w:rsidRPr="00BD7598">
        <w:rPr>
          <w:sz w:val="24"/>
          <w:lang w:val="mt-MT"/>
        </w:rPr>
        <w:t>Junqueras</w:t>
      </w:r>
      <w:r w:rsidRPr="00BD7598">
        <w:rPr>
          <w:sz w:val="24"/>
          <w:lang w:val="mt-MT"/>
        </w:rPr>
        <w:t xml:space="preserve"> </w:t>
      </w:r>
      <w:r w:rsidRPr="00BD7598">
        <w:rPr>
          <w:sz w:val="24"/>
          <w:lang w:val="mt-MT"/>
        </w:rPr>
        <w:t>Vies</w:t>
      </w:r>
      <w:r w:rsidRPr="00BD7598">
        <w:rPr>
          <w:sz w:val="24"/>
          <w:lang w:val="mt-MT"/>
        </w:rPr>
        <w:t>, C-502/19, ECLI:EU:C:2019:1115.</w:t>
      </w:r>
    </w:p>
    <w:p w:rsidR="00A724A0" w:rsidRPr="00BD7598" w:rsidP="00BD7598" w14:paraId="14AEB9AC" w14:textId="287FBFA5">
      <w:pPr>
        <w:pStyle w:val="FootnoteText"/>
        <w:ind w:left="567" w:hanging="567"/>
        <w:rPr>
          <w:sz w:val="24"/>
          <w:lang w:val="mt-MT"/>
        </w:rPr>
      </w:pPr>
      <w:r w:rsidRPr="00BD7598">
        <w:rPr>
          <w:sz w:val="24"/>
          <w:lang w:val="mt-MT"/>
        </w:rPr>
        <w:t xml:space="preserve"> </w:t>
      </w:r>
      <w:r w:rsidRPr="00BD7598">
        <w:rPr>
          <w:sz w:val="24"/>
          <w:lang w:val="mt-MT"/>
        </w:rPr>
        <w:tab/>
      </w:r>
    </w:p>
  </w:footnote>
  <w:footnote w:id="3">
    <w:p w:rsidR="00A724A0" w:rsidRPr="00BD7598" w:rsidP="00BD7598" w14:paraId="0E15C5F7" w14:textId="256C90F0">
      <w:pPr>
        <w:pStyle w:val="FootnoteText"/>
        <w:ind w:left="567" w:hanging="567"/>
        <w:rPr>
          <w:sz w:val="24"/>
          <w:lang w:val="mt-MT"/>
        </w:rPr>
      </w:pPr>
      <w:r w:rsidRPr="00BD7598">
        <w:rPr>
          <w:rStyle w:val="FootnoteReference"/>
          <w:sz w:val="24"/>
          <w:lang w:val="mt-MT"/>
        </w:rPr>
        <w:footnoteRef/>
      </w:r>
      <w:r w:rsidRPr="00BD7598" w:rsidR="00BD7598">
        <w:rPr>
          <w:sz w:val="24"/>
          <w:lang w:val="mt-MT"/>
        </w:rPr>
        <w:t xml:space="preserve"> </w:t>
      </w:r>
      <w:r w:rsidRPr="00BD7598" w:rsidR="00BD7598">
        <w:rPr>
          <w:sz w:val="24"/>
          <w:lang w:val="mt-MT"/>
        </w:rPr>
        <w:tab/>
      </w:r>
      <w:r w:rsidRPr="00BD7598">
        <w:rPr>
          <w:sz w:val="24"/>
          <w:lang w:val="mt-MT"/>
        </w:rPr>
        <w:t xml:space="preserve">Is-sentenza tal-Qorti Ġenerali tat-30 ta’ April 2019, </w:t>
      </w:r>
      <w:r w:rsidRPr="00BD7598">
        <w:rPr>
          <w:sz w:val="24"/>
          <w:lang w:val="mt-MT"/>
        </w:rPr>
        <w:t>Briois</w:t>
      </w:r>
      <w:r w:rsidRPr="00BD7598">
        <w:rPr>
          <w:sz w:val="24"/>
          <w:lang w:val="mt-MT"/>
        </w:rPr>
        <w:t xml:space="preserve"> </w:t>
      </w:r>
      <w:r w:rsidRPr="00BD7598">
        <w:rPr>
          <w:sz w:val="24"/>
          <w:lang w:val="mt-MT"/>
        </w:rPr>
        <w:t>vs</w:t>
      </w:r>
      <w:r w:rsidRPr="00BD7598">
        <w:rPr>
          <w:sz w:val="24"/>
          <w:lang w:val="mt-MT"/>
        </w:rPr>
        <w:t xml:space="preserve"> Il-Parlament,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D7598" w14:paraId="751005A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D7598" w14:paraId="032D46E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D7598" w14:paraId="708C4C4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56730413">
    <w:abstractNumId w:val="9"/>
  </w:num>
  <w:num w:numId="2" w16cid:durableId="1043988898">
    <w:abstractNumId w:val="9"/>
  </w:num>
  <w:num w:numId="3" w16cid:durableId="60180656">
    <w:abstractNumId w:val="7"/>
  </w:num>
  <w:num w:numId="4" w16cid:durableId="30154633">
    <w:abstractNumId w:val="7"/>
  </w:num>
  <w:num w:numId="5" w16cid:durableId="1534923892">
    <w:abstractNumId w:val="6"/>
  </w:num>
  <w:num w:numId="6" w16cid:durableId="1710958589">
    <w:abstractNumId w:val="6"/>
  </w:num>
  <w:num w:numId="7" w16cid:durableId="1509370066">
    <w:abstractNumId w:val="5"/>
  </w:num>
  <w:num w:numId="8" w16cid:durableId="1594894219">
    <w:abstractNumId w:val="5"/>
  </w:num>
  <w:num w:numId="9" w16cid:durableId="1301963008">
    <w:abstractNumId w:val="4"/>
  </w:num>
  <w:num w:numId="10" w16cid:durableId="902527915">
    <w:abstractNumId w:val="4"/>
  </w:num>
  <w:num w:numId="11" w16cid:durableId="520164917">
    <w:abstractNumId w:val="8"/>
  </w:num>
  <w:num w:numId="12" w16cid:durableId="32854196">
    <w:abstractNumId w:val="8"/>
  </w:num>
  <w:num w:numId="13" w16cid:durableId="360590539">
    <w:abstractNumId w:val="3"/>
  </w:num>
  <w:num w:numId="14" w16cid:durableId="50538647">
    <w:abstractNumId w:val="3"/>
  </w:num>
  <w:num w:numId="15" w16cid:durableId="1222671065">
    <w:abstractNumId w:val="2"/>
  </w:num>
  <w:num w:numId="16" w16cid:durableId="1361012795">
    <w:abstractNumId w:val="2"/>
  </w:num>
  <w:num w:numId="17" w16cid:durableId="1528643444">
    <w:abstractNumId w:val="1"/>
  </w:num>
  <w:num w:numId="18" w16cid:durableId="572662331">
    <w:abstractNumId w:val="1"/>
  </w:num>
  <w:num w:numId="19" w16cid:durableId="1912081419">
    <w:abstractNumId w:val="0"/>
  </w:num>
  <w:num w:numId="20" w16cid:durableId="1614626903">
    <w:abstractNumId w:val="0"/>
  </w:num>
  <w:num w:numId="21" w16cid:durableId="1343433420">
    <w:abstractNumId w:val="9"/>
  </w:num>
  <w:num w:numId="22" w16cid:durableId="375128561">
    <w:abstractNumId w:val="7"/>
  </w:num>
  <w:num w:numId="23" w16cid:durableId="308705531">
    <w:abstractNumId w:val="6"/>
  </w:num>
  <w:num w:numId="24" w16cid:durableId="2130706471">
    <w:abstractNumId w:val="5"/>
  </w:num>
  <w:num w:numId="25" w16cid:durableId="257257001">
    <w:abstractNumId w:val="4"/>
  </w:num>
  <w:num w:numId="26" w16cid:durableId="731124506">
    <w:abstractNumId w:val="8"/>
  </w:num>
  <w:num w:numId="27" w16cid:durableId="1930388610">
    <w:abstractNumId w:val="3"/>
  </w:num>
  <w:num w:numId="28" w16cid:durableId="1367409529">
    <w:abstractNumId w:val="2"/>
  </w:num>
  <w:num w:numId="29" w16cid:durableId="368578814">
    <w:abstractNumId w:val="1"/>
  </w:num>
  <w:num w:numId="30" w16cid:durableId="1995838387">
    <w:abstractNumId w:val="0"/>
  </w:num>
  <w:num w:numId="31" w16cid:durableId="1511530604">
    <w:abstractNumId w:val="9"/>
  </w:num>
  <w:num w:numId="32" w16cid:durableId="2085099571">
    <w:abstractNumId w:val="7"/>
  </w:num>
  <w:num w:numId="33" w16cid:durableId="100497123">
    <w:abstractNumId w:val="6"/>
  </w:num>
  <w:num w:numId="34" w16cid:durableId="27920635">
    <w:abstractNumId w:val="5"/>
  </w:num>
  <w:num w:numId="35" w16cid:durableId="54474853">
    <w:abstractNumId w:val="4"/>
  </w:num>
  <w:num w:numId="36" w16cid:durableId="504050952">
    <w:abstractNumId w:val="8"/>
  </w:num>
  <w:num w:numId="37" w16cid:durableId="198015270">
    <w:abstractNumId w:val="3"/>
  </w:num>
  <w:num w:numId="38" w16cid:durableId="1259680331">
    <w:abstractNumId w:val="2"/>
  </w:num>
  <w:num w:numId="39" w16cid:durableId="2121147514">
    <w:abstractNumId w:val="1"/>
  </w:num>
  <w:num w:numId="40" w16cid:durableId="796292283">
    <w:abstractNumId w:val="0"/>
  </w:num>
  <w:num w:numId="41" w16cid:durableId="274095675">
    <w:abstractNumId w:val="10"/>
  </w:num>
  <w:num w:numId="42" w16cid:durableId="1535388037">
    <w:abstractNumId w:val="10"/>
  </w:num>
  <w:num w:numId="43" w16cid:durableId="616647138">
    <w:abstractNumId w:val="10"/>
  </w:num>
  <w:num w:numId="44" w16cid:durableId="14150546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20B"/>
    <w:rsid w:val="00002272"/>
    <w:rsid w:val="00053FAC"/>
    <w:rsid w:val="00064002"/>
    <w:rsid w:val="000677B9"/>
    <w:rsid w:val="000831BA"/>
    <w:rsid w:val="000A42CC"/>
    <w:rsid w:val="000E7DD9"/>
    <w:rsid w:val="0010095E"/>
    <w:rsid w:val="00105BB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5DB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7230"/>
    <w:rsid w:val="00930C23"/>
    <w:rsid w:val="0093193B"/>
    <w:rsid w:val="0095082C"/>
    <w:rsid w:val="009509D8"/>
    <w:rsid w:val="00950B64"/>
    <w:rsid w:val="00981893"/>
    <w:rsid w:val="00A1687D"/>
    <w:rsid w:val="00A43E52"/>
    <w:rsid w:val="00A4678D"/>
    <w:rsid w:val="00A50ED2"/>
    <w:rsid w:val="00A53676"/>
    <w:rsid w:val="00A724A0"/>
    <w:rsid w:val="00A778C7"/>
    <w:rsid w:val="00AB441E"/>
    <w:rsid w:val="00AB6293"/>
    <w:rsid w:val="00AE0928"/>
    <w:rsid w:val="00AF332C"/>
    <w:rsid w:val="00AF3B82"/>
    <w:rsid w:val="00B12E95"/>
    <w:rsid w:val="00B22876"/>
    <w:rsid w:val="00B558F0"/>
    <w:rsid w:val="00B9537B"/>
    <w:rsid w:val="00BD48FE"/>
    <w:rsid w:val="00BD7598"/>
    <w:rsid w:val="00BD7BD8"/>
    <w:rsid w:val="00BE6ADC"/>
    <w:rsid w:val="00C05BFE"/>
    <w:rsid w:val="00C23CD4"/>
    <w:rsid w:val="00C61C0C"/>
    <w:rsid w:val="00C941CB"/>
    <w:rsid w:val="00CC2357"/>
    <w:rsid w:val="00CF071A"/>
    <w:rsid w:val="00CF20FC"/>
    <w:rsid w:val="00D058B8"/>
    <w:rsid w:val="00D4688A"/>
    <w:rsid w:val="00D56C11"/>
    <w:rsid w:val="00D834A0"/>
    <w:rsid w:val="00D872DF"/>
    <w:rsid w:val="00D91E21"/>
    <w:rsid w:val="00DA7FCD"/>
    <w:rsid w:val="00E0320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08/2026"/>
    <w:docVar w:name="dvlangue" w:val="MT"/>
    <w:docVar w:name="dvnumam" w:val="0"/>
    <w:docVar w:name="dvpe" w:val="786.688"/>
    <w:docVar w:name="dvrapporteur" w:val="Rapporteur: "/>
    <w:docVar w:name="dvtitre" w:val="Deċiżjoni tal-Parlament Ewropew xx xx xxxx 2026 dwar it-talba għat-tneħħija tal-immunità ta’ Patryk Jaki(2025/2171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445D67F"/>
  <w15:chartTrackingRefBased/>
  <w15:docId w15:val="{F236936C-971B-4B95-8592-601E917B4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724A0"/>
    <w:pPr>
      <w:spacing w:after="240"/>
      <w:ind w:left="567" w:hanging="567"/>
    </w:pPr>
  </w:style>
  <w:style w:type="paragraph" w:customStyle="1" w:styleId="EPComma">
    <w:name w:val="EPComma"/>
    <w:basedOn w:val="Normal"/>
    <w:rsid w:val="00A724A0"/>
    <w:pPr>
      <w:spacing w:before="480" w:after="240"/>
    </w:pPr>
  </w:style>
  <w:style w:type="paragraph" w:styleId="Revision">
    <w:name w:val="Revision"/>
    <w:hidden/>
    <w:uiPriority w:val="99"/>
    <w:semiHidden/>
    <w:rsid w:val="00A50ED2"/>
    <w:rPr>
      <w:sz w:val="24"/>
      <w:lang w:val="mt-MT"/>
    </w:rPr>
  </w:style>
  <w:style w:type="paragraph" w:styleId="HTMLPreformatted">
    <w:name w:val="HTML Preformatted"/>
    <w:basedOn w:val="Normal"/>
    <w:link w:val="HTMLPreformattedChar"/>
    <w:rsid w:val="008E7230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8E7230"/>
    <w:rPr>
      <w:rFonts w:ascii="Consolas" w:hAnsi="Consolas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751</Words>
  <Characters>5375</Characters>
  <Application>Microsoft Office Word</Application>
  <DocSecurity>0</DocSecurity>
  <Lines>191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2026-06-03T14:38:00Z</dcterms:created>
  <dcterms:modified xsi:type="dcterms:W3CDTF">2026-06-03T14:38:00Z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A10-0108/2026</vt:lpwstr>
  </property>
  <property fmtid="{D5CDD505-2E9C-101B-9397-08002B2CF9AE}" pid="4" name="&lt;Type&gt;">
    <vt:lpwstr>RR</vt:lpwstr>
  </property>
</Properties>
</file>