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9F54D0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D6551" w:rsidP="0010095E" w14:paraId="4AD48000" w14:textId="13477E6E">
            <w:pPr>
              <w:pStyle w:val="EPName"/>
            </w:pPr>
            <w:r w:rsidRPr="004D6551">
              <w:t>Parlament Europejski</w:t>
            </w:r>
          </w:p>
          <w:p w:rsidR="00751A4A" w:rsidRPr="004D6551" w:rsidP="005F1B17" w14:paraId="553F5A4A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6551">
              <w:t>2024</w:t>
            </w:r>
            <w:r w:rsidRPr="004D6551" w:rsidR="00817416">
              <w:t>-202</w:t>
            </w:r>
            <w:r w:rsidRPr="004D655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D6551" w:rsidP="0010095E" w14:paraId="7A779E00" w14:textId="77777777">
            <w:pPr>
              <w:pStyle w:val="EPLogo"/>
            </w:pPr>
            <w:r w:rsidRPr="004D655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D6551" w:rsidP="004C5D52" w14:paraId="3298D618" w14:textId="77777777">
      <w:pPr>
        <w:pStyle w:val="LineTop"/>
      </w:pPr>
    </w:p>
    <w:p w:rsidR="00680577" w:rsidRPr="004D6551" w:rsidP="00680577" w14:paraId="2C5A1450" w14:textId="3732B75A">
      <w:pPr>
        <w:pStyle w:val="EPBodyTA1"/>
      </w:pPr>
      <w:r w:rsidRPr="004D6551">
        <w:t>TEKSTY PRZYJĘTE</w:t>
      </w:r>
    </w:p>
    <w:p w:rsidR="00D058B8" w:rsidRPr="004D6551" w:rsidP="00D058B8" w14:paraId="16CA0061" w14:textId="77777777">
      <w:pPr>
        <w:pStyle w:val="LineBottom"/>
      </w:pPr>
    </w:p>
    <w:p w:rsidR="00EA6EA9" w:rsidRPr="004D6551" w:rsidP="00EA6EA9" w14:paraId="726FD392" w14:textId="40D8AF1A">
      <w:pPr>
        <w:pStyle w:val="ATHeading1"/>
      </w:pPr>
      <w:bookmarkStart w:id="0" w:name="TANumber"/>
      <w:r w:rsidRPr="004D6551">
        <w:t>P10_TA(2026)0</w:t>
      </w:r>
      <w:bookmarkEnd w:id="0"/>
      <w:r w:rsidR="00AA2FEB">
        <w:t>105</w:t>
      </w:r>
    </w:p>
    <w:p w:rsidR="00EA6EA9" w:rsidRPr="004D6551" w:rsidP="00EA6EA9" w14:paraId="1427B015" w14:textId="61DF460D">
      <w:pPr>
        <w:pStyle w:val="ATHeading2"/>
      </w:pPr>
      <w:r w:rsidRPr="000C2E9A">
        <w:t xml:space="preserve">Wniosek o uchylenie immunitetu </w:t>
      </w:r>
      <w:r w:rsidRPr="004D6551">
        <w:t>Patryka Jakiego</w:t>
      </w:r>
    </w:p>
    <w:p w:rsidR="00EA6EA9" w:rsidRPr="004D6551" w:rsidP="00EA6EA9" w14:paraId="0D590D8E" w14:textId="77777777">
      <w:pPr>
        <w:rPr>
          <w:i/>
          <w:vanish/>
        </w:rPr>
      </w:pPr>
      <w:r>
        <w:rPr>
          <w:i/>
        </w:rPr>
        <w:fldChar w:fldCharType="begin"/>
      </w:r>
      <w:r w:rsidRPr="004D6551">
        <w:rPr>
          <w:i/>
        </w:rPr>
        <w:instrText xml:space="preserve"> TC"(</w:instrText>
      </w:r>
      <w:bookmarkStart w:id="1" w:name="DocNumber"/>
      <w:r w:rsidRPr="004D6551">
        <w:rPr>
          <w:i/>
        </w:rPr>
        <w:instrText>A10-0108/2026</w:instrText>
      </w:r>
      <w:bookmarkEnd w:id="1"/>
      <w:r w:rsidRPr="004D6551">
        <w:rPr>
          <w:i/>
        </w:rPr>
        <w:instrText xml:space="preserve"> - Sprawozdawca: Adrián Vázquez Lázara)"\l3 \n&gt; \* MERGEFORMAT </w:instrText>
      </w:r>
      <w:r>
        <w:rPr>
          <w:i/>
        </w:rPr>
        <w:fldChar w:fldCharType="end"/>
      </w:r>
    </w:p>
    <w:p w:rsidR="00EA6EA9" w:rsidRPr="004D6551" w:rsidP="00EA6EA9" w14:paraId="6C292F69" w14:textId="77777777">
      <w:pPr>
        <w:rPr>
          <w:vanish/>
        </w:rPr>
      </w:pPr>
      <w:bookmarkStart w:id="2" w:name="Commission"/>
      <w:r w:rsidRPr="004D6551">
        <w:rPr>
          <w:vanish/>
        </w:rPr>
        <w:t>Komisja Prawna</w:t>
      </w:r>
      <w:bookmarkEnd w:id="2"/>
    </w:p>
    <w:p w:rsidR="00EA6EA9" w:rsidRPr="004D6551" w:rsidP="00EA6EA9" w14:paraId="4BAEE550" w14:textId="77777777">
      <w:pPr>
        <w:rPr>
          <w:vanish/>
        </w:rPr>
      </w:pPr>
      <w:bookmarkStart w:id="3" w:name="PE"/>
      <w:r w:rsidRPr="004D6551">
        <w:rPr>
          <w:vanish/>
        </w:rPr>
        <w:t>PE786.688</w:t>
      </w:r>
      <w:bookmarkEnd w:id="3"/>
    </w:p>
    <w:p w:rsidR="00EA6EA9" w:rsidRPr="004D6551" w:rsidP="00EA6EA9" w14:paraId="6E2CC838" w14:textId="1D4E831C">
      <w:pPr>
        <w:pStyle w:val="ATHeading3"/>
      </w:pPr>
      <w:bookmarkStart w:id="4" w:name="Sujet"/>
      <w:r w:rsidRPr="004D6551">
        <w:t xml:space="preserve">Decyzja Parlamentu Europejskiego z dnia </w:t>
      </w:r>
      <w:r w:rsidR="006620DF">
        <w:t>28 kwietnia</w:t>
      </w:r>
      <w:r w:rsidRPr="004D6551">
        <w:t xml:space="preserve"> 2026 r. w sprawie wniosku o uchylenie immunitetu Patryka Jakiego</w:t>
      </w:r>
      <w:bookmarkEnd w:id="4"/>
      <w:r w:rsidRPr="004D6551">
        <w:t xml:space="preserve"> </w:t>
      </w:r>
      <w:bookmarkStart w:id="5" w:name="References"/>
      <w:r w:rsidRPr="004D6551">
        <w:t>(2025/2171(IMM))</w:t>
      </w:r>
      <w:bookmarkEnd w:id="5"/>
    </w:p>
    <w:p w:rsidR="00074920" w:rsidRPr="004D6551" w:rsidP="00074920" w14:paraId="330CC42D" w14:textId="77777777">
      <w:pPr>
        <w:pStyle w:val="EPComma"/>
      </w:pPr>
      <w:bookmarkStart w:id="6" w:name="TextBodyBegin"/>
      <w:bookmarkEnd w:id="6"/>
      <w:r w:rsidRPr="004D6551">
        <w:rPr>
          <w:i/>
        </w:rPr>
        <w:t>Parlament Europejski</w:t>
      </w:r>
      <w:r w:rsidRPr="004D6551">
        <w:t>,</w:t>
      </w:r>
    </w:p>
    <w:p w:rsidR="00074920" w:rsidRPr="004D6551" w:rsidP="00074920" w14:paraId="0BCEB70F" w14:textId="14A15685">
      <w:pPr>
        <w:pStyle w:val="NormalHanging12a"/>
      </w:pPr>
      <w:r w:rsidRPr="004D6551">
        <w:t>–</w:t>
      </w:r>
      <w:r w:rsidRPr="004D6551">
        <w:tab/>
        <w:t xml:space="preserve">uwzględniając wniosek o uchylenie immunitetu Patryka Jakiego przekazany </w:t>
      </w:r>
      <w:r w:rsidRPr="004D6551" w:rsidR="009C5164">
        <w:t xml:space="preserve">przez Sąd Rejonowy dla Warszawy-Śródmieścia </w:t>
      </w:r>
      <w:r w:rsidRPr="004D6551">
        <w:t xml:space="preserve">pismem z </w:t>
      </w:r>
      <w:r w:rsidR="009C5164">
        <w:t xml:space="preserve">dnia </w:t>
      </w:r>
      <w:r w:rsidRPr="004D6551">
        <w:t xml:space="preserve">6 sierpnia 2025 r. wysłanym w związku z postępowaniem karnym toczącym się wobec ww. posła w drodze prywatnego aktu oskarżenia wniesionego przez pełnomocnika oskarżyciela prywatnego, ogłoszony na posiedzeniu Parlamentu </w:t>
      </w:r>
      <w:r w:rsidR="009C5164">
        <w:t xml:space="preserve">w dniu </w:t>
      </w:r>
      <w:r w:rsidRPr="004D6551">
        <w:t>8 września 2025 r.,</w:t>
      </w:r>
    </w:p>
    <w:p w:rsidR="00074920" w:rsidRPr="004D6551" w:rsidP="00074920" w14:paraId="14518395" w14:textId="4EA785A2">
      <w:pPr>
        <w:pStyle w:val="NormalHanging12a"/>
      </w:pPr>
      <w:r w:rsidRPr="004D6551">
        <w:t>–</w:t>
      </w:r>
      <w:r w:rsidRPr="004D6551">
        <w:tab/>
        <w:t xml:space="preserve">po wysłuchaniu wyjaśnień Patryka Jakiego przedstawionych </w:t>
      </w:r>
      <w:r w:rsidR="009C5164">
        <w:t xml:space="preserve">w dniu </w:t>
      </w:r>
      <w:r w:rsidRPr="004D6551">
        <w:t>23 marca 2026 r., zgodnie z art. 9 ust. 6 Regulaminu,</w:t>
      </w:r>
    </w:p>
    <w:p w:rsidR="00074920" w:rsidRPr="004D6551" w:rsidP="00074920" w14:paraId="1631A966" w14:textId="77777777">
      <w:pPr>
        <w:pStyle w:val="NormalHanging12a"/>
      </w:pPr>
      <w:r w:rsidRPr="004D6551">
        <w:t>–</w:t>
      </w:r>
      <w:r w:rsidRPr="004D6551">
        <w:tab/>
        <w:t>uwzględniając art. 8 i 9 Protokołu nr 7 w sprawie przywilejów i immunitetów Unii Europejskiej, jak również art. 6 ust. 2 aktu z 20 września 1976 r. dotyczącego wyborów przedstawicieli do Parlamentu Europejskiego w powszechnych wyborach bezpośrednich,</w:t>
      </w:r>
    </w:p>
    <w:p w:rsidR="00074920" w:rsidRPr="004D6551" w:rsidP="00074920" w14:paraId="0A3C5F5C" w14:textId="77777777">
      <w:pPr>
        <w:pStyle w:val="NormalHanging12a"/>
      </w:pPr>
      <w:r w:rsidRPr="004D6551">
        <w:t>–</w:t>
      </w:r>
      <w:r w:rsidRPr="004D6551">
        <w:tab/>
        <w:t>uwzględniając wyroki wydane przez Trybunał Sprawiedliwości Unii Europejskiej w dniach 21 października 2008 r., 19 marca 2010 r., 6 września 2011 r., 17 stycznia 2013 r. i 19 grudnia 2019 r.</w:t>
      </w:r>
      <w:r>
        <w:rPr>
          <w:vertAlign w:val="superscript"/>
        </w:rPr>
        <w:footnoteReference w:id="2"/>
      </w:r>
      <w:r w:rsidRPr="004D6551">
        <w:t>,</w:t>
      </w:r>
    </w:p>
    <w:p w:rsidR="00074920" w:rsidRPr="004D6551" w:rsidP="00074920" w14:paraId="492313D4" w14:textId="77777777">
      <w:pPr>
        <w:pStyle w:val="NormalHanging12a"/>
      </w:pPr>
      <w:r w:rsidRPr="004D6551">
        <w:t>–</w:t>
      </w:r>
      <w:r w:rsidRPr="004D6551">
        <w:tab/>
        <w:t>uwzględniając art. 105 ust. 2 i 5 Konstytucji Rzeczypospolitej Polskiej,</w:t>
      </w:r>
    </w:p>
    <w:p w:rsidR="00074920" w:rsidRPr="004D6551" w:rsidP="00074920" w14:paraId="61BC89D3" w14:textId="77777777">
      <w:pPr>
        <w:pStyle w:val="NormalHanging12a"/>
      </w:pPr>
      <w:r w:rsidRPr="004D6551">
        <w:t>–</w:t>
      </w:r>
      <w:r w:rsidRPr="004D6551">
        <w:tab/>
        <w:t>uwzględniając art. 5 ust. 2, art. 6 ust. 1 oraz art. 9 Regulaminu,</w:t>
      </w:r>
    </w:p>
    <w:p w:rsidR="00074920" w:rsidRPr="004D6551" w:rsidP="00074920" w14:paraId="19004D61" w14:textId="77777777">
      <w:pPr>
        <w:pStyle w:val="NormalHanging12a"/>
      </w:pPr>
      <w:r w:rsidRPr="004D6551">
        <w:t>–</w:t>
      </w:r>
      <w:r w:rsidRPr="004D6551">
        <w:tab/>
        <w:t>uwzględniając sprawozdanie Komisji Prawnej (A10-0108/2026),</w:t>
      </w:r>
    </w:p>
    <w:p w:rsidR="00074920" w:rsidRPr="004D6551" w:rsidP="00074920" w14:paraId="3BA54107" w14:textId="3E942A17">
      <w:pPr>
        <w:pStyle w:val="NormalHanging12a"/>
      </w:pPr>
      <w:r w:rsidRPr="004D6551">
        <w:t>A.</w:t>
      </w:r>
      <w:r w:rsidRPr="004D6551">
        <w:tab/>
        <w:t xml:space="preserve">mając na uwadze, że pismem z </w:t>
      </w:r>
      <w:r w:rsidR="009C5164">
        <w:t xml:space="preserve">dnia </w:t>
      </w:r>
      <w:r w:rsidRPr="004D6551">
        <w:t xml:space="preserve">6 sierpnia 2025 r. Sąd Rejonowy dla Warszawy-Śródmieścia złożył wniosek o uchylenie immunitetu Patryka Jakiego, </w:t>
      </w:r>
      <w:bookmarkStart w:id="7" w:name="_Hlk222405545"/>
      <w:r w:rsidRPr="004D6551">
        <w:t>posła do Parlamentu Europejskiego wybranego w Polsce</w:t>
      </w:r>
      <w:bookmarkEnd w:id="7"/>
      <w:r w:rsidRPr="004D6551">
        <w:t>, w związku z postępowaniem karnym wszczętym przed tym sądem w związku z zarzucanym przestępstwem ściganym z oskarżenia prywatnego;</w:t>
      </w:r>
    </w:p>
    <w:p w:rsidR="00074920" w:rsidRPr="004D6551" w:rsidP="00074920" w14:paraId="4DBC8BA0" w14:textId="63528441">
      <w:pPr>
        <w:pStyle w:val="NormalHanging12a"/>
      </w:pPr>
      <w:r w:rsidRPr="004D6551">
        <w:t>B.</w:t>
      </w:r>
      <w:r w:rsidRPr="004D6551">
        <w:tab/>
        <w:t xml:space="preserve">mając na uwadze, że zgodnie z treścią tego wniosku w okresie od </w:t>
      </w:r>
      <w:r w:rsidR="009C5164">
        <w:t xml:space="preserve">dnia </w:t>
      </w:r>
      <w:r w:rsidRPr="004D6551">
        <w:t xml:space="preserve">5 czerwca 2024 r. do </w:t>
      </w:r>
      <w:r w:rsidR="009C5164">
        <w:t xml:space="preserve">dnia </w:t>
      </w:r>
      <w:r w:rsidRPr="004D6551">
        <w:t xml:space="preserve">7 czerwca 2024 r., działając w krótkich odstępach czasu i w wykonaniu z góry powziętego zamiaru, Patryk Jaki miał zniesławić oskarżyciela prywatnego – sędziego – w następujący sposób: (i) podczas spotkania w ramach kampanii wyborczej w Będzinie </w:t>
      </w:r>
      <w:r w:rsidR="009C5164">
        <w:t xml:space="preserve">w dniu </w:t>
      </w:r>
      <w:r w:rsidRPr="004D6551">
        <w:t xml:space="preserve">5 czerwca 2024 r., w rozmowie z jedną z osób obecnych na spotkaniu, Patryk Jaki wygłosił uwagi dotyczące oskarżyciela prywatnego, zarzucając mu, że nieświadomie zezwolił na użycie oprogramowania szpiegowskiego </w:t>
      </w:r>
      <w:r w:rsidRPr="004D6551">
        <w:t>Pegasus</w:t>
      </w:r>
      <w:r w:rsidRPr="004D6551">
        <w:t xml:space="preserve">, oraz (ii) </w:t>
      </w:r>
      <w:r w:rsidR="009C5164">
        <w:t xml:space="preserve">w dniu </w:t>
      </w:r>
      <w:r w:rsidRPr="004D6551">
        <w:t xml:space="preserve">7 czerwca 2024 r. Patryk Jaki miał </w:t>
      </w:r>
      <w:r w:rsidR="009C5164">
        <w:t xml:space="preserve">następnie </w:t>
      </w:r>
      <w:r w:rsidRPr="004D6551">
        <w:t xml:space="preserve">rozpowszechnić nagranie </w:t>
      </w:r>
      <w:r w:rsidR="009C5164">
        <w:t xml:space="preserve">tej </w:t>
      </w:r>
      <w:r w:rsidRPr="004D6551">
        <w:t>rozmowy na terenie całego kraju za pośrednictwem środków masowego przekazu (tj. platform mediów społecznościowych Instagram, Facebook i X (Twitter)), twierdząc, że ww. oskarżyciel prywatny zaniedbał swoje obowiązki sędziowskie w postaci przeprowadzania nieokreślonych „postępowań wyjaśniających i kontroli” dotyczących metod nadzoru operacyjnego w kontekście rozpatrywania wniosków o wydanie nakazów nadzoru operacyjnego, że niewłaściwie wykonywał swój zawód sędziego oraz że był stronniczy z uwagi na wpływ, jaki wywierała na niego partia polityczna;</w:t>
      </w:r>
    </w:p>
    <w:p w:rsidR="00074920" w:rsidRPr="004D6551" w:rsidP="00074920" w14:paraId="55454A0C" w14:textId="77777777">
      <w:pPr>
        <w:pStyle w:val="NormalHanging12a"/>
      </w:pPr>
      <w:r w:rsidRPr="004D6551">
        <w:t>C.</w:t>
      </w:r>
      <w:r w:rsidRPr="004D6551">
        <w:tab/>
        <w:t>mając na uwadze, że Patryk Jaki miał zniesławić oskarżyciela prywatnego, działając z bezpośrednim zamiarem publicznego poniżenia go i naruszenia jego dobrego imienia, a także pozbawienia go zaufania niezbędnego do pełnienia obowiązków sędziego; mając na uwadze, że zarzucane czyny mogą stanowić przestępstwo w rozumieniu art. 212 § 1 w związku z art. 212 § 2 i art. 12 § 1 polskiego kodeksu karnego;</w:t>
      </w:r>
    </w:p>
    <w:p w:rsidR="00074920" w:rsidRPr="004D6551" w:rsidP="00074920" w14:paraId="5E368ECA" w14:textId="77777777">
      <w:pPr>
        <w:pStyle w:val="NormalHanging12a"/>
      </w:pPr>
      <w:r w:rsidRPr="004D6551">
        <w:t>D.</w:t>
      </w:r>
      <w:r w:rsidRPr="004D6551">
        <w:tab/>
        <w:t>mając na uwadze, że Patryk Jaki został wybrany do Parlamentu Europejskiego w wyborach europejskich w czerwcu 2019 r. i był w związku z tym posłem do Parlamentu Europejskiego w czasie popełnienia zarzucanego czynu;</w:t>
      </w:r>
    </w:p>
    <w:p w:rsidR="00074920" w:rsidRPr="004D6551" w:rsidP="00074920" w14:paraId="6E10D2D1" w14:textId="77777777">
      <w:pPr>
        <w:pStyle w:val="NormalHanging12a"/>
      </w:pPr>
      <w:r w:rsidRPr="004D6551">
        <w:t>E.</w:t>
      </w:r>
      <w:r w:rsidRPr="004D6551">
        <w:tab/>
        <w:t>mając na uwadze, że zarzucany czyn i późniejszy wniosek o uchylenie immunitetu nie dotyczą opinii wyrażonej przez Patryka Jakiego ani stanowiska zajętego przez niego w głosowaniu w czasie wykonywania obowiązków służbowych w rozumieniu art. 8 Protokołu nr 7 w sprawie przywilejów i immunitetów Unii Europejskiej;</w:t>
      </w:r>
    </w:p>
    <w:p w:rsidR="00074920" w:rsidRPr="004D6551" w:rsidP="00074920" w14:paraId="16748A4C" w14:textId="12E8B3CC">
      <w:pPr>
        <w:pStyle w:val="NormalHanging12a"/>
      </w:pPr>
      <w:r w:rsidRPr="004D6551">
        <w:t>F.</w:t>
      </w:r>
      <w:r w:rsidRPr="004D6551">
        <w:tab/>
        <w:t xml:space="preserve">mając na uwadze, że zgodnie z art. 9 akapit pierwszy lit. a) Protokołu nr 7 w sprawie przywilejów i immunitetów Unii Europejskiej podczas sesji Parlamentu Europejskiego jego posłowie korzystają na terytorium swoich państw </w:t>
      </w:r>
      <w:r w:rsidR="009C5164">
        <w:t xml:space="preserve">członkowskich </w:t>
      </w:r>
      <w:r w:rsidRPr="004D6551">
        <w:t>z immunitetów przyznawanych członkom parlamentu ich państwa członkowskiego;</w:t>
      </w:r>
    </w:p>
    <w:p w:rsidR="00074920" w:rsidRPr="004D6551" w:rsidP="00074920" w14:paraId="0FEA4E85" w14:textId="629A929D">
      <w:pPr>
        <w:pStyle w:val="NormalHanging12a"/>
      </w:pPr>
      <w:r w:rsidRPr="004D6551">
        <w:t>G.</w:t>
      </w:r>
      <w:r w:rsidRPr="004D6551">
        <w:tab/>
        <w:t xml:space="preserve">mając na uwadze, że zgodnie z art. 105 ust. 2 i 5 Konstytucji Rzeczypospolitej Polskiej od dnia ogłoszenia wyników wyborów do dnia wygaśnięcia mandatu poseł nie może być pociągnięty </w:t>
      </w:r>
      <w:r w:rsidRPr="004D6551" w:rsidR="009C5164">
        <w:t xml:space="preserve">bez zgody Sejmu </w:t>
      </w:r>
      <w:r w:rsidRPr="004D6551">
        <w:t xml:space="preserve">do odpowiedzialności karnej oraz nie może być zatrzymany lub aresztowany bez zgody Sejmu, z wyjątkiem ujęcia go na gorącym uczynku przestępstwa i jeżeli jego zatrzymanie jest niezbędne do zapewnienia </w:t>
      </w:r>
      <w:r w:rsidRPr="004D6551">
        <w:t>prawidłowego toku postępowania;</w:t>
      </w:r>
    </w:p>
    <w:p w:rsidR="00074920" w:rsidRPr="004D6551" w:rsidP="00074920" w14:paraId="2AD2EDAE" w14:textId="71967E7C">
      <w:pPr>
        <w:pStyle w:val="NormalHanging12a"/>
      </w:pPr>
      <w:r w:rsidRPr="004D6551">
        <w:t>H.</w:t>
      </w:r>
      <w:r w:rsidRPr="004D6551">
        <w:tab/>
        <w:t xml:space="preserve">mając na uwadze, że immunitet </w:t>
      </w:r>
      <w:bookmarkStart w:id="8" w:name="_Hlk222405989"/>
      <w:r w:rsidR="00BF0221">
        <w:t>określony</w:t>
      </w:r>
      <w:r w:rsidRPr="004D6551">
        <w:t xml:space="preserve"> w Protokole nr 7 w sprawie przywilejów i immunitetów Unii Europejskiej</w:t>
      </w:r>
      <w:bookmarkEnd w:id="8"/>
      <w:r w:rsidRPr="004D6551">
        <w:t xml:space="preserve"> ma chronić Parlament i posłów do niego przed postępowaniami sądowymi w związku z działaniami podejmowanymi w ramach wykonywania obowiązków parlamentarnych i niemożliwych do oddzielenia od tych obowiązków;</w:t>
      </w:r>
    </w:p>
    <w:p w:rsidR="00074920" w:rsidRPr="004D6551" w:rsidP="00074920" w14:paraId="78F4E9E0" w14:textId="77777777">
      <w:pPr>
        <w:pStyle w:val="NormalHanging12a"/>
      </w:pPr>
      <w:r w:rsidRPr="004D6551">
        <w:t>I.</w:t>
      </w:r>
      <w:r w:rsidRPr="004D6551">
        <w:tab/>
        <w:t>mając na uwadze, że zgodnie z art. 5 ust. 2 Regulaminu immunitet parlamentarny nie jest osobistym przywilejem posła, lecz gwarancją niezależności Parlamentu jako całości oraz jego członków;</w:t>
      </w:r>
    </w:p>
    <w:p w:rsidR="00074920" w:rsidRPr="004D6551" w:rsidP="00074920" w14:paraId="66BD2305" w14:textId="78553A98">
      <w:pPr>
        <w:pStyle w:val="NormalHanging12a"/>
      </w:pPr>
      <w:r w:rsidRPr="004D6551">
        <w:t>J.</w:t>
      </w:r>
      <w:r w:rsidRPr="004D6551">
        <w:tab/>
        <w:t xml:space="preserve">mając na uwadze, że w niniejszej sprawie Parlament nie znalazł żadnych dowodów wskazujących na zaistnienie </w:t>
      </w:r>
      <w:r w:rsidRPr="004D6551">
        <w:t>fumus</w:t>
      </w:r>
      <w:r w:rsidRPr="004D6551">
        <w:t xml:space="preserve"> </w:t>
      </w:r>
      <w:r w:rsidRPr="004D6551">
        <w:t>persecutionis</w:t>
      </w:r>
      <w:r w:rsidRPr="004D6551">
        <w:t xml:space="preserve">, </w:t>
      </w:r>
      <w:bookmarkStart w:id="9" w:name="_Hlk228194129"/>
      <w:r w:rsidRPr="004D6551">
        <w:t xml:space="preserve">to znaczy nie wydaje się, aby u podstaw przedmiotowego postępowania sądowego leżał zamiar podważenia działalności politycznej </w:t>
      </w:r>
      <w:bookmarkEnd w:id="9"/>
      <w:r w:rsidR="009C5164">
        <w:t>Patryka Jakiego jako posła do Parlamentu Europejskiego</w:t>
      </w:r>
      <w:r w:rsidRPr="004D6551">
        <w:t xml:space="preserve">, </w:t>
      </w:r>
      <w:bookmarkStart w:id="10" w:name="_Hlk228194138"/>
      <w:r w:rsidRPr="004D6551">
        <w:t>a tym samym niezależności Parlamentu</w:t>
      </w:r>
      <w:bookmarkEnd w:id="10"/>
      <w:r w:rsidRPr="004D6551">
        <w:t>;</w:t>
      </w:r>
    </w:p>
    <w:p w:rsidR="00801ED1" w:rsidRPr="006E5CF1" w:rsidP="00801ED1" w14:paraId="491D442C" w14:textId="5F64C730">
      <w:pPr>
        <w:pStyle w:val="NormalHanging12a"/>
      </w:pPr>
      <w:r w:rsidRPr="006E5CF1">
        <w:t>K.</w:t>
      </w:r>
      <w:r w:rsidRPr="006E5CF1">
        <w:tab/>
      </w:r>
      <w:bookmarkStart w:id="11" w:name="_Hlk228193849"/>
      <w:r w:rsidRPr="006E5CF1">
        <w:t xml:space="preserve">mając na uwadze, że Parlamentu nie można uznawać za sąd, a </w:t>
      </w:r>
      <w:r w:rsidRPr="006E5CF1" w:rsidR="00ED6FB6">
        <w:t xml:space="preserve">w kontekście procedury uchylenia immunitetu </w:t>
      </w:r>
      <w:r w:rsidRPr="006E5CF1">
        <w:t xml:space="preserve">posła </w:t>
      </w:r>
      <w:r w:rsidR="00ED6FB6">
        <w:t>nie można uznawać</w:t>
      </w:r>
      <w:r w:rsidRPr="006E5CF1">
        <w:t xml:space="preserve"> za oskarżonego</w:t>
      </w:r>
      <w:bookmarkEnd w:id="11"/>
      <w:r>
        <w:rPr>
          <w:vertAlign w:val="superscript"/>
        </w:rPr>
        <w:footnoteReference w:id="3"/>
      </w:r>
      <w:r w:rsidRPr="006E5CF1">
        <w:t>;</w:t>
      </w:r>
    </w:p>
    <w:p w:rsidR="00801ED1" w:rsidRPr="006E5CF1" w:rsidP="00801ED1" w14:paraId="02CD28C0" w14:textId="119A7908">
      <w:pPr>
        <w:pStyle w:val="NormalHanging12a"/>
      </w:pPr>
      <w:r w:rsidRPr="006E5CF1">
        <w:t>1.</w:t>
      </w:r>
      <w:r w:rsidRPr="006E5CF1">
        <w:tab/>
      </w:r>
      <w:r w:rsidR="00ED6FB6">
        <w:t>postanawia uchylić</w:t>
      </w:r>
      <w:r w:rsidRPr="006E5CF1">
        <w:t xml:space="preserve"> </w:t>
      </w:r>
      <w:r w:rsidR="00ED6FB6">
        <w:t>immunitet</w:t>
      </w:r>
      <w:r w:rsidRPr="006E5CF1">
        <w:t xml:space="preserve"> Patryka Jakiego;</w:t>
      </w:r>
    </w:p>
    <w:p w:rsidR="00801ED1" w:rsidRPr="006E5CF1" w:rsidP="00801ED1" w14:paraId="13A0FC49" w14:textId="4F3B815F">
      <w:pPr>
        <w:pStyle w:val="NormalHanging12a"/>
      </w:pPr>
      <w:r w:rsidRPr="006E5CF1">
        <w:t>2.</w:t>
      </w:r>
      <w:r w:rsidRPr="006E5CF1">
        <w:tab/>
        <w:t xml:space="preserve">zobowiązuje swoją przewodniczącą do bezzwłocznego przekazania niniejszej decyzji </w:t>
      </w:r>
      <w:r w:rsidR="00ED6FB6">
        <w:t>wraz ze</w:t>
      </w:r>
      <w:r w:rsidRPr="006E5CF1">
        <w:t> sprawozdani</w:t>
      </w:r>
      <w:r w:rsidR="00ED6FB6">
        <w:t>em</w:t>
      </w:r>
      <w:r w:rsidRPr="006E5CF1">
        <w:t xml:space="preserve"> właściwej komisji </w:t>
      </w:r>
      <w:r w:rsidR="00ED6FB6">
        <w:t>właściwemu organowi</w:t>
      </w:r>
      <w:r w:rsidRPr="006E5CF1">
        <w:t xml:space="preserve"> Rzeczypospolitej Polskiej oraz Patrykowi Jakiemu.</w:t>
      </w:r>
    </w:p>
    <w:p w:rsidR="00E365E1" w:rsidRPr="004D6551" w:rsidP="00801ED1" w14:paraId="5FE8FCDA" w14:textId="19756E83">
      <w:pPr>
        <w:pStyle w:val="NormalHanging12a"/>
      </w:pPr>
    </w:p>
    <w:sectPr w:rsidSect="004D65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D6551" w14:paraId="1B95924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D6551" w14:paraId="15D98BE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D6551" w14:paraId="35CD472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A6EA9" w:rsidRPr="004D6551" w14:paraId="538DB641" w14:textId="77777777">
      <w:r w:rsidRPr="004D6551">
        <w:separator/>
      </w:r>
    </w:p>
  </w:footnote>
  <w:footnote w:type="continuationSeparator" w:id="1">
    <w:p w:rsidR="00EA6EA9" w:rsidRPr="004D6551" w14:paraId="4F004497" w14:textId="77777777">
      <w:r w:rsidRPr="004D6551">
        <w:continuationSeparator/>
      </w:r>
    </w:p>
  </w:footnote>
  <w:footnote w:id="2">
    <w:p w:rsidR="00074920" w:rsidRPr="004D6551" w:rsidP="004D6551" w14:paraId="163DFB5B" w14:textId="28372A5E">
      <w:pPr>
        <w:pStyle w:val="FootnoteText"/>
        <w:ind w:left="567" w:hanging="567"/>
        <w:rPr>
          <w:sz w:val="24"/>
          <w:lang w:val="pl-PL"/>
        </w:rPr>
      </w:pPr>
      <w:r w:rsidRPr="004D6551">
        <w:rPr>
          <w:rStyle w:val="FootnoteReference"/>
          <w:sz w:val="24"/>
          <w:lang w:val="pl-PL"/>
        </w:rPr>
        <w:footnoteRef/>
      </w:r>
      <w:r w:rsidRPr="004D6551" w:rsidR="004D6551">
        <w:rPr>
          <w:sz w:val="24"/>
          <w:lang w:val="pl-PL"/>
        </w:rPr>
        <w:t xml:space="preserve"> </w:t>
      </w:r>
      <w:r w:rsidRPr="004D6551" w:rsidR="004D6551">
        <w:rPr>
          <w:sz w:val="24"/>
          <w:lang w:val="pl-PL"/>
        </w:rPr>
        <w:tab/>
      </w:r>
      <w:r w:rsidRPr="004D6551">
        <w:rPr>
          <w:sz w:val="24"/>
          <w:lang w:val="pl-PL"/>
        </w:rPr>
        <w:t xml:space="preserve">Wyrok Trybunału Sprawiedliwości z dnia 21 października 2008 r., </w:t>
      </w:r>
      <w:r w:rsidRPr="004D6551">
        <w:rPr>
          <w:i/>
          <w:sz w:val="24"/>
          <w:lang w:val="pl-PL"/>
        </w:rPr>
        <w:t>Marra</w:t>
      </w:r>
      <w:r w:rsidRPr="004D6551">
        <w:rPr>
          <w:sz w:val="24"/>
          <w:lang w:val="pl-PL"/>
        </w:rPr>
        <w:t>/</w:t>
      </w:r>
      <w:r w:rsidRPr="004D6551">
        <w:rPr>
          <w:i/>
          <w:sz w:val="24"/>
          <w:lang w:val="pl-PL"/>
        </w:rPr>
        <w:t xml:space="preserve">De </w:t>
      </w:r>
      <w:r w:rsidRPr="004D6551">
        <w:rPr>
          <w:i/>
          <w:sz w:val="24"/>
          <w:lang w:val="pl-PL"/>
        </w:rPr>
        <w:t>Gregorio</w:t>
      </w:r>
      <w:r w:rsidRPr="004D6551">
        <w:rPr>
          <w:i/>
          <w:sz w:val="24"/>
          <w:lang w:val="pl-PL"/>
        </w:rPr>
        <w:t xml:space="preserve"> i </w:t>
      </w:r>
      <w:r w:rsidRPr="004D6551">
        <w:rPr>
          <w:i/>
          <w:sz w:val="24"/>
          <w:lang w:val="pl-PL"/>
        </w:rPr>
        <w:t>Clemente</w:t>
      </w:r>
      <w:r w:rsidRPr="004D6551">
        <w:rPr>
          <w:sz w:val="24"/>
          <w:lang w:val="pl-PL"/>
        </w:rPr>
        <w:t xml:space="preserve">, C-200/07 i C-201/07, ECLI:EU:C:2008:579; wyrok Sądu z dnia 19 marca 2010 r., </w:t>
      </w:r>
      <w:r w:rsidRPr="004D6551">
        <w:rPr>
          <w:i/>
          <w:sz w:val="24"/>
          <w:lang w:val="pl-PL"/>
        </w:rPr>
        <w:t>Gollnisch</w:t>
      </w:r>
      <w:r w:rsidRPr="004D6551">
        <w:rPr>
          <w:sz w:val="24"/>
          <w:lang w:val="pl-PL"/>
        </w:rPr>
        <w:t>/</w:t>
      </w:r>
      <w:r w:rsidRPr="004D6551">
        <w:rPr>
          <w:i/>
          <w:sz w:val="24"/>
          <w:lang w:val="pl-PL"/>
        </w:rPr>
        <w:t>Parlament</w:t>
      </w:r>
      <w:r w:rsidRPr="004D6551">
        <w:rPr>
          <w:sz w:val="24"/>
          <w:lang w:val="pl-PL"/>
        </w:rPr>
        <w:t xml:space="preserve">, T-42/06, ECLI:EU:T:2010:102; wyrok Trybunału Sprawiedliwości z 6 września 2011 r., </w:t>
      </w:r>
      <w:r w:rsidRPr="004D6551">
        <w:rPr>
          <w:i/>
          <w:sz w:val="24"/>
          <w:lang w:val="pl-PL"/>
        </w:rPr>
        <w:t>Patriciello</w:t>
      </w:r>
      <w:r w:rsidRPr="004D6551">
        <w:rPr>
          <w:sz w:val="24"/>
          <w:lang w:val="pl-PL"/>
        </w:rPr>
        <w:t xml:space="preserve">, C-163/10, ECLI: EU:C:2011:543; wyrok Sądu z dnia 17 stycznia 2013 r., </w:t>
      </w:r>
      <w:r w:rsidRPr="004D6551">
        <w:rPr>
          <w:i/>
          <w:sz w:val="24"/>
          <w:lang w:val="pl-PL"/>
        </w:rPr>
        <w:t>Gollnisch</w:t>
      </w:r>
      <w:r w:rsidRPr="004D6551">
        <w:rPr>
          <w:sz w:val="24"/>
          <w:lang w:val="pl-PL"/>
        </w:rPr>
        <w:t>/</w:t>
      </w:r>
      <w:r w:rsidRPr="004D6551">
        <w:rPr>
          <w:i/>
          <w:sz w:val="24"/>
          <w:lang w:val="pl-PL"/>
        </w:rPr>
        <w:t>Parlament,</w:t>
      </w:r>
      <w:r w:rsidRPr="004D6551">
        <w:rPr>
          <w:sz w:val="24"/>
          <w:lang w:val="pl-PL"/>
        </w:rPr>
        <w:t xml:space="preserve"> T-346/11 i T-347/11, ECLI:EU:T:2013:23; wyrok Trybunału Sprawiedliwości z dnia 19 grudnia 2019 r., </w:t>
      </w:r>
      <w:r w:rsidRPr="004D6551">
        <w:rPr>
          <w:i/>
          <w:sz w:val="24"/>
          <w:lang w:val="pl-PL"/>
        </w:rPr>
        <w:t>Junqueras</w:t>
      </w:r>
      <w:r w:rsidRPr="004D6551">
        <w:rPr>
          <w:i/>
          <w:sz w:val="24"/>
          <w:lang w:val="pl-PL"/>
        </w:rPr>
        <w:t xml:space="preserve"> </w:t>
      </w:r>
      <w:r w:rsidRPr="004D6551">
        <w:rPr>
          <w:i/>
          <w:sz w:val="24"/>
          <w:lang w:val="pl-PL"/>
        </w:rPr>
        <w:t>Vies</w:t>
      </w:r>
      <w:r w:rsidRPr="004D6551">
        <w:rPr>
          <w:sz w:val="24"/>
          <w:lang w:val="pl-PL"/>
        </w:rPr>
        <w:t>, C-502/19, ECLI:EU:C:2019:1115.</w:t>
      </w:r>
    </w:p>
  </w:footnote>
  <w:footnote w:id="3">
    <w:p w:rsidR="00801ED1" w:rsidRPr="00801ED1" w:rsidP="00801ED1" w14:paraId="21FB2848" w14:textId="77777777">
      <w:pPr>
        <w:pStyle w:val="FootnoteText"/>
        <w:rPr>
          <w:lang w:val="pl-PL"/>
        </w:rPr>
      </w:pPr>
      <w:r w:rsidRPr="006E5CF1">
        <w:rPr>
          <w:rStyle w:val="FootnoteReference"/>
        </w:rPr>
        <w:footnoteRef/>
      </w:r>
      <w:r w:rsidRPr="00801ED1">
        <w:rPr>
          <w:rStyle w:val="FootnoteReference"/>
          <w:lang w:val="pl-PL"/>
        </w:rPr>
        <w:t xml:space="preserve"> </w:t>
      </w:r>
      <w:r w:rsidRPr="00801ED1">
        <w:rPr>
          <w:lang w:val="pl-PL"/>
        </w:rPr>
        <w:t xml:space="preserve">Wyrok Sądu z dnia 30 kwietnia 2019 r., </w:t>
      </w:r>
      <w:r w:rsidRPr="00801ED1">
        <w:rPr>
          <w:i/>
          <w:lang w:val="pl-PL"/>
        </w:rPr>
        <w:t>Briois</w:t>
      </w:r>
      <w:r w:rsidRPr="00801ED1">
        <w:rPr>
          <w:lang w:val="pl-PL"/>
        </w:rPr>
        <w:t>/</w:t>
      </w:r>
      <w:r w:rsidRPr="00801ED1">
        <w:rPr>
          <w:i/>
          <w:lang w:val="pl-PL"/>
        </w:rPr>
        <w:t>Parlement</w:t>
      </w:r>
      <w:r w:rsidRPr="00801ED1">
        <w:rPr>
          <w:lang w:val="pl-PL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D6551" w14:paraId="77BE734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D6551" w14:paraId="01315C6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D6551" w14:paraId="6AC4F0E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1653847">
    <w:abstractNumId w:val="9"/>
  </w:num>
  <w:num w:numId="2" w16cid:durableId="1304696196">
    <w:abstractNumId w:val="9"/>
  </w:num>
  <w:num w:numId="3" w16cid:durableId="1104349165">
    <w:abstractNumId w:val="7"/>
  </w:num>
  <w:num w:numId="4" w16cid:durableId="955215679">
    <w:abstractNumId w:val="7"/>
  </w:num>
  <w:num w:numId="5" w16cid:durableId="807631935">
    <w:abstractNumId w:val="6"/>
  </w:num>
  <w:num w:numId="6" w16cid:durableId="1827549697">
    <w:abstractNumId w:val="6"/>
  </w:num>
  <w:num w:numId="7" w16cid:durableId="434791953">
    <w:abstractNumId w:val="5"/>
  </w:num>
  <w:num w:numId="8" w16cid:durableId="1859081053">
    <w:abstractNumId w:val="5"/>
  </w:num>
  <w:num w:numId="9" w16cid:durableId="896356111">
    <w:abstractNumId w:val="4"/>
  </w:num>
  <w:num w:numId="10" w16cid:durableId="1847206559">
    <w:abstractNumId w:val="4"/>
  </w:num>
  <w:num w:numId="11" w16cid:durableId="1805804661">
    <w:abstractNumId w:val="8"/>
  </w:num>
  <w:num w:numId="12" w16cid:durableId="180901081">
    <w:abstractNumId w:val="8"/>
  </w:num>
  <w:num w:numId="13" w16cid:durableId="1136920408">
    <w:abstractNumId w:val="3"/>
  </w:num>
  <w:num w:numId="14" w16cid:durableId="1337149349">
    <w:abstractNumId w:val="3"/>
  </w:num>
  <w:num w:numId="15" w16cid:durableId="1442843153">
    <w:abstractNumId w:val="2"/>
  </w:num>
  <w:num w:numId="16" w16cid:durableId="1822775271">
    <w:abstractNumId w:val="2"/>
  </w:num>
  <w:num w:numId="17" w16cid:durableId="1404180426">
    <w:abstractNumId w:val="1"/>
  </w:num>
  <w:num w:numId="18" w16cid:durableId="2125152107">
    <w:abstractNumId w:val="1"/>
  </w:num>
  <w:num w:numId="19" w16cid:durableId="476458330">
    <w:abstractNumId w:val="0"/>
  </w:num>
  <w:num w:numId="20" w16cid:durableId="406727864">
    <w:abstractNumId w:val="0"/>
  </w:num>
  <w:num w:numId="21" w16cid:durableId="223611142">
    <w:abstractNumId w:val="9"/>
  </w:num>
  <w:num w:numId="22" w16cid:durableId="1429739970">
    <w:abstractNumId w:val="7"/>
  </w:num>
  <w:num w:numId="23" w16cid:durableId="1184902050">
    <w:abstractNumId w:val="6"/>
  </w:num>
  <w:num w:numId="24" w16cid:durableId="946690780">
    <w:abstractNumId w:val="5"/>
  </w:num>
  <w:num w:numId="25" w16cid:durableId="995718809">
    <w:abstractNumId w:val="4"/>
  </w:num>
  <w:num w:numId="26" w16cid:durableId="369376513">
    <w:abstractNumId w:val="8"/>
  </w:num>
  <w:num w:numId="27" w16cid:durableId="2092121876">
    <w:abstractNumId w:val="3"/>
  </w:num>
  <w:num w:numId="28" w16cid:durableId="1319698719">
    <w:abstractNumId w:val="2"/>
  </w:num>
  <w:num w:numId="29" w16cid:durableId="1081488547">
    <w:abstractNumId w:val="1"/>
  </w:num>
  <w:num w:numId="30" w16cid:durableId="1209338690">
    <w:abstractNumId w:val="0"/>
  </w:num>
  <w:num w:numId="31" w16cid:durableId="995186004">
    <w:abstractNumId w:val="9"/>
  </w:num>
  <w:num w:numId="32" w16cid:durableId="150681162">
    <w:abstractNumId w:val="7"/>
  </w:num>
  <w:num w:numId="33" w16cid:durableId="1423256515">
    <w:abstractNumId w:val="6"/>
  </w:num>
  <w:num w:numId="34" w16cid:durableId="1411393688">
    <w:abstractNumId w:val="5"/>
  </w:num>
  <w:num w:numId="35" w16cid:durableId="2032409458">
    <w:abstractNumId w:val="4"/>
  </w:num>
  <w:num w:numId="36" w16cid:durableId="1740597595">
    <w:abstractNumId w:val="8"/>
  </w:num>
  <w:num w:numId="37" w16cid:durableId="1121341342">
    <w:abstractNumId w:val="3"/>
  </w:num>
  <w:num w:numId="38" w16cid:durableId="2079934027">
    <w:abstractNumId w:val="2"/>
  </w:num>
  <w:num w:numId="39" w16cid:durableId="999305748">
    <w:abstractNumId w:val="1"/>
  </w:num>
  <w:num w:numId="40" w16cid:durableId="474642388">
    <w:abstractNumId w:val="0"/>
  </w:num>
  <w:num w:numId="41" w16cid:durableId="1061903702">
    <w:abstractNumId w:val="10"/>
  </w:num>
  <w:num w:numId="42" w16cid:durableId="144467960">
    <w:abstractNumId w:val="10"/>
  </w:num>
  <w:num w:numId="43" w16cid:durableId="1550340783">
    <w:abstractNumId w:val="10"/>
  </w:num>
  <w:num w:numId="44" w16cid:durableId="9123940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EA9"/>
    <w:rsid w:val="00002272"/>
    <w:rsid w:val="00064002"/>
    <w:rsid w:val="000677B9"/>
    <w:rsid w:val="00074920"/>
    <w:rsid w:val="000831BA"/>
    <w:rsid w:val="000A42CC"/>
    <w:rsid w:val="000C2E9A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2164"/>
    <w:rsid w:val="003E15D4"/>
    <w:rsid w:val="003E6086"/>
    <w:rsid w:val="00411CCE"/>
    <w:rsid w:val="0041666E"/>
    <w:rsid w:val="00421060"/>
    <w:rsid w:val="00471C19"/>
    <w:rsid w:val="004867E3"/>
    <w:rsid w:val="00494A28"/>
    <w:rsid w:val="004C0004"/>
    <w:rsid w:val="004C5D52"/>
    <w:rsid w:val="004D6551"/>
    <w:rsid w:val="0050519A"/>
    <w:rsid w:val="005072A1"/>
    <w:rsid w:val="00514517"/>
    <w:rsid w:val="00545827"/>
    <w:rsid w:val="00560270"/>
    <w:rsid w:val="005C2568"/>
    <w:rsid w:val="005F1B17"/>
    <w:rsid w:val="006037C0"/>
    <w:rsid w:val="006620DF"/>
    <w:rsid w:val="006631B6"/>
    <w:rsid w:val="00680577"/>
    <w:rsid w:val="006E5CF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ED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5164"/>
    <w:rsid w:val="00A1687D"/>
    <w:rsid w:val="00A43E52"/>
    <w:rsid w:val="00A4678D"/>
    <w:rsid w:val="00A778C7"/>
    <w:rsid w:val="00AA2FEB"/>
    <w:rsid w:val="00AB441E"/>
    <w:rsid w:val="00AB6293"/>
    <w:rsid w:val="00AE0928"/>
    <w:rsid w:val="00AF3B82"/>
    <w:rsid w:val="00AF41F4"/>
    <w:rsid w:val="00B12E95"/>
    <w:rsid w:val="00B22876"/>
    <w:rsid w:val="00B558F0"/>
    <w:rsid w:val="00B843A8"/>
    <w:rsid w:val="00BD48FE"/>
    <w:rsid w:val="00BD7BD8"/>
    <w:rsid w:val="00BE6ADC"/>
    <w:rsid w:val="00BF0221"/>
    <w:rsid w:val="00C05BFE"/>
    <w:rsid w:val="00C23CD4"/>
    <w:rsid w:val="00C360F0"/>
    <w:rsid w:val="00C61C0C"/>
    <w:rsid w:val="00C941CB"/>
    <w:rsid w:val="00CC2357"/>
    <w:rsid w:val="00CF071A"/>
    <w:rsid w:val="00D058B8"/>
    <w:rsid w:val="00D47329"/>
    <w:rsid w:val="00D56C11"/>
    <w:rsid w:val="00D834A0"/>
    <w:rsid w:val="00D872DF"/>
    <w:rsid w:val="00D91E21"/>
    <w:rsid w:val="00DA7FCD"/>
    <w:rsid w:val="00E365E1"/>
    <w:rsid w:val="00E820A4"/>
    <w:rsid w:val="00EA6EA9"/>
    <w:rsid w:val="00EB006A"/>
    <w:rsid w:val="00EB4772"/>
    <w:rsid w:val="00ED169E"/>
    <w:rsid w:val="00ED4235"/>
    <w:rsid w:val="00ED6FB6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08/2026"/>
    <w:docVar w:name="dvlangue" w:val="PL"/>
    <w:docVar w:name="dvnumam" w:val="0"/>
    <w:docVar w:name="dvpe" w:val="786.688"/>
    <w:docVar w:name="dvrapporteur" w:val="Sprawozdawca: "/>
    <w:docVar w:name="dvtitre" w:val="Decyzja Parlamentu Europejskiego z dnia  2026 r. w sprawie wniosku o uchylenie immunitetu Patryka Jakiego(2025/2171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DA8EF8C"/>
  <w15:chartTrackingRefBased/>
  <w15:docId w15:val="{781BEBD4-F6F1-4773-8ADF-D34DE974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74920"/>
    <w:pPr>
      <w:spacing w:after="240"/>
      <w:ind w:left="567" w:hanging="567"/>
    </w:pPr>
  </w:style>
  <w:style w:type="paragraph" w:customStyle="1" w:styleId="EPComma">
    <w:name w:val="EPComma"/>
    <w:basedOn w:val="Normal"/>
    <w:rsid w:val="00074920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839</Words>
  <Characters>5173</Characters>
  <Application>Microsoft Office Word</Application>
  <DocSecurity>0</DocSecurity>
  <Lines>43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7</cp:revision>
  <cp:lastPrinted>2004-11-19T15:42:00Z</cp:lastPrinted>
  <dcterms:created xsi:type="dcterms:W3CDTF">2026-04-27T10:38:00Z</dcterms:created>
  <dcterms:modified xsi:type="dcterms:W3CDTF">2026-04-28T11:13:00Z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A10-0108/2026</vt:lpwstr>
  </property>
  <property fmtid="{D5CDD505-2E9C-101B-9397-08002B2CF9AE}" pid="4" name="&lt;Type&gt;">
    <vt:lpwstr>RR</vt:lpwstr>
  </property>
</Properties>
</file>