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BDDAC8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30BE" w:rsidP="0010095E" w14:paraId="75A6E59C" w14:textId="77777777">
            <w:pPr>
              <w:pStyle w:val="EPName"/>
            </w:pPr>
            <w:r w:rsidRPr="00EA30BE">
              <w:t xml:space="preserve">Parlamento </w:t>
            </w:r>
            <w:r w:rsidRPr="00EA30BE">
              <w:t>Europeu</w:t>
            </w:r>
          </w:p>
          <w:p w:rsidR="00751A4A" w:rsidRPr="00EA30BE" w:rsidP="005F1B17" w14:paraId="1EC37E2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30BE">
              <w:t>2024</w:t>
            </w:r>
            <w:r w:rsidRPr="00EA30BE" w:rsidR="00817416">
              <w:t>-202</w:t>
            </w:r>
            <w:r w:rsidRPr="00EA30B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A30BE" w:rsidP="0010095E" w14:paraId="4CCC120F" w14:textId="77777777">
            <w:pPr>
              <w:pStyle w:val="EPLogo"/>
            </w:pPr>
            <w:r w:rsidRPr="00EA30B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30BE" w:rsidP="004C5D52" w14:paraId="122FAFA7" w14:textId="77777777">
      <w:pPr>
        <w:pStyle w:val="LineTop"/>
      </w:pPr>
    </w:p>
    <w:p w:rsidR="00680577" w:rsidRPr="00EA30BE" w:rsidP="00680577" w14:paraId="4A724487" w14:textId="77777777">
      <w:pPr>
        <w:pStyle w:val="EPBodyTA1"/>
      </w:pPr>
      <w:r w:rsidRPr="00EA30BE">
        <w:t>TEXTOS APROVADOS</w:t>
      </w:r>
    </w:p>
    <w:p w:rsidR="00D058B8" w:rsidRPr="00EA30BE" w:rsidP="00D058B8" w14:paraId="1CBBC4FD" w14:textId="77777777">
      <w:pPr>
        <w:pStyle w:val="LineBottom"/>
      </w:pPr>
    </w:p>
    <w:p w:rsidR="00023E50" w:rsidRPr="00EA30BE" w:rsidP="00023E50" w14:paraId="6A80DE7F" w14:textId="0C4D14A7">
      <w:pPr>
        <w:pStyle w:val="ATHeading1"/>
      </w:pPr>
      <w:bookmarkStart w:id="0" w:name="TANumber"/>
      <w:r w:rsidRPr="00EA30BE">
        <w:t>P10_</w:t>
      </w:r>
      <w:r w:rsidRPr="00EA30BE">
        <w:t>TA(</w:t>
      </w:r>
      <w:r w:rsidRPr="00EA30BE">
        <w:t>2026)</w:t>
      </w:r>
      <w:bookmarkEnd w:id="0"/>
      <w:r w:rsidRPr="00EA30BE" w:rsidR="00EA30BE">
        <w:t>0</w:t>
      </w:r>
      <w:r w:rsidRPr="00EA30BE" w:rsidR="00EA30BE">
        <w:t>105</w:t>
      </w:r>
    </w:p>
    <w:p w:rsidR="00023E50" w:rsidRPr="00EA30BE" w:rsidP="00023E50" w14:paraId="6CE49E01" w14:textId="77777777">
      <w:pPr>
        <w:pStyle w:val="ATHeading2"/>
      </w:pPr>
      <w:bookmarkStart w:id="1" w:name="title"/>
      <w:r w:rsidRPr="00EA30BE">
        <w:t xml:space="preserve">Pedido de levantamento da imunidade de </w:t>
      </w:r>
      <w:r w:rsidRPr="00EA30BE">
        <w:t>Patryk</w:t>
      </w:r>
      <w:r w:rsidRPr="00EA30BE">
        <w:t xml:space="preserve"> </w:t>
      </w:r>
      <w:r w:rsidRPr="00EA30BE">
        <w:t>Jaki</w:t>
      </w:r>
      <w:bookmarkEnd w:id="1"/>
    </w:p>
    <w:p w:rsidR="00023E50" w:rsidRPr="00EA30BE" w:rsidP="00023E50" w14:paraId="198E6D79" w14:textId="77777777">
      <w:pPr>
        <w:rPr>
          <w:i/>
          <w:vanish/>
        </w:rPr>
      </w:pPr>
      <w:r>
        <w:rPr>
          <w:i/>
        </w:rPr>
        <w:fldChar w:fldCharType="begin"/>
      </w:r>
      <w:r w:rsidRPr="00EA30BE">
        <w:rPr>
          <w:i/>
        </w:rPr>
        <w:instrText xml:space="preserve"> TC"(</w:instrText>
      </w:r>
      <w:bookmarkStart w:id="2" w:name="DocNumber"/>
      <w:r w:rsidRPr="00EA30BE">
        <w:rPr>
          <w:i/>
        </w:rPr>
        <w:instrText>A10-0108/2026</w:instrText>
      </w:r>
      <w:bookmarkEnd w:id="2"/>
      <w:r w:rsidRPr="00EA30BE">
        <w:rPr>
          <w:i/>
        </w:rPr>
        <w:instrText xml:space="preserve"> - Relator: Adrián </w:instrText>
      </w:r>
      <w:r w:rsidRPr="00EA30BE">
        <w:rPr>
          <w:i/>
        </w:rPr>
        <w:instrText>Vázquez</w:instrText>
      </w:r>
      <w:r w:rsidRPr="00EA30BE">
        <w:rPr>
          <w:i/>
        </w:rPr>
        <w:instrText xml:space="preserve"> Lázara)"\l3 \n&gt; \* MERGEFORMAT </w:instrText>
      </w:r>
      <w:r>
        <w:rPr>
          <w:i/>
        </w:rPr>
        <w:fldChar w:fldCharType="end"/>
      </w:r>
    </w:p>
    <w:p w:rsidR="00023E50" w:rsidRPr="00EA30BE" w:rsidP="00023E50" w14:paraId="080A7E06" w14:textId="77777777">
      <w:pPr>
        <w:rPr>
          <w:vanish/>
        </w:rPr>
      </w:pPr>
      <w:bookmarkStart w:id="3" w:name="Commission"/>
      <w:r w:rsidRPr="00EA30BE">
        <w:rPr>
          <w:vanish/>
        </w:rPr>
        <w:t>Comissão dos Assuntos Jurídicos</w:t>
      </w:r>
      <w:bookmarkEnd w:id="3"/>
    </w:p>
    <w:p w:rsidR="00023E50" w:rsidRPr="00EA30BE" w:rsidP="00023E50" w14:paraId="15914F19" w14:textId="77777777">
      <w:pPr>
        <w:rPr>
          <w:vanish/>
        </w:rPr>
      </w:pPr>
      <w:bookmarkStart w:id="4" w:name="PE"/>
      <w:r w:rsidRPr="00EA30BE">
        <w:rPr>
          <w:vanish/>
        </w:rPr>
        <w:t>PE786.688</w:t>
      </w:r>
      <w:bookmarkEnd w:id="4"/>
    </w:p>
    <w:p w:rsidR="00023E50" w:rsidRPr="00EA30BE" w:rsidP="00023E50" w14:paraId="0C2645F2" w14:textId="0BAEDA02">
      <w:pPr>
        <w:pStyle w:val="ATHeading3"/>
      </w:pPr>
      <w:bookmarkStart w:id="5" w:name="Sujet"/>
      <w:r w:rsidRPr="00EA30BE">
        <w:t xml:space="preserve">Decisão do Parlamento Europeu, de </w:t>
      </w:r>
      <w:r w:rsidRPr="00EA30BE" w:rsidR="00F83B1A">
        <w:t xml:space="preserve">28 </w:t>
      </w:r>
      <w:r w:rsidRPr="00EA30BE">
        <w:t xml:space="preserve">de </w:t>
      </w:r>
      <w:r w:rsidRPr="00EA30BE" w:rsidR="00F83B1A">
        <w:t xml:space="preserve">abril </w:t>
      </w:r>
      <w:r w:rsidRPr="00EA30BE">
        <w:t xml:space="preserve">de 2026, sobre o pedido de levantamento da imunidade de </w:t>
      </w:r>
      <w:r w:rsidRPr="00EA30BE">
        <w:t>Patryk</w:t>
      </w:r>
      <w:r w:rsidRPr="00EA30BE">
        <w:t xml:space="preserve"> </w:t>
      </w:r>
      <w:r w:rsidRPr="00EA30BE">
        <w:t>Jaki</w:t>
      </w:r>
      <w:bookmarkEnd w:id="5"/>
      <w:r w:rsidRPr="00EA30BE">
        <w:t xml:space="preserve"> </w:t>
      </w:r>
      <w:bookmarkStart w:id="6" w:name="References"/>
      <w:r w:rsidRPr="00EA30BE">
        <w:t>(2025/2171(IMM))</w:t>
      </w:r>
      <w:bookmarkEnd w:id="6"/>
    </w:p>
    <w:p w:rsidR="0031289E" w:rsidRPr="00EA30BE" w:rsidP="0031289E" w14:paraId="178EC1CA" w14:textId="77777777">
      <w:pPr>
        <w:pStyle w:val="EPComma"/>
      </w:pPr>
      <w:bookmarkStart w:id="7" w:name="TextBodyBegin"/>
      <w:bookmarkEnd w:id="7"/>
      <w:r w:rsidRPr="00EA30BE">
        <w:rPr>
          <w:i/>
          <w:iCs/>
        </w:rPr>
        <w:t>O Parlamento Europeu</w:t>
      </w:r>
      <w:r w:rsidRPr="00EA30BE">
        <w:t>,</w:t>
      </w:r>
    </w:p>
    <w:p w:rsidR="0031289E" w:rsidRPr="00EA30BE" w:rsidP="0031289E" w14:paraId="5AAD3075" w14:textId="43A51CED">
      <w:pPr>
        <w:pStyle w:val="NormalHanging12a"/>
      </w:pPr>
      <w:r w:rsidRPr="00EA30BE">
        <w:t>–</w:t>
      </w:r>
      <w:r w:rsidRPr="00EA30BE">
        <w:tab/>
        <w:t xml:space="preserve">Tendo recebido um pedido de levantamento da imunidade de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>, transmitido pelo Tribunal de Primeira Instância de Varsóvia</w:t>
      </w:r>
      <w:r w:rsidRPr="00EA30BE">
        <w:noBreakHyphen/>
      </w:r>
      <w:r w:rsidRPr="00EA30BE">
        <w:t>Śródmieście</w:t>
      </w:r>
      <w:r w:rsidRPr="00EA30BE">
        <w:t xml:space="preserve">, </w:t>
      </w:r>
      <w:r w:rsidRPr="00EA30BE" w:rsidR="00F83B1A">
        <w:t xml:space="preserve">por carta de 6 de agosto de 2025, </w:t>
      </w:r>
      <w:r w:rsidRPr="00EA30BE">
        <w:t xml:space="preserve">no âmbito de uma ação penal intentada contra o referido deputado através de uma acusação particular apresentada pelo representante legal do acusador particular, o qual foi </w:t>
      </w:r>
      <w:r w:rsidRPr="00EA30BE" w:rsidR="00832FC0">
        <w:t xml:space="preserve">anunciado no </w:t>
      </w:r>
      <w:r w:rsidRPr="00EA30BE">
        <w:t>Parlamento em 8 de setembro de 2025,</w:t>
      </w:r>
    </w:p>
    <w:p w:rsidR="0031289E" w:rsidRPr="00EA30BE" w:rsidP="0031289E" w14:paraId="4128DCAF" w14:textId="77777777">
      <w:pPr>
        <w:pStyle w:val="NormalHanging12a"/>
      </w:pPr>
      <w:r w:rsidRPr="00EA30BE">
        <w:t>–</w:t>
      </w:r>
      <w:r w:rsidRPr="00EA30BE">
        <w:tab/>
        <w:t xml:space="preserve">Tendo ouvido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em 23 de março de 2026, nos termos do artigo 9.º, n.º 6, do seu Regimento,</w:t>
      </w:r>
    </w:p>
    <w:p w:rsidR="0031289E" w:rsidRPr="00EA30BE" w:rsidP="0031289E" w14:paraId="57A6F9CB" w14:textId="77777777">
      <w:pPr>
        <w:pStyle w:val="NormalHanging12a"/>
      </w:pPr>
      <w:r w:rsidRPr="00EA30BE">
        <w:t>–</w:t>
      </w:r>
      <w:r w:rsidRPr="00EA30BE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:rsidR="0031289E" w:rsidRPr="00EA30BE" w:rsidP="0031289E" w14:paraId="3BC9C0E1" w14:textId="440C00A2">
      <w:pPr>
        <w:pStyle w:val="NormalHanging12a"/>
      </w:pPr>
      <w:r w:rsidRPr="00EA30BE">
        <w:t>–</w:t>
      </w:r>
      <w:r w:rsidRPr="00EA30BE">
        <w:tab/>
        <w:t>Tendo em conta os Acórdãos proferidos pelo Tribunal de Justiça da União Europeia em 21 de outubro de 2008, 19 de março de 2010, 6 de setembro de 2011, 17 de janeiro de</w:t>
      </w:r>
      <w:r w:rsidRPr="00EA30BE" w:rsidR="00AB797D">
        <w:t> </w:t>
      </w:r>
      <w:r w:rsidRPr="00EA30BE">
        <w:t>2013 e 19 de dezembro de 2019</w:t>
      </w:r>
      <w:r>
        <w:rPr>
          <w:vertAlign w:val="superscript"/>
        </w:rPr>
        <w:footnoteReference w:id="2"/>
      </w:r>
      <w:r w:rsidRPr="00EA30BE">
        <w:t>,</w:t>
      </w:r>
    </w:p>
    <w:p w:rsidR="0031289E" w:rsidRPr="00EA30BE" w:rsidP="0031289E" w14:paraId="45F9534D" w14:textId="77777777">
      <w:pPr>
        <w:pStyle w:val="NormalHanging12a"/>
      </w:pPr>
      <w:r w:rsidRPr="00EA30BE">
        <w:t>–</w:t>
      </w:r>
      <w:r w:rsidRPr="00EA30BE">
        <w:tab/>
        <w:t xml:space="preserve">Tendo em conta o artigo 105.º, </w:t>
      </w:r>
      <w:r w:rsidRPr="00EA30BE">
        <w:t>n.</w:t>
      </w:r>
      <w:r w:rsidRPr="00EA30BE">
        <w:rPr>
          <w:vertAlign w:val="superscript"/>
        </w:rPr>
        <w:t>os</w:t>
      </w:r>
      <w:r w:rsidRPr="00EA30BE">
        <w:t xml:space="preserve"> 2 e 5, da Constituição da República da Polónia,</w:t>
      </w:r>
    </w:p>
    <w:p w:rsidR="0031289E" w:rsidRPr="00EA30BE" w:rsidP="0031289E" w14:paraId="08FD8977" w14:textId="77777777">
      <w:pPr>
        <w:pStyle w:val="NormalHanging12a"/>
      </w:pPr>
      <w:r w:rsidRPr="00EA30BE">
        <w:t>–</w:t>
      </w:r>
      <w:r w:rsidRPr="00EA30BE">
        <w:tab/>
        <w:t>Tendo em conta o artigo 5.º, n.º 2, o artigo 6.º, n.º 1, e o artigo 9.º do seu Regimento,</w:t>
      </w:r>
    </w:p>
    <w:p w:rsidR="0031289E" w:rsidRPr="00EA30BE" w:rsidP="0031289E" w14:paraId="018F6191" w14:textId="77777777">
      <w:pPr>
        <w:pStyle w:val="NormalHanging12a"/>
      </w:pPr>
      <w:r w:rsidRPr="00EA30BE">
        <w:t>–</w:t>
      </w:r>
      <w:r w:rsidRPr="00EA30BE">
        <w:tab/>
        <w:t>Tendo em conta o relatório da Comissão dos Assuntos Jurídicos (A10</w:t>
      </w:r>
      <w:r w:rsidRPr="00EA30BE">
        <w:noBreakHyphen/>
        <w:t>0108/2026),</w:t>
      </w:r>
    </w:p>
    <w:p w:rsidR="0031289E" w:rsidRPr="00EA30BE" w:rsidP="0031289E" w14:paraId="749EA827" w14:textId="77777777">
      <w:pPr>
        <w:pStyle w:val="NormalHanging12a"/>
      </w:pPr>
      <w:r w:rsidRPr="00EA30BE">
        <w:t>A.</w:t>
      </w:r>
      <w:r w:rsidRPr="00EA30BE">
        <w:tab/>
        <w:t>Considerando que, por carta de 6 de agosto de 2025, o Tribunal de Primeira Instância de Varsóvia</w:t>
      </w:r>
      <w:r w:rsidRPr="00EA30BE">
        <w:noBreakHyphen/>
      </w:r>
      <w:r w:rsidRPr="00EA30BE">
        <w:t>Śródmieście</w:t>
      </w:r>
      <w:r w:rsidRPr="00EA30BE">
        <w:t xml:space="preserve"> apresentou um pedido de levantamento da imunidade de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, </w:t>
      </w:r>
      <w:bookmarkStart w:id="8" w:name="_Hlk222405545"/>
      <w:r w:rsidRPr="00EA30BE">
        <w:t>deputado ao Parlamento Europeu eleito na Polónia</w:t>
      </w:r>
      <w:bookmarkEnd w:id="8"/>
      <w:r w:rsidRPr="00EA30BE">
        <w:t>, relativamente a um processo penal que lhe foi instaurado por uma alegada infração objeto de acusação particular;</w:t>
      </w:r>
    </w:p>
    <w:p w:rsidR="0031289E" w:rsidRPr="00EA30BE" w:rsidP="0031289E" w14:paraId="05A5CE05" w14:textId="63F2EBA1">
      <w:pPr>
        <w:pStyle w:val="NormalHanging12a"/>
      </w:pPr>
      <w:r w:rsidRPr="00EA30BE">
        <w:t>B.</w:t>
      </w:r>
      <w:r w:rsidRPr="00EA30BE">
        <w:tab/>
        <w:t xml:space="preserve">Considerando que, de acordo com o pedido, no período compreendido entre 5 de junho de 2024 e 7 de junho de 2024, atuando de forma rápida e contínua, na concretização de um plano premeditado, e com intenção direta,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alegadamente difamou o acusador particular </w:t>
      </w:r>
      <w:r w:rsidRPr="00EA30BE" w:rsidR="00F83B1A">
        <w:t xml:space="preserve">– </w:t>
      </w:r>
      <w:r w:rsidRPr="00EA30BE">
        <w:t xml:space="preserve">um juiz </w:t>
      </w:r>
      <w:r w:rsidRPr="00EA30BE" w:rsidR="00F83B1A">
        <w:t xml:space="preserve">– </w:t>
      </w:r>
      <w:r w:rsidRPr="00EA30BE">
        <w:t xml:space="preserve">da seguinte forma: i) durante uma reunião de campanha eleitoral em </w:t>
      </w:r>
      <w:r w:rsidRPr="00EA30BE">
        <w:t>Będzin</w:t>
      </w:r>
      <w:r w:rsidRPr="00EA30BE">
        <w:t xml:space="preserve">, em 5 de junho de 2024, numa troca de pontos de vista com uma das pessoas presentes na reunião,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</w:t>
      </w:r>
      <w:r w:rsidRPr="00EA30BE" w:rsidR="00FF773C">
        <w:t xml:space="preserve">terá </w:t>
      </w:r>
      <w:r w:rsidRPr="00EA30BE" w:rsidR="00F617CA">
        <w:t xml:space="preserve">alegadamente </w:t>
      </w:r>
      <w:r w:rsidRPr="00EA30BE" w:rsidR="00FF773C">
        <w:t>feito</w:t>
      </w:r>
      <w:r w:rsidRPr="00EA30BE">
        <w:t xml:space="preserve"> declarações sobre o acusador particular </w:t>
      </w:r>
      <w:r w:rsidRPr="00EA30BE" w:rsidR="00F617CA">
        <w:t xml:space="preserve">afirmando </w:t>
      </w:r>
      <w:r w:rsidRPr="00EA30BE">
        <w:t xml:space="preserve">que este </w:t>
      </w:r>
      <w:r w:rsidRPr="00EA30BE" w:rsidR="00F617CA">
        <w:t xml:space="preserve">último </w:t>
      </w:r>
      <w:r w:rsidRPr="00EA30BE">
        <w:t>autorizo</w:t>
      </w:r>
      <w:r w:rsidRPr="00EA30BE" w:rsidR="00F617CA">
        <w:t>u</w:t>
      </w:r>
      <w:r w:rsidRPr="00EA30BE">
        <w:t xml:space="preserve"> inadvertidamente a utilização do software espião Pegasus, e </w:t>
      </w:r>
      <w:r w:rsidRPr="00EA30BE">
        <w:t>ii</w:t>
      </w:r>
      <w:r w:rsidRPr="00EA30BE">
        <w:t xml:space="preserve">) em 7 de junho de 2024,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alegadamente divulgou a gravação d</w:t>
      </w:r>
      <w:r w:rsidRPr="00EA30BE" w:rsidR="00FF773C">
        <w:t>ess</w:t>
      </w:r>
      <w:r w:rsidRPr="00EA30BE">
        <w:t xml:space="preserve">a troca de pontos de vista que teve lugar em todo o país através dos meios de comunicação social [ou seja, as plataformas das redes sociais Instagram, Facebook e X (Twitter)], </w:t>
      </w:r>
      <w:r w:rsidRPr="00EA30BE" w:rsidR="00F617CA">
        <w:t xml:space="preserve">afirmando </w:t>
      </w:r>
      <w:r w:rsidRPr="00EA30BE">
        <w:t>que o acusador particular tinha negligenciado as suas funções de juiz relacionadas com a realização de «inquéritos e controlos» não especificados sobre o método de vigilância operacional no contexto da apreciação de pedidos de ordens de vigilância operacional, que exercia indevidamente a sua profissão de juiz, e que era parcial por estar sob a influência de um partido político;</w:t>
      </w:r>
    </w:p>
    <w:p w:rsidR="0031289E" w:rsidRPr="00EA30BE" w:rsidP="0031289E" w14:paraId="44DD3968" w14:textId="22145464">
      <w:pPr>
        <w:pStyle w:val="NormalHanging12a"/>
      </w:pPr>
      <w:r w:rsidRPr="00EA30BE">
        <w:t>C.</w:t>
      </w:r>
      <w:r w:rsidRPr="00EA30BE">
        <w:tab/>
        <w:t xml:space="preserve">Considerando que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terá, assim, </w:t>
      </w:r>
      <w:r w:rsidRPr="00EA30BE" w:rsidR="00F617CA">
        <w:t xml:space="preserve">alegadamente </w:t>
      </w:r>
      <w:r w:rsidRPr="00EA30BE">
        <w:t xml:space="preserve">difamado o acusador particular com a intenção direta de o humilhar perante a opinião pública e de prejudicar a sua reputação, bem como de fazer com que perdesse a confiança necessária ao exercício das suas funções de juiz; </w:t>
      </w:r>
      <w:r w:rsidRPr="00EA30BE" w:rsidR="00377B36">
        <w:t xml:space="preserve">considerando </w:t>
      </w:r>
      <w:r w:rsidRPr="00EA30BE">
        <w:t>que os atos alegados podem constituir uma infração nos termos do artigo 212.º, n.º 1, em conjugação com o artigo 212.º, n.º 2, e o artigo 12.º, n.º 1, do Código Penal polaco;</w:t>
      </w:r>
    </w:p>
    <w:p w:rsidR="0031289E" w:rsidRPr="00EA30BE" w:rsidP="0031289E" w14:paraId="75F02F55" w14:textId="77777777">
      <w:pPr>
        <w:pStyle w:val="NormalHanging12a"/>
      </w:pPr>
      <w:r w:rsidRPr="00EA30BE">
        <w:t>D.</w:t>
      </w:r>
      <w:r w:rsidRPr="00EA30BE">
        <w:tab/>
        <w:t xml:space="preserve">Considerando que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foi eleito para o Parlamento Europeu nas eleições europeias de junho de 2019 e que, por conseguinte, não era deputado ao Parlamento Europeu no momento da alegada infração;</w:t>
      </w:r>
    </w:p>
    <w:p w:rsidR="0031289E" w:rsidRPr="00EA30BE" w:rsidP="0031289E" w14:paraId="1A54C6F1" w14:textId="77777777">
      <w:pPr>
        <w:pStyle w:val="NormalHanging12a"/>
      </w:pPr>
      <w:r w:rsidRPr="00EA30BE">
        <w:t>E.</w:t>
      </w:r>
      <w:r w:rsidRPr="00EA30BE">
        <w:tab/>
        <w:t xml:space="preserve">Considerando que a alegada infração não constitui uma opinião ou um voto emitido por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no exercício das suas funções, na aceção do artigo 8.º do Protocolo n.º 7 relativo aos Privilégios e Imunidades da União Europeia, nem o pedido subsequente de levantamento da imunidade de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 xml:space="preserve"> está relacionado com tal opinião ou voto;</w:t>
      </w:r>
    </w:p>
    <w:p w:rsidR="0031289E" w:rsidRPr="00EA30BE" w:rsidP="0031289E" w14:paraId="4160D727" w14:textId="794662EA">
      <w:pPr>
        <w:pStyle w:val="NormalHanging12a"/>
      </w:pPr>
      <w:r w:rsidRPr="00EA30BE">
        <w:t>F.</w:t>
      </w:r>
      <w:r w:rsidRPr="00EA30BE">
        <w:tab/>
        <w:t xml:space="preserve">Considerando que o artigo 9.º, primeiro parágrafo, alínea a), do Protocolo n.º 7 relativo aos Privilégios e Imunidades da União Europeia prevê que, durante as sessões do Parlamento Europeu, os seus deputados </w:t>
      </w:r>
      <w:r w:rsidRPr="00EA30BE" w:rsidR="00FF773C">
        <w:t>beneficiam</w:t>
      </w:r>
      <w:r w:rsidRPr="00EA30BE">
        <w:t xml:space="preserve">, no </w:t>
      </w:r>
      <w:r w:rsidRPr="00EA30BE" w:rsidR="00097D6E">
        <w:t xml:space="preserve">seu </w:t>
      </w:r>
      <w:r w:rsidRPr="00EA30BE">
        <w:t>território nacional, das imunidades reconhecidas aos membros do Parlamento do seu Estado</w:t>
      </w:r>
      <w:r w:rsidRPr="00EA30BE">
        <w:noBreakHyphen/>
        <w:t>Membro;</w:t>
      </w:r>
    </w:p>
    <w:p w:rsidR="0031289E" w:rsidRPr="00EA30BE" w:rsidP="00097D6E" w14:paraId="3B2AD793" w14:textId="6AE4A5FB">
      <w:pPr>
        <w:pStyle w:val="NormalHanging12a"/>
      </w:pPr>
      <w:r w:rsidRPr="00EA30BE">
        <w:t>G.</w:t>
      </w:r>
      <w:r w:rsidRPr="00EA30BE">
        <w:tab/>
        <w:t xml:space="preserve">Considerando que, </w:t>
      </w:r>
      <w:r w:rsidRPr="00EA30BE" w:rsidR="00832FC0">
        <w:t>nos termos</w:t>
      </w:r>
      <w:r w:rsidRPr="00EA30BE">
        <w:t xml:space="preserve"> </w:t>
      </w:r>
      <w:r w:rsidRPr="00EA30BE" w:rsidR="00832FC0">
        <w:t>d</w:t>
      </w:r>
      <w:r w:rsidRPr="00EA30BE">
        <w:t xml:space="preserve">o artigo 105.º, </w:t>
      </w:r>
      <w:r w:rsidRPr="00EA30BE">
        <w:t>n.</w:t>
      </w:r>
      <w:r w:rsidRPr="00EA30BE">
        <w:rPr>
          <w:vertAlign w:val="superscript"/>
        </w:rPr>
        <w:t>os</w:t>
      </w:r>
      <w:r w:rsidRPr="00EA30BE">
        <w:t xml:space="preserve"> 2 e 5, da Constituição </w:t>
      </w:r>
      <w:r w:rsidRPr="00EA30BE" w:rsidR="00097D6E">
        <w:t>da República da Polónia</w:t>
      </w:r>
      <w:r w:rsidRPr="00EA30BE">
        <w:t xml:space="preserve">, a partir da data do anúncio dos resultados das eleições até à data do termo do seu mandato, um deputado não pode ser sujeito a responsabilidade penal sem o consentimento da Câmara Baixa do Parlamento polaco e que apenas pode ser detido ou privado da sua liberdade com autorização dessa Câmara, exceto nos casos em que tenha </w:t>
      </w:r>
      <w:r w:rsidRPr="00EA30BE">
        <w:t>sido detido em flagrante delito ou em que a sua detenção seja indispensável à boa tramitação do processo;</w:t>
      </w:r>
    </w:p>
    <w:p w:rsidR="0031289E" w:rsidRPr="00EA30BE" w:rsidP="0031289E" w14:paraId="759CE529" w14:textId="522C8B70">
      <w:pPr>
        <w:pStyle w:val="NormalHanging12a"/>
      </w:pPr>
      <w:r w:rsidRPr="00EA30BE">
        <w:t>H.</w:t>
      </w:r>
      <w:r w:rsidRPr="00EA30BE">
        <w:tab/>
        <w:t xml:space="preserve">Considerando que o objetivo da imunidade </w:t>
      </w:r>
      <w:bookmarkStart w:id="9" w:name="_Hlk222405989"/>
      <w:r w:rsidRPr="00EA30BE">
        <w:t xml:space="preserve">prevista no Protocolo n.º 7 relativo aos Privilégios e Imunidades da União Europeia </w:t>
      </w:r>
      <w:bookmarkEnd w:id="9"/>
      <w:r w:rsidRPr="00EA30BE">
        <w:t>é proteger o Parlamento e os seus deputados contra processos judiciais relacionados com atividades exercidas no desempenho das suas funções parlamentares e que não podem ser separadas dessas funções;</w:t>
      </w:r>
    </w:p>
    <w:p w:rsidR="0031289E" w:rsidRPr="00EA30BE" w:rsidP="0031289E" w14:paraId="1F105008" w14:textId="791897BC">
      <w:pPr>
        <w:pStyle w:val="NormalHanging12a"/>
      </w:pPr>
      <w:r w:rsidRPr="00EA30BE">
        <w:t>I.</w:t>
      </w:r>
      <w:r w:rsidRPr="00EA30BE">
        <w:tab/>
        <w:t>Considerando que, nos termos do artigo 5.º, n.º 2, do seu Regimento, a imunidade parlamentar não é um privilégio pessoal dos deputados, mas sim uma garantia da independência do Parlamento como um todo, e dos seus membros;</w:t>
      </w:r>
    </w:p>
    <w:p w:rsidR="0031289E" w:rsidRPr="00EA30BE" w:rsidP="0031289E" w14:paraId="4FDAF961" w14:textId="4F614E92">
      <w:pPr>
        <w:pStyle w:val="NormalHanging12a"/>
      </w:pPr>
      <w:r w:rsidRPr="00EA30BE">
        <w:t>J.</w:t>
      </w:r>
      <w:r w:rsidRPr="00EA30BE">
        <w:tab/>
        <w:t xml:space="preserve">Considerando que, no caso em apreço, o Parlamento não conseguiu </w:t>
      </w:r>
      <w:r w:rsidRPr="00EA30BE" w:rsidR="00845D53">
        <w:t>encontrar indícios</w:t>
      </w:r>
      <w:r w:rsidRPr="00EA30BE">
        <w:t xml:space="preserve"> de </w:t>
      </w:r>
      <w:r w:rsidRPr="00EA30BE">
        <w:rPr>
          <w:i/>
        </w:rPr>
        <w:t>fumus</w:t>
      </w:r>
      <w:r w:rsidRPr="00EA30BE">
        <w:rPr>
          <w:i/>
        </w:rPr>
        <w:t xml:space="preserve"> </w:t>
      </w:r>
      <w:r w:rsidRPr="00EA30BE">
        <w:rPr>
          <w:i/>
        </w:rPr>
        <w:t>persecutionis</w:t>
      </w:r>
      <w:r w:rsidRPr="00EA30BE">
        <w:t xml:space="preserve">, ou seja, não </w:t>
      </w:r>
      <w:r w:rsidRPr="00EA30BE" w:rsidR="00845D53">
        <w:t>parece que a intenção subjacente ao</w:t>
      </w:r>
      <w:r w:rsidRPr="00EA30BE">
        <w:t xml:space="preserve"> processo judicial em causa </w:t>
      </w:r>
      <w:r w:rsidRPr="00EA30BE" w:rsidR="00845D53">
        <w:t>tenha si</w:t>
      </w:r>
      <w:r w:rsidRPr="00EA30BE" w:rsidR="00AE213C">
        <w:t>d</w:t>
      </w:r>
      <w:r w:rsidRPr="00EA30BE" w:rsidR="00845D53">
        <w:t>o a de</w:t>
      </w:r>
      <w:r w:rsidRPr="00EA30BE">
        <w:t xml:space="preserve"> prejudicar a atividade política </w:t>
      </w:r>
      <w:r w:rsidRPr="00EA30BE" w:rsidR="00FB46F4">
        <w:t xml:space="preserve">de </w:t>
      </w:r>
      <w:r w:rsidRPr="00EA30BE" w:rsidR="00FB46F4">
        <w:t>Patryk</w:t>
      </w:r>
      <w:r w:rsidRPr="00EA30BE" w:rsidR="00FB46F4">
        <w:t xml:space="preserve"> </w:t>
      </w:r>
      <w:r w:rsidRPr="00EA30BE" w:rsidR="00FB46F4">
        <w:t>Jaki</w:t>
      </w:r>
      <w:r w:rsidRPr="00EA30BE" w:rsidR="00FB46F4">
        <w:t xml:space="preserve"> </w:t>
      </w:r>
      <w:r w:rsidRPr="00EA30BE" w:rsidR="00FB46F4">
        <w:t xml:space="preserve">enquanto deputado ao Parlamento Europeu </w:t>
      </w:r>
      <w:r w:rsidRPr="00EA30BE">
        <w:t xml:space="preserve">e, </w:t>
      </w:r>
      <w:r w:rsidRPr="00EA30BE" w:rsidR="00845D53">
        <w:t>por conseguinte</w:t>
      </w:r>
      <w:r w:rsidRPr="00EA30BE">
        <w:t>, a independência do Parlamento;</w:t>
      </w:r>
    </w:p>
    <w:p w:rsidR="0031289E" w:rsidRPr="00EA30BE" w:rsidP="0031289E" w14:paraId="1E9DDA1A" w14:textId="77777777">
      <w:pPr>
        <w:pStyle w:val="NormalHanging12a"/>
      </w:pPr>
      <w:r w:rsidRPr="00EA30BE">
        <w:t>K.</w:t>
      </w:r>
      <w:r w:rsidRPr="00EA30BE">
        <w:tab/>
        <w:t>Considerando, por um lado, que o Parlamento não pode ser equiparado a um tribunal e que, por outro, o deputado, no contexto de um processo de levantamento da imunidade, não pode ser considerado «arguido»</w:t>
      </w:r>
      <w:r>
        <w:rPr>
          <w:vertAlign w:val="superscript"/>
        </w:rPr>
        <w:footnoteReference w:id="3"/>
      </w:r>
      <w:r w:rsidRPr="00EA30BE">
        <w:t>;</w:t>
      </w:r>
    </w:p>
    <w:p w:rsidR="0031289E" w:rsidRPr="00EA30BE" w:rsidP="0031289E" w14:paraId="28C4E573" w14:textId="77777777">
      <w:pPr>
        <w:pStyle w:val="NormalHanging12a"/>
      </w:pPr>
      <w:r w:rsidRPr="00EA30BE">
        <w:t>1.</w:t>
      </w:r>
      <w:r w:rsidRPr="00EA30BE">
        <w:tab/>
        <w:t xml:space="preserve">Decide levantar a imunidade de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>;</w:t>
      </w:r>
    </w:p>
    <w:p w:rsidR="00FC5495" w:rsidRPr="00EA30BE" w:rsidP="00FC5495" w14:paraId="24A323A0" w14:textId="631028A1">
      <w:pPr>
        <w:pStyle w:val="NormalHanging12a"/>
      </w:pPr>
      <w:r w:rsidRPr="00EA30BE">
        <w:t>2.</w:t>
      </w:r>
      <w:r w:rsidRPr="00EA30BE">
        <w:tab/>
        <w:t xml:space="preserve">Encarrega a sua Presidente de transmitir de imediato a presente decisão, bem como o relatório da sua comissão </w:t>
      </w:r>
      <w:r w:rsidRPr="00EA30BE" w:rsidR="00845D53">
        <w:t>competente</w:t>
      </w:r>
      <w:r w:rsidRPr="00EA30BE">
        <w:t xml:space="preserve">, às autoridades competentes da República da Polónia e a </w:t>
      </w:r>
      <w:r w:rsidRPr="00EA30BE">
        <w:t>Patryk</w:t>
      </w:r>
      <w:r w:rsidRPr="00EA30BE">
        <w:t xml:space="preserve"> </w:t>
      </w:r>
      <w:r w:rsidRPr="00EA30BE">
        <w:t>Jaki</w:t>
      </w:r>
      <w:r w:rsidRPr="00EA30BE">
        <w:t>.</w:t>
      </w:r>
    </w:p>
    <w:p w:rsidR="00E365E1" w:rsidRPr="00EA30BE" w:rsidP="00023E50" w14:paraId="468B3D89" w14:textId="0B1B7A76"/>
    <w:sectPr w:rsidSect="00FC5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4BBFF16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7E11B21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031B00F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23E50" w:rsidRPr="00FC5495" w14:paraId="65EC7B71" w14:textId="77777777">
      <w:r w:rsidRPr="00FC5495">
        <w:separator/>
      </w:r>
    </w:p>
  </w:footnote>
  <w:footnote w:type="continuationSeparator" w:id="1">
    <w:p w:rsidR="00023E50" w:rsidRPr="00FC5495" w14:paraId="448527FB" w14:textId="77777777">
      <w:r w:rsidRPr="00FC5495">
        <w:continuationSeparator/>
      </w:r>
    </w:p>
  </w:footnote>
  <w:footnote w:id="2">
    <w:p w:rsidR="0031289E" w:rsidRPr="00FC5495" w:rsidP="00FC5495" w14:paraId="1661A65F" w14:textId="03F809E1">
      <w:pPr>
        <w:pStyle w:val="FootnoteText"/>
        <w:ind w:left="567" w:hanging="567"/>
        <w:rPr>
          <w:sz w:val="24"/>
          <w:lang w:val="pt-PT"/>
        </w:rPr>
      </w:pPr>
      <w:r w:rsidRPr="00FC5495">
        <w:rPr>
          <w:rStyle w:val="FootnoteReference"/>
          <w:sz w:val="24"/>
          <w:lang w:val="pt-PT"/>
        </w:rPr>
        <w:footnoteRef/>
      </w:r>
      <w:r w:rsidRPr="00FC5495" w:rsidR="00FC5495">
        <w:rPr>
          <w:sz w:val="24"/>
          <w:lang w:val="pt-PT"/>
        </w:rPr>
        <w:t xml:space="preserve"> </w:t>
      </w:r>
      <w:r w:rsidRPr="00FC5495" w:rsidR="00FC5495">
        <w:rPr>
          <w:sz w:val="24"/>
          <w:lang w:val="pt-PT"/>
        </w:rPr>
        <w:tab/>
      </w:r>
      <w:r w:rsidRPr="00FC5495">
        <w:rPr>
          <w:sz w:val="24"/>
          <w:lang w:val="pt-PT"/>
        </w:rPr>
        <w:t xml:space="preserve">Acórdão do Tribunal de Justiça de 21 de outubro de 2008, Marra/De </w:t>
      </w:r>
      <w:r w:rsidRPr="00FC5495">
        <w:rPr>
          <w:sz w:val="24"/>
          <w:lang w:val="pt-PT"/>
        </w:rPr>
        <w:t>Gregorio</w:t>
      </w:r>
      <w:r w:rsidRPr="00FC5495">
        <w:rPr>
          <w:sz w:val="24"/>
          <w:lang w:val="pt-PT"/>
        </w:rPr>
        <w:t xml:space="preserve"> e Clemente, C</w:t>
      </w:r>
      <w:r w:rsidRPr="00FC5495">
        <w:rPr>
          <w:sz w:val="24"/>
          <w:lang w:val="pt-PT"/>
        </w:rPr>
        <w:noBreakHyphen/>
        <w:t>200/07 e C</w:t>
      </w:r>
      <w:r w:rsidRPr="00FC5495">
        <w:rPr>
          <w:sz w:val="24"/>
          <w:lang w:val="pt-PT"/>
        </w:rPr>
        <w:noBreakHyphen/>
        <w:t xml:space="preserve">201/07, ECLI:EU:C:2008:579; Acórdão do Tribunal Geral de 19 de março de 2010, </w:t>
      </w:r>
      <w:r w:rsidRPr="00FC5495">
        <w:rPr>
          <w:sz w:val="24"/>
          <w:lang w:val="pt-PT"/>
        </w:rPr>
        <w:t>Gollnisch</w:t>
      </w:r>
      <w:r w:rsidRPr="00FC5495">
        <w:rPr>
          <w:sz w:val="24"/>
          <w:lang w:val="pt-PT"/>
        </w:rPr>
        <w:t>/Parlamento Europeu, T</w:t>
      </w:r>
      <w:r w:rsidRPr="00FC5495">
        <w:rPr>
          <w:sz w:val="24"/>
          <w:lang w:val="pt-PT"/>
        </w:rPr>
        <w:noBreakHyphen/>
        <w:t xml:space="preserve">42/06, ECLI:EU:T:2010:102; Acórdão do Tribunal de Justiça de 6 de setembro de 2011, </w:t>
      </w:r>
      <w:r w:rsidRPr="00FC5495">
        <w:rPr>
          <w:sz w:val="24"/>
          <w:lang w:val="pt-PT"/>
        </w:rPr>
        <w:t>Patriciello</w:t>
      </w:r>
      <w:r w:rsidRPr="00FC5495">
        <w:rPr>
          <w:sz w:val="24"/>
          <w:lang w:val="pt-PT"/>
        </w:rPr>
        <w:t>, C</w:t>
      </w:r>
      <w:r w:rsidRPr="00FC5495">
        <w:rPr>
          <w:sz w:val="24"/>
          <w:lang w:val="pt-PT"/>
        </w:rPr>
        <w:noBreakHyphen/>
        <w:t xml:space="preserve">163/10, ECLI: EU:C:2011:543; Acórdão do Tribunal Geral de 17 de janeiro de 2013, </w:t>
      </w:r>
      <w:r w:rsidRPr="00FC5495">
        <w:rPr>
          <w:sz w:val="24"/>
          <w:lang w:val="pt-PT"/>
        </w:rPr>
        <w:t>Gollnisch</w:t>
      </w:r>
      <w:r w:rsidRPr="00FC5495">
        <w:rPr>
          <w:sz w:val="24"/>
          <w:lang w:val="pt-PT"/>
        </w:rPr>
        <w:t>/Parlamento Europeu, T</w:t>
      </w:r>
      <w:r w:rsidRPr="00FC5495">
        <w:rPr>
          <w:sz w:val="24"/>
          <w:lang w:val="pt-PT"/>
        </w:rPr>
        <w:noBreakHyphen/>
        <w:t>346/11 e T</w:t>
      </w:r>
      <w:r w:rsidRPr="00FC5495">
        <w:rPr>
          <w:sz w:val="24"/>
          <w:lang w:val="pt-PT"/>
        </w:rPr>
        <w:noBreakHyphen/>
        <w:t xml:space="preserve">347/11, ECLI:EU:T:2013:23; Acórdão do Tribunal de Justiça de 19 de dezembro de 2019, </w:t>
      </w:r>
      <w:r w:rsidRPr="00FC5495">
        <w:rPr>
          <w:sz w:val="24"/>
          <w:lang w:val="pt-PT"/>
        </w:rPr>
        <w:t>Junqueras</w:t>
      </w:r>
      <w:r w:rsidRPr="00FC5495">
        <w:rPr>
          <w:sz w:val="24"/>
          <w:lang w:val="pt-PT"/>
        </w:rPr>
        <w:t xml:space="preserve"> </w:t>
      </w:r>
      <w:r w:rsidRPr="00FC5495">
        <w:rPr>
          <w:sz w:val="24"/>
          <w:lang w:val="pt-PT"/>
        </w:rPr>
        <w:t>Vies</w:t>
      </w:r>
      <w:r w:rsidRPr="00FC5495">
        <w:rPr>
          <w:sz w:val="24"/>
          <w:lang w:val="pt-PT"/>
        </w:rPr>
        <w:t>, C</w:t>
      </w:r>
      <w:r w:rsidRPr="00FC5495">
        <w:rPr>
          <w:sz w:val="24"/>
          <w:lang w:val="pt-PT"/>
        </w:rPr>
        <w:noBreakHyphen/>
        <w:t>502/19, ECLI:EU:C:2019:1115.</w:t>
      </w:r>
    </w:p>
  </w:footnote>
  <w:footnote w:id="3">
    <w:p w:rsidR="0031289E" w:rsidRPr="00FC5495" w:rsidP="00FC5495" w14:paraId="3B384FF9" w14:textId="41FFF5FE">
      <w:pPr>
        <w:pStyle w:val="FootnoteText"/>
        <w:ind w:left="567" w:hanging="567"/>
        <w:rPr>
          <w:sz w:val="24"/>
          <w:lang w:val="pt-PT"/>
        </w:rPr>
      </w:pPr>
      <w:r w:rsidRPr="00FC5495">
        <w:rPr>
          <w:rStyle w:val="FootnoteReference"/>
          <w:sz w:val="24"/>
          <w:lang w:val="pt-PT"/>
        </w:rPr>
        <w:footnoteRef/>
      </w:r>
      <w:r w:rsidRPr="00FC5495" w:rsidR="00FC5495">
        <w:rPr>
          <w:sz w:val="24"/>
          <w:lang w:val="pt-PT"/>
        </w:rPr>
        <w:t xml:space="preserve"> </w:t>
      </w:r>
      <w:r w:rsidRPr="00FC5495" w:rsidR="00FC5495">
        <w:rPr>
          <w:sz w:val="24"/>
          <w:lang w:val="pt-PT"/>
        </w:rPr>
        <w:tab/>
      </w:r>
      <w:r w:rsidRPr="00FC5495">
        <w:rPr>
          <w:sz w:val="24"/>
          <w:lang w:val="pt-PT"/>
        </w:rPr>
        <w:t xml:space="preserve">Acórdão do Tribunal Geral de 30 de abril de 2019, </w:t>
      </w:r>
      <w:r w:rsidRPr="00FC5495">
        <w:rPr>
          <w:sz w:val="24"/>
          <w:lang w:val="pt-PT"/>
        </w:rPr>
        <w:t>Briois</w:t>
      </w:r>
      <w:r w:rsidRPr="00FC5495">
        <w:rPr>
          <w:sz w:val="24"/>
          <w:lang w:val="pt-PT"/>
        </w:rPr>
        <w:t>/Parlamento Europeu, T</w:t>
      </w:r>
      <w:r w:rsidRPr="00FC5495">
        <w:rPr>
          <w:sz w:val="24"/>
          <w:lang w:val="pt-PT"/>
        </w:rPr>
        <w:noBreakHyphen/>
        <w:t>214/18, ECLI:</w:t>
      </w:r>
      <w:r w:rsidRPr="00FC5495">
        <w:rPr>
          <w:sz w:val="24"/>
          <w:lang w:val="pt-PT"/>
        </w:rPr>
        <w:t>EU:T</w:t>
      </w:r>
      <w:r w:rsidRPr="00FC5495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4E3A6DE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4984180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C5495" w14:paraId="28FD7F0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2215250">
    <w:abstractNumId w:val="9"/>
  </w:num>
  <w:num w:numId="2" w16cid:durableId="369961776">
    <w:abstractNumId w:val="9"/>
  </w:num>
  <w:num w:numId="3" w16cid:durableId="42563321">
    <w:abstractNumId w:val="7"/>
  </w:num>
  <w:num w:numId="4" w16cid:durableId="831916571">
    <w:abstractNumId w:val="7"/>
  </w:num>
  <w:num w:numId="5" w16cid:durableId="50076531">
    <w:abstractNumId w:val="6"/>
  </w:num>
  <w:num w:numId="6" w16cid:durableId="381103644">
    <w:abstractNumId w:val="6"/>
  </w:num>
  <w:num w:numId="7" w16cid:durableId="78647948">
    <w:abstractNumId w:val="5"/>
  </w:num>
  <w:num w:numId="8" w16cid:durableId="155151093">
    <w:abstractNumId w:val="5"/>
  </w:num>
  <w:num w:numId="9" w16cid:durableId="255603413">
    <w:abstractNumId w:val="4"/>
  </w:num>
  <w:num w:numId="10" w16cid:durableId="565535110">
    <w:abstractNumId w:val="4"/>
  </w:num>
  <w:num w:numId="11" w16cid:durableId="460653225">
    <w:abstractNumId w:val="8"/>
  </w:num>
  <w:num w:numId="12" w16cid:durableId="157811453">
    <w:abstractNumId w:val="8"/>
  </w:num>
  <w:num w:numId="13" w16cid:durableId="950867016">
    <w:abstractNumId w:val="3"/>
  </w:num>
  <w:num w:numId="14" w16cid:durableId="2048791598">
    <w:abstractNumId w:val="3"/>
  </w:num>
  <w:num w:numId="15" w16cid:durableId="625545097">
    <w:abstractNumId w:val="2"/>
  </w:num>
  <w:num w:numId="16" w16cid:durableId="1635406894">
    <w:abstractNumId w:val="2"/>
  </w:num>
  <w:num w:numId="17" w16cid:durableId="78646803">
    <w:abstractNumId w:val="1"/>
  </w:num>
  <w:num w:numId="18" w16cid:durableId="1066994476">
    <w:abstractNumId w:val="1"/>
  </w:num>
  <w:num w:numId="19" w16cid:durableId="1086540038">
    <w:abstractNumId w:val="0"/>
  </w:num>
  <w:num w:numId="20" w16cid:durableId="72313130">
    <w:abstractNumId w:val="0"/>
  </w:num>
  <w:num w:numId="21" w16cid:durableId="2049991348">
    <w:abstractNumId w:val="9"/>
  </w:num>
  <w:num w:numId="22" w16cid:durableId="1140153469">
    <w:abstractNumId w:val="7"/>
  </w:num>
  <w:num w:numId="23" w16cid:durableId="1058824753">
    <w:abstractNumId w:val="6"/>
  </w:num>
  <w:num w:numId="24" w16cid:durableId="1765106033">
    <w:abstractNumId w:val="5"/>
  </w:num>
  <w:num w:numId="25" w16cid:durableId="861162975">
    <w:abstractNumId w:val="4"/>
  </w:num>
  <w:num w:numId="26" w16cid:durableId="1919288645">
    <w:abstractNumId w:val="8"/>
  </w:num>
  <w:num w:numId="27" w16cid:durableId="1771588840">
    <w:abstractNumId w:val="3"/>
  </w:num>
  <w:num w:numId="28" w16cid:durableId="2106461855">
    <w:abstractNumId w:val="2"/>
  </w:num>
  <w:num w:numId="29" w16cid:durableId="28267069">
    <w:abstractNumId w:val="1"/>
  </w:num>
  <w:num w:numId="30" w16cid:durableId="62072778">
    <w:abstractNumId w:val="0"/>
  </w:num>
  <w:num w:numId="31" w16cid:durableId="1231229635">
    <w:abstractNumId w:val="9"/>
  </w:num>
  <w:num w:numId="32" w16cid:durableId="950404766">
    <w:abstractNumId w:val="7"/>
  </w:num>
  <w:num w:numId="33" w16cid:durableId="737635021">
    <w:abstractNumId w:val="6"/>
  </w:num>
  <w:num w:numId="34" w16cid:durableId="732315151">
    <w:abstractNumId w:val="5"/>
  </w:num>
  <w:num w:numId="35" w16cid:durableId="1365594727">
    <w:abstractNumId w:val="4"/>
  </w:num>
  <w:num w:numId="36" w16cid:durableId="58554522">
    <w:abstractNumId w:val="8"/>
  </w:num>
  <w:num w:numId="37" w16cid:durableId="1234466802">
    <w:abstractNumId w:val="3"/>
  </w:num>
  <w:num w:numId="38" w16cid:durableId="252974413">
    <w:abstractNumId w:val="2"/>
  </w:num>
  <w:num w:numId="39" w16cid:durableId="1939365281">
    <w:abstractNumId w:val="1"/>
  </w:num>
  <w:num w:numId="40" w16cid:durableId="1810391112">
    <w:abstractNumId w:val="0"/>
  </w:num>
  <w:num w:numId="41" w16cid:durableId="1286040523">
    <w:abstractNumId w:val="10"/>
  </w:num>
  <w:num w:numId="42" w16cid:durableId="2137916662">
    <w:abstractNumId w:val="10"/>
  </w:num>
  <w:num w:numId="43" w16cid:durableId="28339591">
    <w:abstractNumId w:val="10"/>
  </w:num>
  <w:num w:numId="44" w16cid:durableId="15020897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50"/>
    <w:rsid w:val="00002272"/>
    <w:rsid w:val="00023E50"/>
    <w:rsid w:val="00064002"/>
    <w:rsid w:val="000677B9"/>
    <w:rsid w:val="000831BA"/>
    <w:rsid w:val="00097D6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289E"/>
    <w:rsid w:val="00343214"/>
    <w:rsid w:val="00361C00"/>
    <w:rsid w:val="00377B36"/>
    <w:rsid w:val="00395FA1"/>
    <w:rsid w:val="003E15D4"/>
    <w:rsid w:val="00411CCE"/>
    <w:rsid w:val="0041666E"/>
    <w:rsid w:val="00421060"/>
    <w:rsid w:val="00471C19"/>
    <w:rsid w:val="004867E3"/>
    <w:rsid w:val="00494A28"/>
    <w:rsid w:val="004A1C6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E73"/>
    <w:rsid w:val="006037C0"/>
    <w:rsid w:val="006631B6"/>
    <w:rsid w:val="00680577"/>
    <w:rsid w:val="006A055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FC0"/>
    <w:rsid w:val="00842779"/>
    <w:rsid w:val="00845D5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97D"/>
    <w:rsid w:val="00AE0928"/>
    <w:rsid w:val="00AE213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9B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30BE"/>
    <w:rsid w:val="00EB006A"/>
    <w:rsid w:val="00EB4772"/>
    <w:rsid w:val="00ED169E"/>
    <w:rsid w:val="00ED4235"/>
    <w:rsid w:val="00F04346"/>
    <w:rsid w:val="00F075DC"/>
    <w:rsid w:val="00F149E9"/>
    <w:rsid w:val="00F5134D"/>
    <w:rsid w:val="00F617CA"/>
    <w:rsid w:val="00F74202"/>
    <w:rsid w:val="00F83B1A"/>
    <w:rsid w:val="00F87713"/>
    <w:rsid w:val="00FB4360"/>
    <w:rsid w:val="00FB46F4"/>
    <w:rsid w:val="00FC5495"/>
    <w:rsid w:val="00FD0C70"/>
    <w:rsid w:val="00FF773C"/>
  </w:rsids>
  <w:docVars>
    <w:docVar w:name="dvdocse" w:val="A10-0108/2026"/>
    <w:docVar w:name="dvlangue" w:val="PT"/>
    <w:docVar w:name="dvnumam" w:val="0"/>
    <w:docVar w:name="dvpe" w:val="786.688"/>
    <w:docVar w:name="dvrapporteur" w:val="Relator: "/>
    <w:docVar w:name="dvtitre" w:val="Decisão do Parlamento Europeu, de ... de ... de 2026,&#13;_x000a_ sobre o pedido de levantamento da imunidade de Patryk Jaki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A44A10"/>
  <w15:chartTrackingRefBased/>
  <w15:docId w15:val="{E4D1EF32-E102-48D3-9370-424633711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1289E"/>
    <w:pPr>
      <w:spacing w:after="240"/>
      <w:ind w:left="567" w:hanging="567"/>
    </w:pPr>
  </w:style>
  <w:style w:type="paragraph" w:customStyle="1" w:styleId="EPComma">
    <w:name w:val="EPComma"/>
    <w:basedOn w:val="Normal"/>
    <w:rsid w:val="0031289E"/>
    <w:pPr>
      <w:spacing w:before="480" w:after="240"/>
    </w:pPr>
  </w:style>
  <w:style w:type="paragraph" w:styleId="Revision">
    <w:name w:val="Revision"/>
    <w:hidden/>
    <w:uiPriority w:val="99"/>
    <w:semiHidden/>
    <w:rsid w:val="00F83B1A"/>
    <w:rPr>
      <w:sz w:val="24"/>
      <w:lang w:val="pt-PT"/>
    </w:rPr>
  </w:style>
  <w:style w:type="character" w:styleId="CommentReference">
    <w:name w:val="annotation reference"/>
    <w:basedOn w:val="DefaultParagraphFont"/>
    <w:rsid w:val="00F83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3B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3B1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83B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3B1A"/>
    <w:rPr>
      <w:b/>
      <w:bCs/>
      <w:lang w:val="pt-PT"/>
    </w:rPr>
  </w:style>
  <w:style w:type="character" w:styleId="Hyperlink">
    <w:name w:val="Hyperlink"/>
    <w:basedOn w:val="DefaultParagraphFont"/>
    <w:rsid w:val="00F83B1A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F773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1038</Words>
  <Characters>5410</Characters>
  <Application>Microsoft Office Word</Application>
  <DocSecurity>0</DocSecurity>
  <Lines>100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2026-04-28T09:54:00Z</dcterms:created>
  <dcterms:modified xsi:type="dcterms:W3CDTF">2026-04-28T09:54:00Z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