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ED4F08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7B97" w:rsidP="0010095E" w14:paraId="3D6DD7E1" w14:textId="77777777">
            <w:pPr>
              <w:pStyle w:val="EPName"/>
            </w:pPr>
            <w:r w:rsidRPr="00487B97">
              <w:t>Európsky parlament</w:t>
            </w:r>
          </w:p>
          <w:p w:rsidR="00751A4A" w:rsidRPr="00487B97" w:rsidP="005F1B17" w14:paraId="39FFAB9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7B97">
              <w:t>2024</w:t>
            </w:r>
            <w:r w:rsidRPr="00487B97" w:rsidR="00817416">
              <w:t>-202</w:t>
            </w:r>
            <w:r w:rsidRPr="00487B9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87B97" w:rsidP="0010095E" w14:paraId="20671D1F" w14:textId="77777777">
            <w:pPr>
              <w:pStyle w:val="EPLogo"/>
            </w:pPr>
            <w:r w:rsidRPr="00487B9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7B97" w:rsidP="004C5D52" w14:paraId="3A1B27DB" w14:textId="77777777">
      <w:pPr>
        <w:pStyle w:val="LineTop"/>
      </w:pPr>
    </w:p>
    <w:p w:rsidR="00680577" w:rsidRPr="00487B97" w:rsidP="00680577" w14:paraId="3ED4CFBB" w14:textId="77777777">
      <w:pPr>
        <w:pStyle w:val="EPBodyTA1"/>
      </w:pPr>
      <w:r w:rsidRPr="00487B97">
        <w:t>PRIJATÉ TEXTY</w:t>
      </w:r>
    </w:p>
    <w:p w:rsidR="00D058B8" w:rsidRPr="00487B97" w:rsidP="00D058B8" w14:paraId="0532043E" w14:textId="77777777">
      <w:pPr>
        <w:pStyle w:val="LineBottom"/>
      </w:pPr>
    </w:p>
    <w:p w:rsidR="00DA753C" w:rsidRPr="00487B97" w:rsidP="00DA753C" w14:paraId="6AD960B0" w14:textId="0DE30C56">
      <w:pPr>
        <w:pStyle w:val="ATHeading1"/>
      </w:pPr>
      <w:bookmarkStart w:id="0" w:name="TANumber"/>
      <w:r w:rsidRPr="00487B97">
        <w:t>P10_TA(2026)0</w:t>
      </w:r>
      <w:r w:rsidRPr="00487B97" w:rsidR="00487B97">
        <w:t>105</w:t>
      </w:r>
      <w:bookmarkEnd w:id="0"/>
    </w:p>
    <w:p w:rsidR="00DA753C" w:rsidRPr="00487B97" w:rsidP="00DA753C" w14:paraId="305F398C" w14:textId="77777777">
      <w:pPr>
        <w:pStyle w:val="ATHeading2"/>
      </w:pPr>
      <w:bookmarkStart w:id="1" w:name="title"/>
      <w:r w:rsidRPr="00487B97">
        <w:t xml:space="preserve">Žiadosť o zbavenie </w:t>
      </w:r>
      <w:r w:rsidRPr="00487B97">
        <w:t>Patryka</w:t>
      </w:r>
      <w:r w:rsidRPr="00487B97">
        <w:t xml:space="preserve"> </w:t>
      </w:r>
      <w:r w:rsidRPr="00487B97">
        <w:t>Jakiho</w:t>
      </w:r>
      <w:r w:rsidRPr="00487B97">
        <w:t xml:space="preserve"> imunity</w:t>
      </w:r>
      <w:bookmarkEnd w:id="1"/>
    </w:p>
    <w:p w:rsidR="00DA753C" w:rsidRPr="00487B97" w:rsidP="00DA753C" w14:paraId="502F8234" w14:textId="77777777">
      <w:pPr>
        <w:rPr>
          <w:i/>
          <w:vanish/>
        </w:rPr>
      </w:pPr>
      <w:r>
        <w:rPr>
          <w:i/>
        </w:rPr>
        <w:fldChar w:fldCharType="begin"/>
      </w:r>
      <w:r w:rsidRPr="00487B97">
        <w:rPr>
          <w:i/>
        </w:rPr>
        <w:instrText xml:space="preserve"> TC"(</w:instrText>
      </w:r>
      <w:bookmarkStart w:id="2" w:name="DocNumber"/>
      <w:r w:rsidRPr="00487B97">
        <w:rPr>
          <w:i/>
        </w:rPr>
        <w:instrText>A10-0108/2026</w:instrText>
      </w:r>
      <w:bookmarkEnd w:id="2"/>
      <w:r w:rsidRPr="00487B97">
        <w:rPr>
          <w:i/>
        </w:rPr>
        <w:instrText xml:space="preserve"> - Spravodajca: Adrián </w:instrText>
      </w:r>
      <w:r w:rsidRPr="00487B97">
        <w:rPr>
          <w:i/>
        </w:rPr>
        <w:instrText>Vázquez</w:instrText>
      </w:r>
      <w:r w:rsidRPr="00487B97">
        <w:rPr>
          <w:i/>
        </w:rPr>
        <w:instrText xml:space="preserve"> </w:instrText>
      </w:r>
      <w:r w:rsidRPr="00487B97">
        <w:rPr>
          <w:i/>
        </w:rPr>
        <w:instrText>Lázara</w:instrText>
      </w:r>
      <w:r w:rsidRPr="00487B97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DA753C" w:rsidRPr="00487B97" w:rsidP="00DA753C" w14:paraId="49A2F6A2" w14:textId="77777777">
      <w:pPr>
        <w:rPr>
          <w:vanish/>
        </w:rPr>
      </w:pPr>
      <w:bookmarkStart w:id="3" w:name="Commission"/>
      <w:r w:rsidRPr="00487B97">
        <w:rPr>
          <w:vanish/>
        </w:rPr>
        <w:t>Výbor pre právne veci</w:t>
      </w:r>
      <w:bookmarkEnd w:id="3"/>
    </w:p>
    <w:p w:rsidR="00DA753C" w:rsidRPr="00487B97" w:rsidP="00DA753C" w14:paraId="0BDC745B" w14:textId="77777777">
      <w:pPr>
        <w:rPr>
          <w:vanish/>
        </w:rPr>
      </w:pPr>
      <w:bookmarkStart w:id="4" w:name="PE"/>
      <w:r w:rsidRPr="00487B97">
        <w:rPr>
          <w:vanish/>
        </w:rPr>
        <w:t>PE786.688</w:t>
      </w:r>
      <w:bookmarkEnd w:id="4"/>
    </w:p>
    <w:p w:rsidR="00DA753C" w:rsidRPr="00487B97" w:rsidP="00DA753C" w14:paraId="23686FD2" w14:textId="1FBADCCE">
      <w:pPr>
        <w:pStyle w:val="ATHeading3"/>
      </w:pPr>
      <w:bookmarkStart w:id="5" w:name="Sujet"/>
      <w:r w:rsidRPr="00487B97">
        <w:t xml:space="preserve">Rozhodnutie Európskeho parlamentu z </w:t>
      </w:r>
      <w:r w:rsidRPr="00487B97" w:rsidR="00CE0025">
        <w:t>28</w:t>
      </w:r>
      <w:r w:rsidRPr="00487B97">
        <w:t xml:space="preserve">. </w:t>
      </w:r>
      <w:r w:rsidRPr="00487B97" w:rsidR="00893740">
        <w:t xml:space="preserve">apríla </w:t>
      </w:r>
      <w:r w:rsidRPr="00487B97">
        <w:t xml:space="preserve">2026 o žiadosti o zbavenie </w:t>
      </w:r>
      <w:r w:rsidRPr="00487B97">
        <w:t>Patryka</w:t>
      </w:r>
      <w:r w:rsidRPr="00487B97">
        <w:t xml:space="preserve"> </w:t>
      </w:r>
      <w:r w:rsidRPr="00487B97">
        <w:t>Jakiho</w:t>
      </w:r>
      <w:r w:rsidRPr="00487B97">
        <w:t xml:space="preserve"> imunity</w:t>
      </w:r>
      <w:bookmarkEnd w:id="5"/>
      <w:r w:rsidRPr="00487B97">
        <w:t xml:space="preserve"> </w:t>
      </w:r>
      <w:bookmarkStart w:id="6" w:name="References"/>
      <w:r w:rsidRPr="00487B97">
        <w:t>(2025/2171(IMM))</w:t>
      </w:r>
      <w:bookmarkEnd w:id="6"/>
    </w:p>
    <w:p w:rsidR="002F660C" w:rsidRPr="00487B97" w:rsidP="002F660C" w14:paraId="060F3C6B" w14:textId="77777777">
      <w:pPr>
        <w:pStyle w:val="EPComma"/>
      </w:pPr>
      <w:bookmarkStart w:id="7" w:name="TextBodyBegin"/>
      <w:bookmarkEnd w:id="7"/>
      <w:r w:rsidRPr="00487B97">
        <w:rPr>
          <w:i/>
          <w:iCs/>
        </w:rPr>
        <w:t>Európsky parlament</w:t>
      </w:r>
      <w:r w:rsidRPr="00487B97">
        <w:t>,</w:t>
      </w:r>
    </w:p>
    <w:p w:rsidR="002F660C" w:rsidRPr="00487B97" w:rsidP="002F660C" w14:paraId="118D7EC2" w14:textId="2C486F5F">
      <w:pPr>
        <w:pStyle w:val="NormalHanging12a"/>
      </w:pPr>
      <w:r w:rsidRPr="00487B97">
        <w:t>–</w:t>
      </w:r>
      <w:r w:rsidRPr="00487B97">
        <w:tab/>
        <w:t xml:space="preserve">so zreteľom na žiadosť o zbavenie </w:t>
      </w:r>
      <w:r w:rsidRPr="00487B97">
        <w:t>Patryka</w:t>
      </w:r>
      <w:r w:rsidRPr="00487B97">
        <w:t xml:space="preserve"> </w:t>
      </w:r>
      <w:r w:rsidRPr="00487B97">
        <w:t>Jakiho</w:t>
      </w:r>
      <w:r w:rsidRPr="00487B97">
        <w:t xml:space="preserve"> imunity, ktorú predložil Okresný súd Varšava-</w:t>
      </w:r>
      <w:r w:rsidRPr="00487B97">
        <w:t>Śródmieście</w:t>
      </w:r>
      <w:r w:rsidRPr="00487B97">
        <w:t xml:space="preserve"> </w:t>
      </w:r>
      <w:r w:rsidRPr="00487B97" w:rsidR="00CE0025">
        <w:t xml:space="preserve">listom zo 6. augusta 2025 </w:t>
      </w:r>
      <w:r w:rsidRPr="00487B97">
        <w:t>v súvislosti s trestným konaním, ktoré sa proti nemu začalo na základe súkromnej žaloby podanej právnym zástupcom súkromného žalobcu, a ktorá bola oznámená na plenárnej schôdzi 8. septembra 2025,</w:t>
      </w:r>
    </w:p>
    <w:p w:rsidR="002F660C" w:rsidRPr="00487B97" w:rsidP="002F660C" w14:paraId="7C44A08E" w14:textId="77777777">
      <w:pPr>
        <w:pStyle w:val="NormalHanging12a"/>
      </w:pPr>
      <w:r w:rsidRPr="00487B97">
        <w:t>–</w:t>
      </w:r>
      <w:r w:rsidRPr="00487B97">
        <w:tab/>
        <w:t xml:space="preserve">po vypočutí </w:t>
      </w:r>
      <w:r w:rsidRPr="00487B97">
        <w:t>Patryka</w:t>
      </w:r>
      <w:r w:rsidRPr="00487B97">
        <w:t xml:space="preserve"> </w:t>
      </w:r>
      <w:r w:rsidRPr="00487B97">
        <w:t>Jakiho</w:t>
      </w:r>
      <w:r w:rsidRPr="00487B97">
        <w:t xml:space="preserve"> 23. marca 2026 v súlade s článkom 9 ods. 6 rokovacieho poriadku,</w:t>
      </w:r>
    </w:p>
    <w:p w:rsidR="002F660C" w:rsidRPr="00487B97" w:rsidP="002F660C" w14:paraId="6FD05DBF" w14:textId="77777777">
      <w:pPr>
        <w:pStyle w:val="NormalHanging12a"/>
      </w:pPr>
      <w:r w:rsidRPr="00487B97">
        <w:t>–</w:t>
      </w:r>
      <w:r w:rsidRPr="00487B97">
        <w:tab/>
        <w:t>so zreteľom na články 8 a 9 Protokolu č. 7 o výsadách a imunitách Európskej únie, ako aj na článok 6 ods. 2 Aktu z 20. septembra 1976 o priamych a všeobecných voľbách poslancov Európskeho parlamentu,</w:t>
      </w:r>
    </w:p>
    <w:p w:rsidR="002F660C" w:rsidRPr="00487B97" w:rsidP="002F660C" w14:paraId="27A95376" w14:textId="77777777">
      <w:pPr>
        <w:pStyle w:val="NormalHanging12a"/>
      </w:pPr>
      <w:r w:rsidRPr="00487B97">
        <w:t>–</w:t>
      </w:r>
      <w:r w:rsidRPr="00487B97">
        <w:tab/>
        <w:t>so zreteľom na rozsudky Súdneho dvora Európskej únie z 21. októbra 2008, 19. marca 2010, 6. septembra 2011, 17. januára 2013 a 19. decembra 2019</w:t>
      </w:r>
      <w:r>
        <w:rPr>
          <w:vertAlign w:val="superscript"/>
        </w:rPr>
        <w:footnoteReference w:id="2"/>
      </w:r>
      <w:r w:rsidRPr="00487B97">
        <w:t>,</w:t>
      </w:r>
    </w:p>
    <w:p w:rsidR="002F660C" w:rsidRPr="00487B97" w:rsidP="002F660C" w14:paraId="25F39F13" w14:textId="77777777">
      <w:pPr>
        <w:pStyle w:val="NormalHanging12a"/>
      </w:pPr>
      <w:r w:rsidRPr="00487B97">
        <w:t>–</w:t>
      </w:r>
      <w:r w:rsidRPr="00487B97">
        <w:tab/>
        <w:t>so zreteľom na článok 105 ods. 2 a 5 Ústavy Poľskej republiky,</w:t>
      </w:r>
    </w:p>
    <w:p w:rsidR="002F660C" w:rsidRPr="00487B97" w:rsidP="002F660C" w14:paraId="0E2A6124" w14:textId="77777777">
      <w:pPr>
        <w:pStyle w:val="NormalHanging12a"/>
      </w:pPr>
      <w:r w:rsidRPr="00487B97">
        <w:t>–</w:t>
      </w:r>
      <w:r w:rsidRPr="00487B97">
        <w:tab/>
        <w:t>so zreteľom na článok 5 ods. 2, článok 6 ods. 1 a článok 9 rokovacieho poriadku,</w:t>
      </w:r>
    </w:p>
    <w:p w:rsidR="002F660C" w:rsidRPr="00487B97" w:rsidP="002F660C" w14:paraId="0ADD4F43" w14:textId="77777777">
      <w:pPr>
        <w:pStyle w:val="NormalHanging12a"/>
      </w:pPr>
      <w:r w:rsidRPr="00487B97">
        <w:t>–</w:t>
      </w:r>
      <w:r w:rsidRPr="00487B97">
        <w:tab/>
        <w:t>so zreteľom na správu Výboru pre právne veci (A10-0108/2026),</w:t>
      </w:r>
    </w:p>
    <w:p w:rsidR="002F660C" w:rsidRPr="00487B97" w:rsidP="002F660C" w14:paraId="6736851E" w14:textId="5E43E83E">
      <w:pPr>
        <w:pStyle w:val="NormalHanging12a"/>
      </w:pPr>
      <w:r w:rsidRPr="00487B97">
        <w:t>A.</w:t>
      </w:r>
      <w:r w:rsidRPr="00487B97">
        <w:tab/>
        <w:t>keďže Okresný súd Varšava-</w:t>
      </w:r>
      <w:r w:rsidRPr="00487B97">
        <w:t>Śródmieście</w:t>
      </w:r>
      <w:r w:rsidRPr="00487B97">
        <w:t xml:space="preserve"> listom zo 6. augusta 2025 predložil žiadosť </w:t>
      </w:r>
      <w:r w:rsidRPr="00487B97">
        <w:t xml:space="preserve">o zbavenie </w:t>
      </w:r>
      <w:r w:rsidRPr="00487B97" w:rsidR="00C13030">
        <w:t xml:space="preserve">imunity </w:t>
      </w:r>
      <w:r w:rsidRPr="00487B97">
        <w:t>Patryka</w:t>
      </w:r>
      <w:r w:rsidRPr="00487B97">
        <w:t xml:space="preserve"> </w:t>
      </w:r>
      <w:r w:rsidRPr="00487B97">
        <w:t>Jakiho</w:t>
      </w:r>
      <w:r w:rsidRPr="00487B97">
        <w:t xml:space="preserve">, </w:t>
      </w:r>
      <w:bookmarkStart w:id="8" w:name="_Hlk222405545"/>
      <w:r w:rsidRPr="00487B97">
        <w:t>poslanca Európskeho parlamentu zvoleného v Poľsku</w:t>
      </w:r>
      <w:bookmarkEnd w:id="8"/>
      <w:r w:rsidRPr="00487B97">
        <w:t>, v súvislosti s trestným konaním, ktoré sa pred ním začalo pre údajný trestný čin, ktorý je predmetom súkromnej žaloby;</w:t>
      </w:r>
    </w:p>
    <w:p w:rsidR="002F660C" w:rsidRPr="00487B97" w:rsidP="002F660C" w14:paraId="319DD08D" w14:textId="7D0DAFCD">
      <w:pPr>
        <w:pStyle w:val="NormalHanging12a"/>
      </w:pPr>
      <w:r w:rsidRPr="00487B97">
        <w:t>B.</w:t>
      </w:r>
      <w:r w:rsidRPr="00487B97">
        <w:tab/>
        <w:t xml:space="preserve">keďže podľa tejto žiadosti </w:t>
      </w:r>
      <w:r w:rsidRPr="00487B97">
        <w:t>Patryk</w:t>
      </w:r>
      <w:r w:rsidRPr="00487B97">
        <w:t xml:space="preserve"> </w:t>
      </w:r>
      <w:r w:rsidRPr="00487B97">
        <w:t>Jaki</w:t>
      </w:r>
      <w:r w:rsidRPr="00487B97">
        <w:t xml:space="preserve"> v období od 5. júna 2024 do 7. júna 2024, konajúc v rýchlom slede a realizujúc vopred pripravený plán a s priamym úmyslom, údajne ohováral súkromného žalobcu – sudcu – takto: i) na stretnutí v rámci predvolebnej kampane v </w:t>
      </w:r>
      <w:r w:rsidRPr="00487B97">
        <w:t>Będzine</w:t>
      </w:r>
      <w:r w:rsidRPr="00487B97">
        <w:t xml:space="preserve"> 5. júna 2024 počas rozhovoru s jednou z osôb prítomných na stretnutí sa </w:t>
      </w:r>
      <w:r w:rsidRPr="00487B97">
        <w:t>Patryk</w:t>
      </w:r>
      <w:r w:rsidRPr="00487B97">
        <w:t xml:space="preserve"> </w:t>
      </w:r>
      <w:r w:rsidRPr="00487B97">
        <w:t>Jaki</w:t>
      </w:r>
      <w:r w:rsidRPr="00487B97">
        <w:t xml:space="preserve"> </w:t>
      </w:r>
      <w:r w:rsidRPr="00487B97" w:rsidR="00CE0025">
        <w:t xml:space="preserve">údajne </w:t>
      </w:r>
      <w:r w:rsidRPr="00487B97">
        <w:t>vyjadril na adresu súkromného žalobcu</w:t>
      </w:r>
      <w:r w:rsidRPr="00487B97" w:rsidR="00CE0025">
        <w:t>, v ktorých tvrdil</w:t>
      </w:r>
      <w:r w:rsidRPr="00487B97">
        <w:t xml:space="preserve">, že </w:t>
      </w:r>
      <w:r w:rsidRPr="00487B97" w:rsidR="00CE0025">
        <w:t xml:space="preserve">tento žalobca </w:t>
      </w:r>
      <w:r w:rsidRPr="00487B97">
        <w:t xml:space="preserve">nevedome povolil používanie špionážneho softvéru </w:t>
      </w:r>
      <w:r w:rsidRPr="00487B97">
        <w:t>Pegasus</w:t>
      </w:r>
      <w:r w:rsidRPr="00487B97">
        <w:t xml:space="preserve">, a ii) následne 7. júna 2024 mal </w:t>
      </w:r>
      <w:r w:rsidRPr="00487B97">
        <w:t>Patryk</w:t>
      </w:r>
      <w:r w:rsidRPr="00487B97">
        <w:t xml:space="preserve"> </w:t>
      </w:r>
      <w:r w:rsidRPr="00487B97">
        <w:t>Jaki</w:t>
      </w:r>
      <w:r w:rsidRPr="00487B97">
        <w:t xml:space="preserve"> začať šíriť záznam </w:t>
      </w:r>
      <w:r w:rsidRPr="00487B97" w:rsidR="00CE0025">
        <w:t xml:space="preserve">uvedeného </w:t>
      </w:r>
      <w:r w:rsidRPr="00487B97">
        <w:t>rozhovoru, v celej krajine prostredníctvom masmédií (t. j. platforiem sociálnych médií Instagram, Facebook a X (Twitter)), pričom tvrdil, že súkromný žalobca zanedbal svoje povinnosti sudcu súvisiace s vykonávaním nešpecifikovaných „vyšetrení a kontrol“ týkajúcich sa metódy operačného sledovania v súvislosti s posudzovaním žiadostí o vydanie rozkazu na operačné sledovanie tým, že nesprávne vykonával svoje povolanie sudcu a bol zaujatý z dôvodu, že bol pod vplyvom politickej strany;</w:t>
      </w:r>
    </w:p>
    <w:p w:rsidR="002F660C" w:rsidRPr="00487B97" w:rsidP="002F660C" w14:paraId="0E568658" w14:textId="77777777">
      <w:pPr>
        <w:pStyle w:val="NormalHanging12a"/>
      </w:pPr>
      <w:r w:rsidRPr="00487B97">
        <w:t>C.</w:t>
      </w:r>
      <w:r w:rsidRPr="00487B97">
        <w:tab/>
        <w:t xml:space="preserve">keďže teda </w:t>
      </w:r>
      <w:r w:rsidRPr="00487B97">
        <w:t>Patryk</w:t>
      </w:r>
      <w:r w:rsidRPr="00487B97">
        <w:t xml:space="preserve"> </w:t>
      </w:r>
      <w:r w:rsidRPr="00487B97">
        <w:t>Jaki</w:t>
      </w:r>
      <w:r w:rsidRPr="00487B97">
        <w:t xml:space="preserve"> údajne ohováral súkromného žalobcu, pričom konal s priamym úmyslom ponížiť ho v očiach verejnosti a poškodiť jeho povesť, ako aj spôsobiť mu, že stratí dôveru potrebnú na výkon povinností sudcu; keďže toto údajné konanie predstavuje trestný čin podľa článku 212 ods. 1 v spojení s článkom 212 ods. 2 a článkom 12 ods. 1 poľského Trestného zákona;</w:t>
      </w:r>
    </w:p>
    <w:p w:rsidR="002F660C" w:rsidRPr="00487B97" w:rsidP="002F660C" w14:paraId="286C9EA2" w14:textId="77777777">
      <w:pPr>
        <w:pStyle w:val="NormalHanging12a"/>
      </w:pPr>
      <w:r w:rsidRPr="00487B97">
        <w:t>D.</w:t>
      </w:r>
      <w:r w:rsidRPr="00487B97">
        <w:tab/>
        <w:t xml:space="preserve">keďže </w:t>
      </w:r>
      <w:r w:rsidRPr="00487B97">
        <w:t>Patryk</w:t>
      </w:r>
      <w:r w:rsidRPr="00487B97">
        <w:t xml:space="preserve"> </w:t>
      </w:r>
      <w:r w:rsidRPr="00487B97">
        <w:t>Jaki</w:t>
      </w:r>
      <w:r w:rsidRPr="00487B97">
        <w:t xml:space="preserve"> bol zvolený do Európskeho parlamentu v európskych voľbách v júni 2019, a preto v čase údajného trestného činu bol poslancom Európskeho parlamentu;</w:t>
      </w:r>
    </w:p>
    <w:p w:rsidR="002F660C" w:rsidRPr="00487B97" w:rsidP="002F660C" w14:paraId="6A0E7D53" w14:textId="77777777">
      <w:pPr>
        <w:pStyle w:val="NormalHanging12a"/>
      </w:pPr>
      <w:r w:rsidRPr="00487B97">
        <w:t>E.</w:t>
      </w:r>
      <w:r w:rsidRPr="00487B97">
        <w:tab/>
        <w:t xml:space="preserve">keďže údajný trestný čin neprestavuje vyjadrený názor ani hlasovanie </w:t>
      </w:r>
      <w:r w:rsidRPr="00487B97">
        <w:t>Patryka</w:t>
      </w:r>
      <w:r w:rsidRPr="00487B97">
        <w:t xml:space="preserve"> </w:t>
      </w:r>
      <w:r w:rsidRPr="00487B97">
        <w:t>Jakiho</w:t>
      </w:r>
      <w:r w:rsidRPr="00487B97">
        <w:t xml:space="preserve"> pri výkone jeho úloh v zmysle článku 8 Protokolu č. 7 o výsadách a imunitách Európskej únie, a teda ani z toho vyplývajúca žiadosť o zbavenie </w:t>
      </w:r>
      <w:r w:rsidRPr="00487B97">
        <w:t>Patryka</w:t>
      </w:r>
      <w:r w:rsidRPr="00487B97">
        <w:t xml:space="preserve"> </w:t>
      </w:r>
      <w:r w:rsidRPr="00487B97">
        <w:t>Jakiho</w:t>
      </w:r>
      <w:r w:rsidRPr="00487B97">
        <w:t xml:space="preserve"> imunity s tým nesúvisí;</w:t>
      </w:r>
    </w:p>
    <w:p w:rsidR="002F660C" w:rsidRPr="00487B97" w:rsidP="002F660C" w14:paraId="48EAB623" w14:textId="48E9FDE3">
      <w:pPr>
        <w:pStyle w:val="NormalHanging12a"/>
      </w:pPr>
      <w:r w:rsidRPr="00487B97">
        <w:t>F.</w:t>
      </w:r>
      <w:r w:rsidRPr="00487B97">
        <w:tab/>
        <w:t xml:space="preserve">keďže v článku 9 ods. 1 písm. a) Protokolu č. 7 o výsadách a imunitách Európskej únie sa stanovuje, že </w:t>
      </w:r>
      <w:bookmarkStart w:id="9" w:name="_Hlk228186835"/>
      <w:r w:rsidRPr="00487B97">
        <w:t>v priebehu zasadnut</w:t>
      </w:r>
      <w:r w:rsidRPr="00487B97" w:rsidR="00CC1858">
        <w:t>í</w:t>
      </w:r>
      <w:r w:rsidRPr="00487B97">
        <w:t xml:space="preserve"> Európskeho parlamentu požívajú </w:t>
      </w:r>
      <w:bookmarkEnd w:id="9"/>
      <w:r w:rsidRPr="00487B97">
        <w:t xml:space="preserve">poslanci Európskeho parlamentu na území ich vlastného </w:t>
      </w:r>
      <w:r w:rsidRPr="00487B97" w:rsidR="00CE0025">
        <w:t xml:space="preserve">členského </w:t>
      </w:r>
      <w:r w:rsidRPr="00487B97">
        <w:t>štátu imunitu priznanú členom parlamentu</w:t>
      </w:r>
      <w:r w:rsidRPr="00487B97" w:rsidR="00CC1858">
        <w:t xml:space="preserve"> ich členského štátu</w:t>
      </w:r>
      <w:r w:rsidRPr="00487B97">
        <w:t>;</w:t>
      </w:r>
    </w:p>
    <w:p w:rsidR="002F660C" w:rsidRPr="00487B97" w:rsidP="002F660C" w14:paraId="6F5A4683" w14:textId="53BDC368">
      <w:pPr>
        <w:pStyle w:val="NormalHanging12a"/>
      </w:pPr>
      <w:r w:rsidRPr="00487B97">
        <w:t>G.</w:t>
      </w:r>
      <w:r w:rsidRPr="00487B97">
        <w:tab/>
        <w:t xml:space="preserve">keďže podľa článku 105 ods. 2 a 5 </w:t>
      </w:r>
      <w:r w:rsidRPr="00487B97" w:rsidR="00CE0025">
        <w:t>Ú</w:t>
      </w:r>
      <w:r w:rsidRPr="00487B97">
        <w:t xml:space="preserve">stavy </w:t>
      </w:r>
      <w:r w:rsidRPr="00487B97" w:rsidR="00CE0025">
        <w:t xml:space="preserve">Poľskej republiky </w:t>
      </w:r>
      <w:r w:rsidRPr="00487B97">
        <w:t xml:space="preserve">odo dňa oznámenia výsledkov volieb až do dňa skončenia mandátu nesmie byť poslanec bez súhlasu </w:t>
      </w:r>
      <w:r w:rsidRPr="00487B97">
        <w:t>Sejmu</w:t>
      </w:r>
      <w:r w:rsidRPr="00487B97">
        <w:t xml:space="preserve"> trestne stíhaný ani zadržaný či zatknutý, s výnimkou prípadov, keď je zadržaný pri páchaní trestného činu a keď je jeho zadržanie potrebné na riadny priebeh konania;</w:t>
      </w:r>
    </w:p>
    <w:p w:rsidR="002F660C" w:rsidRPr="00487B97" w:rsidP="002F660C" w14:paraId="754FFBB5" w14:textId="31FE53BC">
      <w:pPr>
        <w:pStyle w:val="NormalHanging12a"/>
      </w:pPr>
      <w:r w:rsidRPr="00487B97">
        <w:t>H.</w:t>
      </w:r>
      <w:r w:rsidRPr="00487B97">
        <w:tab/>
        <w:t xml:space="preserve">keďže účelom imunity </w:t>
      </w:r>
      <w:bookmarkStart w:id="10" w:name="_Hlk222405989"/>
      <w:bookmarkStart w:id="11" w:name="_Hlk228187037"/>
      <w:r w:rsidRPr="00487B97">
        <w:t>podľa Protokolu č. 7 o výsadách a imunitách Európskej únie</w:t>
      </w:r>
      <w:bookmarkEnd w:id="10"/>
      <w:r w:rsidRPr="00487B97">
        <w:t xml:space="preserve"> </w:t>
      </w:r>
      <w:bookmarkEnd w:id="11"/>
      <w:r w:rsidRPr="00487B97">
        <w:t xml:space="preserve">je chrániť </w:t>
      </w:r>
      <w:r w:rsidRPr="00487B97" w:rsidR="00893740">
        <w:t>Európsky p</w:t>
      </w:r>
      <w:r w:rsidRPr="00487B97">
        <w:t>arlament a jeho poslancov pred súdnymi konaniami v súvislosti s činnosťami vykonávanými pri plnení poslaneckých povinností, ktoré nemožno oddeliť od týchto povinností;</w:t>
      </w:r>
    </w:p>
    <w:p w:rsidR="002F660C" w:rsidRPr="00487B97" w:rsidP="002F660C" w14:paraId="18785328" w14:textId="77777777">
      <w:pPr>
        <w:pStyle w:val="NormalHanging12a"/>
      </w:pPr>
      <w:r w:rsidRPr="00487B97">
        <w:t>I.</w:t>
      </w:r>
      <w:r w:rsidRPr="00487B97">
        <w:tab/>
        <w:t>keďže v súlade s článkom 5 ods. 2 rokovacieho poriadku poslanecká imunita nie je osobná výsada poslanca, ale záruka nezávislosti Európskeho parlamentu ako celku a jeho poslancov;</w:t>
      </w:r>
    </w:p>
    <w:p w:rsidR="002F660C" w:rsidRPr="00487B97" w:rsidP="002F660C" w14:paraId="5B1AD782" w14:textId="7E60C594">
      <w:pPr>
        <w:pStyle w:val="NormalHanging12a"/>
      </w:pPr>
      <w:r w:rsidRPr="00487B97">
        <w:t>J.</w:t>
      </w:r>
      <w:r w:rsidRPr="00487B97">
        <w:tab/>
        <w:t xml:space="preserve">keďže Európsky parlament v tomto prípade nenašiel žiadny dôkaz </w:t>
      </w:r>
      <w:r w:rsidRPr="00487B97">
        <w:rPr>
          <w:i/>
        </w:rPr>
        <w:t>fumus</w:t>
      </w:r>
      <w:r w:rsidRPr="00487B97">
        <w:rPr>
          <w:i/>
        </w:rPr>
        <w:t xml:space="preserve"> </w:t>
      </w:r>
      <w:r w:rsidRPr="00487B97">
        <w:rPr>
          <w:i/>
        </w:rPr>
        <w:t>persecutionis</w:t>
      </w:r>
      <w:r w:rsidRPr="00487B97">
        <w:t xml:space="preserve">, t. j. </w:t>
      </w:r>
      <w:bookmarkStart w:id="12" w:name="_Hlk228187068"/>
      <w:r w:rsidRPr="00487B97">
        <w:t xml:space="preserve">nezdá sa, že zámerom predmetného súdneho konania je </w:t>
      </w:r>
      <w:r w:rsidRPr="00487B97" w:rsidR="00122B72">
        <w:t xml:space="preserve">poškodiť </w:t>
      </w:r>
      <w:r w:rsidRPr="00487B97">
        <w:t xml:space="preserve">politickú činnosť </w:t>
      </w:r>
      <w:r w:rsidRPr="00487B97" w:rsidR="00122B72">
        <w:t>Patryka</w:t>
      </w:r>
      <w:r w:rsidRPr="00487B97" w:rsidR="00122B72">
        <w:t xml:space="preserve"> </w:t>
      </w:r>
      <w:r w:rsidRPr="00487B97" w:rsidR="00122B72">
        <w:t>Jakiho</w:t>
      </w:r>
      <w:r w:rsidRPr="00487B97" w:rsidR="00122B72">
        <w:t xml:space="preserve"> ako </w:t>
      </w:r>
      <w:r w:rsidRPr="00487B97">
        <w:t>poslanca</w:t>
      </w:r>
      <w:r w:rsidRPr="00487B97" w:rsidR="00122B72">
        <w:t xml:space="preserve"> Európskeho parlamentu</w:t>
      </w:r>
      <w:r w:rsidRPr="00487B97">
        <w:t xml:space="preserve">, a teda nezávislosť </w:t>
      </w:r>
      <w:r w:rsidRPr="00487B97" w:rsidR="00893740">
        <w:t>Európskeho p</w:t>
      </w:r>
      <w:r w:rsidRPr="00487B97">
        <w:t>arlamentu</w:t>
      </w:r>
      <w:bookmarkEnd w:id="12"/>
      <w:r w:rsidRPr="00487B97">
        <w:t>;</w:t>
      </w:r>
    </w:p>
    <w:p w:rsidR="002F660C" w:rsidRPr="00487B97" w:rsidP="002F660C" w14:paraId="2FCA75FC" w14:textId="44738DFC">
      <w:pPr>
        <w:pStyle w:val="NormalHanging12a"/>
      </w:pPr>
      <w:r w:rsidRPr="00487B97">
        <w:t>K.</w:t>
      </w:r>
      <w:r w:rsidRPr="00487B97">
        <w:tab/>
        <w:t xml:space="preserve">keďže na jednej strane </w:t>
      </w:r>
      <w:r w:rsidRPr="00487B97" w:rsidR="00893740">
        <w:t>Európsky p</w:t>
      </w:r>
      <w:r w:rsidRPr="00487B97">
        <w:t>arlament nemožno považovať za súd a na druhej strane poslanec nemôže byť v súvislosti s postupom zbavenia imunity považovaný za „obvineného“</w:t>
      </w:r>
      <w:r>
        <w:rPr>
          <w:vertAlign w:val="superscript"/>
        </w:rPr>
        <w:footnoteReference w:id="3"/>
      </w:r>
      <w:r w:rsidRPr="00487B97">
        <w:t>;</w:t>
      </w:r>
    </w:p>
    <w:p w:rsidR="002F660C" w:rsidRPr="00487B97" w:rsidP="002F660C" w14:paraId="051D23A3" w14:textId="77777777">
      <w:pPr>
        <w:pStyle w:val="NormalHanging12a"/>
      </w:pPr>
      <w:r w:rsidRPr="00487B97">
        <w:t>1.</w:t>
      </w:r>
      <w:r w:rsidRPr="00487B97">
        <w:tab/>
        <w:t xml:space="preserve">rozhodol zbaviť </w:t>
      </w:r>
      <w:r w:rsidRPr="00487B97">
        <w:t>Patryka</w:t>
      </w:r>
      <w:r w:rsidRPr="00487B97">
        <w:t xml:space="preserve"> </w:t>
      </w:r>
      <w:r w:rsidRPr="00487B97">
        <w:t>Jakiho</w:t>
      </w:r>
      <w:r w:rsidRPr="00487B97">
        <w:t xml:space="preserve"> imunity;</w:t>
      </w:r>
    </w:p>
    <w:p w:rsidR="00E365E1" w:rsidRPr="00487B97" w:rsidP="00CF4EC6" w14:paraId="3A3CDB6E" w14:textId="38A01A74">
      <w:pPr>
        <w:pStyle w:val="NormalHanging12a"/>
      </w:pPr>
      <w:r w:rsidRPr="00487B97">
        <w:t>2.</w:t>
      </w:r>
      <w:r w:rsidRPr="00487B97">
        <w:tab/>
        <w:t xml:space="preserve">poveruje svoju predsedníčku, aby bezodkladne postúpila toto rozhodnutie a správu gestorského výboru príslušnému orgánu Poľskej republiky a </w:t>
      </w:r>
      <w:r w:rsidRPr="00487B97">
        <w:t>Patrykovi</w:t>
      </w:r>
      <w:r w:rsidRPr="00487B97">
        <w:t xml:space="preserve"> </w:t>
      </w:r>
      <w:r w:rsidRPr="00487B97">
        <w:t>Jakimu</w:t>
      </w:r>
      <w:r w:rsidRPr="00487B97">
        <w:t>.</w:t>
      </w:r>
    </w:p>
    <w:sectPr w:rsidSect="00195F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95F19" w14:paraId="7C9C396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95F19" w14:paraId="551A3EF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95F19" w14:paraId="76B19FF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A753C" w:rsidRPr="00195F19" w14:paraId="67CED2D3" w14:textId="77777777">
      <w:r w:rsidRPr="00195F19">
        <w:separator/>
      </w:r>
    </w:p>
  </w:footnote>
  <w:footnote w:type="continuationSeparator" w:id="1">
    <w:p w:rsidR="00DA753C" w:rsidRPr="00195F19" w14:paraId="751F6675" w14:textId="77777777">
      <w:r w:rsidRPr="00195F19">
        <w:continuationSeparator/>
      </w:r>
    </w:p>
  </w:footnote>
  <w:footnote w:id="2">
    <w:p w:rsidR="002F660C" w:rsidRPr="00893740" w:rsidP="00195F19" w14:paraId="11E2161C" w14:textId="70C3E8EA">
      <w:pPr>
        <w:pStyle w:val="FootnoteText"/>
        <w:ind w:left="567" w:hanging="567"/>
        <w:rPr>
          <w:sz w:val="24"/>
          <w:lang w:val="sk-SK"/>
        </w:rPr>
      </w:pPr>
      <w:r w:rsidRPr="00195F19">
        <w:rPr>
          <w:rStyle w:val="FootnoteReference"/>
          <w:sz w:val="24"/>
          <w:lang w:val="sk-SK"/>
        </w:rPr>
        <w:footnoteRef/>
      </w:r>
      <w:r w:rsidRPr="00195F19" w:rsidR="00195F19">
        <w:rPr>
          <w:sz w:val="24"/>
          <w:lang w:val="sk-SK"/>
        </w:rPr>
        <w:t xml:space="preserve"> </w:t>
      </w:r>
      <w:r w:rsidRPr="00195F19" w:rsidR="00195F19">
        <w:rPr>
          <w:sz w:val="24"/>
          <w:lang w:val="sk-SK"/>
        </w:rPr>
        <w:tab/>
      </w:r>
      <w:r w:rsidRPr="00893740">
        <w:rPr>
          <w:sz w:val="24"/>
          <w:lang w:val="sk-SK"/>
        </w:rPr>
        <w:t xml:space="preserve">Rozsudok Súdneho dvora z 21. októbra 2008, </w:t>
      </w:r>
      <w:r w:rsidRPr="00487B97">
        <w:t>Marra</w:t>
      </w:r>
      <w:r w:rsidRPr="00893740">
        <w:rPr>
          <w:sz w:val="24"/>
          <w:lang w:val="sk-SK"/>
        </w:rPr>
        <w:t>/</w:t>
      </w:r>
      <w:r w:rsidRPr="00487B97">
        <w:t xml:space="preserve">De Gregorio a </w:t>
      </w:r>
      <w:r w:rsidRPr="00487B97">
        <w:t>Clemente</w:t>
      </w:r>
      <w:r w:rsidRPr="00893740">
        <w:rPr>
          <w:sz w:val="24"/>
          <w:lang w:val="sk-SK"/>
        </w:rPr>
        <w:t xml:space="preserve">, C-200/07 a C-201/07, ECLI:EU:C:2008:579; rozsudok Všeobecného súdu z 19. marca 2010, </w:t>
      </w:r>
      <w:r w:rsidRPr="00487B97">
        <w:t>Gollnisch</w:t>
      </w:r>
      <w:r w:rsidRPr="00893740">
        <w:rPr>
          <w:sz w:val="24"/>
          <w:lang w:val="sk-SK"/>
        </w:rPr>
        <w:t>/</w:t>
      </w:r>
      <w:r w:rsidRPr="00487B97">
        <w:t>Parlament</w:t>
      </w:r>
      <w:r w:rsidRPr="00893740">
        <w:rPr>
          <w:sz w:val="24"/>
          <w:lang w:val="sk-SK"/>
        </w:rPr>
        <w:t xml:space="preserve">, T-42/06, ECLI:EU:T:2010:102; rozsudok Súdneho dvora zo 6. septembra 2011, </w:t>
      </w:r>
      <w:r w:rsidRPr="00487B97">
        <w:t>Patriciello</w:t>
      </w:r>
      <w:r w:rsidRPr="00893740">
        <w:rPr>
          <w:sz w:val="24"/>
          <w:lang w:val="sk-SK"/>
        </w:rPr>
        <w:t xml:space="preserve">, C-163/10, ECLI: EU:C:2011:543; rozsudok Všeobecného súdu zo 17. januára 2013, </w:t>
      </w:r>
      <w:r w:rsidRPr="00487B97">
        <w:t>Gollnisch</w:t>
      </w:r>
      <w:r w:rsidRPr="00893740">
        <w:rPr>
          <w:sz w:val="24"/>
          <w:lang w:val="sk-SK"/>
        </w:rPr>
        <w:t>/</w:t>
      </w:r>
      <w:r w:rsidRPr="00487B97">
        <w:t>Parlament</w:t>
      </w:r>
      <w:r w:rsidRPr="00893740">
        <w:rPr>
          <w:sz w:val="24"/>
          <w:lang w:val="sk-SK"/>
        </w:rPr>
        <w:t xml:space="preserve">, T-346/11 a T-347/11, ECLI:EU:T:2013:23; rozsudok Súdneho dvora z 19. decembra 2019, </w:t>
      </w:r>
      <w:r w:rsidRPr="00487B97">
        <w:t>Junqueras</w:t>
      </w:r>
      <w:r w:rsidRPr="00487B97">
        <w:t xml:space="preserve"> Vies</w:t>
      </w:r>
      <w:r w:rsidRPr="00893740">
        <w:rPr>
          <w:sz w:val="24"/>
          <w:lang w:val="sk-SK"/>
        </w:rPr>
        <w:t>, C-502/19, ECLI:EU:C:2019:1115.</w:t>
      </w:r>
    </w:p>
  </w:footnote>
  <w:footnote w:id="3">
    <w:p w:rsidR="002F660C" w:rsidRPr="00195F19" w:rsidP="00195F19" w14:paraId="2976FABA" w14:textId="5C9D8DB4">
      <w:pPr>
        <w:pStyle w:val="FootnoteText"/>
        <w:ind w:left="567" w:hanging="567"/>
        <w:rPr>
          <w:sz w:val="24"/>
          <w:lang w:val="sk-SK"/>
        </w:rPr>
      </w:pPr>
      <w:r w:rsidRPr="00195F19">
        <w:rPr>
          <w:rStyle w:val="FootnoteReference"/>
          <w:sz w:val="24"/>
          <w:lang w:val="sk-SK"/>
        </w:rPr>
        <w:footnoteRef/>
      </w:r>
      <w:r w:rsidRPr="00195F19" w:rsidR="00195F19">
        <w:rPr>
          <w:sz w:val="24"/>
          <w:lang w:val="sk-SK"/>
        </w:rPr>
        <w:t xml:space="preserve"> </w:t>
      </w:r>
      <w:r w:rsidRPr="00195F19" w:rsidR="00195F19">
        <w:rPr>
          <w:sz w:val="24"/>
          <w:lang w:val="sk-SK"/>
        </w:rPr>
        <w:tab/>
      </w:r>
      <w:r w:rsidRPr="00195F19">
        <w:rPr>
          <w:sz w:val="24"/>
          <w:lang w:val="sk-SK"/>
        </w:rPr>
        <w:t xml:space="preserve">Rozsudok Všeobecného súdu z 30. apríla 2019, </w:t>
      </w:r>
      <w:r w:rsidRPr="00195F19">
        <w:rPr>
          <w:i/>
          <w:sz w:val="24"/>
          <w:lang w:val="sk-SK"/>
        </w:rPr>
        <w:t>Briois</w:t>
      </w:r>
      <w:r w:rsidRPr="00195F19">
        <w:rPr>
          <w:sz w:val="24"/>
          <w:lang w:val="sk-SK"/>
        </w:rPr>
        <w:t>/</w:t>
      </w:r>
      <w:r w:rsidRPr="00195F19">
        <w:rPr>
          <w:i/>
          <w:sz w:val="24"/>
          <w:lang w:val="sk-SK"/>
        </w:rPr>
        <w:t>Parlament</w:t>
      </w:r>
      <w:r w:rsidRPr="00195F19">
        <w:rPr>
          <w:sz w:val="24"/>
          <w:lang w:val="sk-SK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95F19" w14:paraId="62F934D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95F19" w14:paraId="18324E3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95F19" w14:paraId="6219435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0401242">
    <w:abstractNumId w:val="9"/>
  </w:num>
  <w:num w:numId="2" w16cid:durableId="611985542">
    <w:abstractNumId w:val="9"/>
  </w:num>
  <w:num w:numId="3" w16cid:durableId="616375177">
    <w:abstractNumId w:val="7"/>
  </w:num>
  <w:num w:numId="4" w16cid:durableId="1799763274">
    <w:abstractNumId w:val="7"/>
  </w:num>
  <w:num w:numId="5" w16cid:durableId="1012221813">
    <w:abstractNumId w:val="6"/>
  </w:num>
  <w:num w:numId="6" w16cid:durableId="1545022794">
    <w:abstractNumId w:val="6"/>
  </w:num>
  <w:num w:numId="7" w16cid:durableId="1283460850">
    <w:abstractNumId w:val="5"/>
  </w:num>
  <w:num w:numId="8" w16cid:durableId="315571821">
    <w:abstractNumId w:val="5"/>
  </w:num>
  <w:num w:numId="9" w16cid:durableId="575556663">
    <w:abstractNumId w:val="4"/>
  </w:num>
  <w:num w:numId="10" w16cid:durableId="1726248752">
    <w:abstractNumId w:val="4"/>
  </w:num>
  <w:num w:numId="11" w16cid:durableId="723599475">
    <w:abstractNumId w:val="8"/>
  </w:num>
  <w:num w:numId="12" w16cid:durableId="433356247">
    <w:abstractNumId w:val="8"/>
  </w:num>
  <w:num w:numId="13" w16cid:durableId="1492797317">
    <w:abstractNumId w:val="3"/>
  </w:num>
  <w:num w:numId="14" w16cid:durableId="765343546">
    <w:abstractNumId w:val="3"/>
  </w:num>
  <w:num w:numId="15" w16cid:durableId="960185517">
    <w:abstractNumId w:val="2"/>
  </w:num>
  <w:num w:numId="16" w16cid:durableId="1585456174">
    <w:abstractNumId w:val="2"/>
  </w:num>
  <w:num w:numId="17" w16cid:durableId="25713462">
    <w:abstractNumId w:val="1"/>
  </w:num>
  <w:num w:numId="18" w16cid:durableId="462694098">
    <w:abstractNumId w:val="1"/>
  </w:num>
  <w:num w:numId="19" w16cid:durableId="1345981052">
    <w:abstractNumId w:val="0"/>
  </w:num>
  <w:num w:numId="20" w16cid:durableId="1503739733">
    <w:abstractNumId w:val="0"/>
  </w:num>
  <w:num w:numId="21" w16cid:durableId="1414202447">
    <w:abstractNumId w:val="9"/>
  </w:num>
  <w:num w:numId="22" w16cid:durableId="2075884907">
    <w:abstractNumId w:val="7"/>
  </w:num>
  <w:num w:numId="23" w16cid:durableId="468278902">
    <w:abstractNumId w:val="6"/>
  </w:num>
  <w:num w:numId="24" w16cid:durableId="906189171">
    <w:abstractNumId w:val="5"/>
  </w:num>
  <w:num w:numId="25" w16cid:durableId="575283233">
    <w:abstractNumId w:val="4"/>
  </w:num>
  <w:num w:numId="26" w16cid:durableId="883521485">
    <w:abstractNumId w:val="8"/>
  </w:num>
  <w:num w:numId="27" w16cid:durableId="450320137">
    <w:abstractNumId w:val="3"/>
  </w:num>
  <w:num w:numId="28" w16cid:durableId="1506170153">
    <w:abstractNumId w:val="2"/>
  </w:num>
  <w:num w:numId="29" w16cid:durableId="70854081">
    <w:abstractNumId w:val="1"/>
  </w:num>
  <w:num w:numId="30" w16cid:durableId="985207209">
    <w:abstractNumId w:val="0"/>
  </w:num>
  <w:num w:numId="31" w16cid:durableId="958410708">
    <w:abstractNumId w:val="9"/>
  </w:num>
  <w:num w:numId="32" w16cid:durableId="2121950907">
    <w:abstractNumId w:val="7"/>
  </w:num>
  <w:num w:numId="33" w16cid:durableId="997228308">
    <w:abstractNumId w:val="6"/>
  </w:num>
  <w:num w:numId="34" w16cid:durableId="141046055">
    <w:abstractNumId w:val="5"/>
  </w:num>
  <w:num w:numId="35" w16cid:durableId="1336886314">
    <w:abstractNumId w:val="4"/>
  </w:num>
  <w:num w:numId="36" w16cid:durableId="1040087787">
    <w:abstractNumId w:val="8"/>
  </w:num>
  <w:num w:numId="37" w16cid:durableId="198126828">
    <w:abstractNumId w:val="3"/>
  </w:num>
  <w:num w:numId="38" w16cid:durableId="1713192904">
    <w:abstractNumId w:val="2"/>
  </w:num>
  <w:num w:numId="39" w16cid:durableId="1006977565">
    <w:abstractNumId w:val="1"/>
  </w:num>
  <w:num w:numId="40" w16cid:durableId="1006327732">
    <w:abstractNumId w:val="0"/>
  </w:num>
  <w:num w:numId="41" w16cid:durableId="286399977">
    <w:abstractNumId w:val="10"/>
  </w:num>
  <w:num w:numId="42" w16cid:durableId="2060977795">
    <w:abstractNumId w:val="10"/>
  </w:num>
  <w:num w:numId="43" w16cid:durableId="1215040030">
    <w:abstractNumId w:val="10"/>
  </w:num>
  <w:num w:numId="44" w16cid:durableId="17595205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53C"/>
    <w:rsid w:val="00002272"/>
    <w:rsid w:val="00064002"/>
    <w:rsid w:val="000677B9"/>
    <w:rsid w:val="000831BA"/>
    <w:rsid w:val="000A42CC"/>
    <w:rsid w:val="000D3EDE"/>
    <w:rsid w:val="000E7DD9"/>
    <w:rsid w:val="0010095E"/>
    <w:rsid w:val="00122B72"/>
    <w:rsid w:val="00125B37"/>
    <w:rsid w:val="00187494"/>
    <w:rsid w:val="00195F19"/>
    <w:rsid w:val="001F32AE"/>
    <w:rsid w:val="002767FF"/>
    <w:rsid w:val="002B18FE"/>
    <w:rsid w:val="002B5493"/>
    <w:rsid w:val="002F660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87B97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3740"/>
    <w:rsid w:val="008C2AC6"/>
    <w:rsid w:val="008F3F0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3030"/>
    <w:rsid w:val="00C23CD4"/>
    <w:rsid w:val="00C61C0C"/>
    <w:rsid w:val="00C941CB"/>
    <w:rsid w:val="00CC1858"/>
    <w:rsid w:val="00CC2357"/>
    <w:rsid w:val="00CE0025"/>
    <w:rsid w:val="00CF071A"/>
    <w:rsid w:val="00CF4EC6"/>
    <w:rsid w:val="00D058B8"/>
    <w:rsid w:val="00D56C11"/>
    <w:rsid w:val="00D834A0"/>
    <w:rsid w:val="00D872DF"/>
    <w:rsid w:val="00D91E21"/>
    <w:rsid w:val="00DA753C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08/2026"/>
    <w:docVar w:name="dvlangue" w:val="SK"/>
    <w:docVar w:name="dvnumam" w:val="0"/>
    <w:docVar w:name="dvpe" w:val="786.688"/>
    <w:docVar w:name="dvrapporteur" w:val="Spravodajca: "/>
    <w:docVar w:name="dvtitre" w:val="Rozhodnutie Európskeho parlamentu z/zo xx. xxx 2026 o žiadosti o zbavenie Patryka Jakiho imunity(2025/2171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D264B9E"/>
  <w15:chartTrackingRefBased/>
  <w15:docId w15:val="{16AA619E-3F51-4E79-9BC0-C549FD9F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F660C"/>
    <w:pPr>
      <w:spacing w:after="240"/>
      <w:ind w:left="567" w:hanging="567"/>
    </w:pPr>
  </w:style>
  <w:style w:type="paragraph" w:customStyle="1" w:styleId="EPComma">
    <w:name w:val="EPComma"/>
    <w:basedOn w:val="Normal"/>
    <w:rsid w:val="002F660C"/>
    <w:pPr>
      <w:spacing w:before="480" w:after="240"/>
    </w:pPr>
  </w:style>
  <w:style w:type="paragraph" w:styleId="Revision">
    <w:name w:val="Revision"/>
    <w:hidden/>
    <w:uiPriority w:val="99"/>
    <w:semiHidden/>
    <w:rsid w:val="00CF4EC6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777</Words>
  <Characters>4434</Characters>
  <Application>Microsoft Office Word</Application>
  <DocSecurity>0</DocSecurity>
  <Lines>119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2026-04-28T09:53:00Z</dcterms:created>
  <dcterms:modified xsi:type="dcterms:W3CDTF">2026-04-28T09:53:00Z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A10-0108/2026</vt:lpwstr>
  </property>
  <property fmtid="{D5CDD505-2E9C-101B-9397-08002B2CF9AE}" pid="4" name="&lt;Type&gt;">
    <vt:lpwstr>RR</vt:lpwstr>
  </property>
</Properties>
</file>