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E02FBB1" w14:textId="77777777" w:rsidTr="0010095E">
        <w:tblPrEx>
          <w:tblW w:w="9072" w:type="dxa"/>
          <w:tblLook w:val="01E0"/>
        </w:tblPrEx>
        <w:trPr>
          <w:trHeight w:hRule="exact" w:val="1418"/>
        </w:trPr>
        <w:tc>
          <w:tcPr>
            <w:tcW w:w="6804" w:type="dxa"/>
            <w:shd w:val="clear" w:color="auto" w:fill="auto"/>
            <w:vAlign w:val="center"/>
          </w:tcPr>
          <w:p w:rsidR="00751A4A" w:rsidRPr="00462A3D" w:rsidP="0010095E" w14:paraId="33A5B61C" w14:textId="77777777">
            <w:pPr>
              <w:pStyle w:val="EPName"/>
            </w:pPr>
            <w:r w:rsidRPr="00462A3D">
              <w:t>Europa-Parlamentet</w:t>
            </w:r>
          </w:p>
          <w:p w:rsidR="00751A4A" w:rsidRPr="00462A3D" w:rsidP="005F1B17" w14:paraId="77481E18" w14:textId="77777777">
            <w:pPr>
              <w:pStyle w:val="EPTerm"/>
              <w:rPr>
                <w:rStyle w:val="HideTWBExt"/>
                <w:noProof w:val="0"/>
                <w:vanish w:val="0"/>
                <w:color w:val="auto"/>
              </w:rPr>
            </w:pPr>
            <w:r w:rsidRPr="00462A3D">
              <w:t>2024</w:t>
            </w:r>
            <w:r w:rsidRPr="00462A3D" w:rsidR="00817416">
              <w:t>-202</w:t>
            </w:r>
            <w:r w:rsidRPr="00462A3D">
              <w:t>9</w:t>
            </w:r>
          </w:p>
        </w:tc>
        <w:tc>
          <w:tcPr>
            <w:tcW w:w="2268" w:type="dxa"/>
            <w:shd w:val="clear" w:color="auto" w:fill="auto"/>
          </w:tcPr>
          <w:p w:rsidR="00751A4A" w:rsidRPr="00462A3D" w:rsidP="0010095E" w14:paraId="24B77B54" w14:textId="77777777">
            <w:pPr>
              <w:pStyle w:val="EPLogo"/>
            </w:pPr>
            <w:r w:rsidRPr="00462A3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62A3D" w:rsidP="004C5D52" w14:paraId="437E754A" w14:textId="77777777">
      <w:pPr>
        <w:pStyle w:val="LineTop"/>
      </w:pPr>
    </w:p>
    <w:p w:rsidR="00680577" w:rsidRPr="00462A3D" w:rsidP="00680577" w14:paraId="6566765E" w14:textId="77777777">
      <w:pPr>
        <w:pStyle w:val="EPBodyTA1"/>
      </w:pPr>
      <w:r w:rsidRPr="00462A3D">
        <w:t>VEDTAGNE TEKSTER</w:t>
      </w:r>
    </w:p>
    <w:p w:rsidR="00D058B8" w:rsidRPr="00462A3D" w:rsidP="00D058B8" w14:paraId="26D7CFDD" w14:textId="77777777">
      <w:pPr>
        <w:pStyle w:val="LineBottom"/>
      </w:pPr>
    </w:p>
    <w:p w:rsidR="0045692B" w:rsidRPr="00462A3D" w:rsidP="0045692B" w14:paraId="404E1159" w14:textId="3E35DE33">
      <w:pPr>
        <w:pStyle w:val="ATHeading1"/>
      </w:pPr>
      <w:bookmarkStart w:id="0" w:name="TANumber"/>
      <w:r w:rsidRPr="00462A3D">
        <w:t>P10_</w:t>
      </w:r>
      <w:r w:rsidRPr="00462A3D">
        <w:t>TA(</w:t>
      </w:r>
      <w:r w:rsidRPr="00462A3D">
        <w:t>2026)0</w:t>
      </w:r>
      <w:bookmarkEnd w:id="0"/>
      <w:r w:rsidR="003A332D">
        <w:t>106</w:t>
      </w:r>
    </w:p>
    <w:p w:rsidR="0045692B" w:rsidRPr="00462A3D" w:rsidP="0045692B" w14:paraId="0DFC68CA" w14:textId="0D83404F">
      <w:pPr>
        <w:pStyle w:val="ATHeading2"/>
      </w:pPr>
      <w:r w:rsidRPr="00462A3D">
        <w:t xml:space="preserve">Anmodning om ophævelse af Daniel </w:t>
      </w:r>
      <w:r w:rsidRPr="00462A3D">
        <w:t>Obajteks</w:t>
      </w:r>
      <w:r w:rsidRPr="00462A3D">
        <w:t xml:space="preserve"> immunitet</w:t>
      </w:r>
    </w:p>
    <w:p w:rsidR="0045692B" w:rsidRPr="00462A3D" w:rsidP="0045692B" w14:paraId="274CBE9D" w14:textId="77777777">
      <w:pPr>
        <w:rPr>
          <w:i/>
          <w:vanish/>
        </w:rPr>
      </w:pPr>
      <w:r>
        <w:rPr>
          <w:i/>
        </w:rPr>
        <w:fldChar w:fldCharType="begin"/>
      </w:r>
      <w:r w:rsidRPr="00462A3D">
        <w:rPr>
          <w:i/>
        </w:rPr>
        <w:instrText xml:space="preserve"> TC"(</w:instrText>
      </w:r>
      <w:bookmarkStart w:id="1" w:name="DocNumber"/>
      <w:r w:rsidRPr="00462A3D">
        <w:rPr>
          <w:i/>
        </w:rPr>
        <w:instrText>A10-0115/2026</w:instrText>
      </w:r>
      <w:bookmarkEnd w:id="1"/>
      <w:r w:rsidRPr="00462A3D">
        <w:rPr>
          <w:i/>
        </w:rPr>
        <w:instrText xml:space="preserve"> - Ordfører: Pascale Piera)"\l3 \n&gt; \* MERGEFORMAT </w:instrText>
      </w:r>
      <w:r>
        <w:rPr>
          <w:i/>
        </w:rPr>
        <w:fldChar w:fldCharType="end"/>
      </w:r>
    </w:p>
    <w:p w:rsidR="0045692B" w:rsidRPr="00462A3D" w:rsidP="0045692B" w14:paraId="46394D79" w14:textId="77777777">
      <w:pPr>
        <w:rPr>
          <w:vanish/>
        </w:rPr>
      </w:pPr>
      <w:bookmarkStart w:id="2" w:name="Commission"/>
      <w:r w:rsidRPr="00462A3D">
        <w:rPr>
          <w:vanish/>
        </w:rPr>
        <w:t>Retsudvalget</w:t>
      </w:r>
      <w:bookmarkEnd w:id="2"/>
    </w:p>
    <w:p w:rsidR="0045692B" w:rsidRPr="00462A3D" w:rsidP="0045692B" w14:paraId="1F5DFCE4" w14:textId="77777777">
      <w:pPr>
        <w:rPr>
          <w:vanish/>
        </w:rPr>
      </w:pPr>
      <w:bookmarkStart w:id="3" w:name="PE"/>
      <w:r w:rsidRPr="00462A3D">
        <w:rPr>
          <w:vanish/>
        </w:rPr>
        <w:t>PE786.910</w:t>
      </w:r>
      <w:bookmarkEnd w:id="3"/>
    </w:p>
    <w:p w:rsidR="0045692B" w:rsidRPr="00462A3D" w:rsidP="0045692B" w14:paraId="73BB79D0" w14:textId="05ACF3B8">
      <w:pPr>
        <w:pStyle w:val="ATHeading3"/>
      </w:pPr>
      <w:bookmarkStart w:id="4" w:name="Sujet"/>
      <w:r w:rsidRPr="00462A3D">
        <w:t xml:space="preserve">Europa-Parlamentets afgørelse af </w:t>
      </w:r>
      <w:r w:rsidRPr="00462A3D" w:rsidR="000A64E0">
        <w:t>28. april</w:t>
      </w:r>
      <w:r w:rsidRPr="00462A3D">
        <w:t xml:space="preserve"> 2026 om anmodning om ophævelse af Daniel </w:t>
      </w:r>
      <w:r w:rsidRPr="00462A3D">
        <w:t>Obajteks</w:t>
      </w:r>
      <w:r w:rsidRPr="00462A3D">
        <w:t xml:space="preserve"> immunitet</w:t>
      </w:r>
      <w:bookmarkEnd w:id="4"/>
      <w:r w:rsidRPr="00462A3D">
        <w:t xml:space="preserve"> </w:t>
      </w:r>
      <w:bookmarkStart w:id="5" w:name="References"/>
      <w:r w:rsidRPr="00462A3D">
        <w:t>(2025/2172(IMM))</w:t>
      </w:r>
      <w:bookmarkEnd w:id="5"/>
    </w:p>
    <w:p w:rsidR="007513EE" w:rsidRPr="00462A3D" w:rsidP="007513EE" w14:paraId="78C182F5" w14:textId="77777777">
      <w:pPr>
        <w:pStyle w:val="EPComma"/>
        <w:widowControl/>
      </w:pPr>
      <w:bookmarkStart w:id="6" w:name="TextBodyBegin"/>
      <w:bookmarkEnd w:id="6"/>
      <w:r w:rsidRPr="00462A3D">
        <w:rPr>
          <w:bCs/>
          <w:i/>
          <w:iCs/>
        </w:rPr>
        <w:t>Europa-Parlamentet,</w:t>
      </w:r>
    </w:p>
    <w:p w:rsidR="007513EE" w:rsidRPr="00462A3D" w:rsidP="000A64E0" w14:paraId="32C9E60B" w14:textId="3CC89144">
      <w:pPr>
        <w:pStyle w:val="NormalHanging12a"/>
        <w:widowControl/>
      </w:pPr>
      <w:r w:rsidRPr="00462A3D">
        <w:t>–</w:t>
      </w:r>
      <w:r w:rsidRPr="00462A3D">
        <w:tab/>
        <w:t xml:space="preserve">der henviser til anmodningen om ophævelse af Daniel </w:t>
      </w:r>
      <w:r w:rsidRPr="00462A3D">
        <w:t>Obajteks</w:t>
      </w:r>
      <w:r w:rsidRPr="00462A3D">
        <w:t xml:space="preserve"> immunitet </w:t>
      </w:r>
      <w:r w:rsidRPr="00462A3D" w:rsidR="009A78ED">
        <w:t>modtaget med brev dateret</w:t>
      </w:r>
      <w:r w:rsidRPr="00462A3D">
        <w:t xml:space="preserve"> den 21. juli 2025 </w:t>
      </w:r>
      <w:r w:rsidRPr="00462A3D" w:rsidR="009A78ED">
        <w:t>fra</w:t>
      </w:r>
      <w:r w:rsidRPr="00462A3D">
        <w:t xml:space="preserve"> Republikken Polens rigsadvokat, der har fremsendt anmodningen fra den regionale anklagemyndighed i Warszawa i forbindelse med en straffesag mod Daniel </w:t>
      </w:r>
      <w:r w:rsidRPr="00462A3D">
        <w:t>Obajtek</w:t>
      </w:r>
      <w:r w:rsidRPr="00462A3D">
        <w:t>, og hvorom der blev givet meddelelse på plenarmødet den 8. september 2025,</w:t>
      </w:r>
    </w:p>
    <w:p w:rsidR="007513EE" w:rsidRPr="00462A3D" w:rsidP="000A64E0" w14:paraId="068B0359" w14:textId="77777777">
      <w:pPr>
        <w:pStyle w:val="NormalHanging12a"/>
        <w:widowControl/>
      </w:pPr>
      <w:r w:rsidRPr="00462A3D">
        <w:t>–</w:t>
      </w:r>
      <w:r w:rsidRPr="00462A3D">
        <w:tab/>
        <w:t xml:space="preserve">der har hørt Daniel </w:t>
      </w:r>
      <w:r w:rsidRPr="00462A3D">
        <w:t>Obajtek</w:t>
      </w:r>
      <w:r w:rsidRPr="00462A3D">
        <w:t xml:space="preserve"> den 12. februar 2026, jf. forretningsordenens artikel 9, stk. 6,</w:t>
      </w:r>
    </w:p>
    <w:p w:rsidR="007513EE" w:rsidRPr="00462A3D" w:rsidP="000A64E0" w14:paraId="1E0C2E86" w14:textId="77777777">
      <w:pPr>
        <w:pStyle w:val="NormalHanging12a"/>
        <w:widowControl/>
      </w:pPr>
      <w:r w:rsidRPr="00462A3D">
        <w:t>–</w:t>
      </w:r>
      <w:r w:rsidRPr="00462A3D">
        <w:tab/>
        <w:t>der henviser til artikel 8 og 9 i protokol nr. 7 vedrørende Den Europæiske Unions privilegier og immuniteter samt artikel 6, stk. 2, i akten af 20. september 1976 om almindelige direkte valg af medlemmerne af Europa-Parlamentet,</w:t>
      </w:r>
    </w:p>
    <w:p w:rsidR="007513EE" w:rsidRPr="00462A3D" w:rsidP="000A64E0" w14:paraId="54617F34" w14:textId="77777777">
      <w:pPr>
        <w:pStyle w:val="NormalHanging12a"/>
        <w:widowControl/>
      </w:pPr>
      <w:r w:rsidRPr="00462A3D">
        <w:t>–</w:t>
      </w:r>
      <w:r w:rsidRPr="00462A3D">
        <w:tab/>
        <w:t>der henviser til Den Europæiske Unions Domstols domme af 21. oktober 2008, 19. marts 2010, 6. september 2011, 17. januar 2013 og 19. december 2019</w:t>
      </w:r>
      <w:r>
        <w:rPr>
          <w:rStyle w:val="FootnoteReference"/>
          <w:color w:val="000000"/>
        </w:rPr>
        <w:footnoteReference w:id="2"/>
      </w:r>
      <w:r w:rsidRPr="00462A3D">
        <w:t>,</w:t>
      </w:r>
    </w:p>
    <w:p w:rsidR="007513EE" w:rsidRPr="00462A3D" w:rsidP="000A64E0" w14:paraId="3B59D465" w14:textId="77777777">
      <w:pPr>
        <w:pStyle w:val="NormalHanging12a"/>
        <w:widowControl/>
      </w:pPr>
      <w:r w:rsidRPr="00462A3D">
        <w:t>–</w:t>
      </w:r>
      <w:r w:rsidRPr="00462A3D">
        <w:tab/>
        <w:t>der henviser til artikel 105, stk. 2 og 5, i Republikken Polens forfatning,</w:t>
      </w:r>
    </w:p>
    <w:p w:rsidR="007513EE" w:rsidRPr="00462A3D" w:rsidP="000A64E0" w14:paraId="0035ECC1" w14:textId="77777777">
      <w:pPr>
        <w:pStyle w:val="NormalHanging12a"/>
        <w:widowControl/>
      </w:pPr>
      <w:r w:rsidRPr="00462A3D">
        <w:t>–</w:t>
      </w:r>
      <w:r w:rsidRPr="00462A3D">
        <w:tab/>
        <w:t>der henviser til forretningsordenens artikel 5, stk. 2, artikel 6, stk. 1, og artikel 9,</w:t>
      </w:r>
    </w:p>
    <w:p w:rsidR="007513EE" w:rsidRPr="00462A3D" w:rsidP="000A64E0" w14:paraId="2FC85539" w14:textId="77777777">
      <w:pPr>
        <w:pStyle w:val="NormalHanging12a"/>
        <w:widowControl/>
      </w:pPr>
      <w:r w:rsidRPr="00462A3D">
        <w:t>–</w:t>
      </w:r>
      <w:r w:rsidRPr="00462A3D">
        <w:tab/>
        <w:t>der henviser til betænkning fra Retsudvalget (A10</w:t>
      </w:r>
      <w:r w:rsidRPr="00462A3D">
        <w:noBreakHyphen/>
        <w:t>0115/2026),</w:t>
      </w:r>
    </w:p>
    <w:p w:rsidR="007513EE" w:rsidRPr="00462A3D" w:rsidP="000A64E0" w14:paraId="337A2C86" w14:textId="56B79F15">
      <w:pPr>
        <w:pStyle w:val="NormalHanging12a"/>
        <w:widowControl/>
      </w:pPr>
      <w:r w:rsidRPr="00462A3D">
        <w:t>A.</w:t>
      </w:r>
      <w:r w:rsidRPr="00462A3D">
        <w:tab/>
        <w:t xml:space="preserve">der henviser til, at Republikken Polens rigsadvokat ved skrivelse af 21. juli 2025 fremsendte en anmodning fra den regionale anklagemyndighed i Warszawa om ophævelse af Daniel </w:t>
      </w:r>
      <w:r w:rsidRPr="00462A3D">
        <w:t>Obajteks</w:t>
      </w:r>
      <w:r w:rsidRPr="00462A3D">
        <w:t xml:space="preserve"> immunitet</w:t>
      </w:r>
      <w:r w:rsidRPr="00462A3D" w:rsidR="00450C25">
        <w:t xml:space="preserve">, medlem af Europa-Parlamentet valgt i Polen, </w:t>
      </w:r>
      <w:r w:rsidRPr="00462A3D">
        <w:t>i forbindelse med den påståede overtrædelse af artikel 233, stk. 1, i den polske straffelov, samt artikel 49 sammenholdt med artikel 3 i presseloven af 26. januar 1984;</w:t>
      </w:r>
    </w:p>
    <w:p w:rsidR="007513EE" w:rsidRPr="00462A3D" w:rsidP="000A64E0" w14:paraId="710AD71C" w14:textId="77777777">
      <w:pPr>
        <w:pStyle w:val="NormalHanging12a"/>
        <w:widowControl/>
      </w:pPr>
      <w:r w:rsidRPr="00462A3D">
        <w:t>B.</w:t>
      </w:r>
      <w:r w:rsidRPr="00462A3D">
        <w:tab/>
        <w:t xml:space="preserve">der henviser til, at den regionale anklagemyndighed i Warszawa ifølge anmodningen om ophævelse af immunitet indledte en efterforskning for påstået falsk vidneforklaring den 15. maj 2024; der henviser til, at denne påståede falske vidneforklaring ifølge førnævnte anmodning blev aflagt den 11. maj 2023 af to personer, heriblandt Daniel </w:t>
      </w:r>
      <w:r w:rsidRPr="00462A3D">
        <w:t>Obajtek</w:t>
      </w:r>
      <w:r w:rsidRPr="00462A3D">
        <w:t>, der optrådte som vidne og var blevet oplyst om det strafferetlige ansvar i tilfælde af falsk vidneudsagn, i forbindelse med sagen ved den regionale domstol i Warszawa-</w:t>
      </w:r>
      <w:r w:rsidRPr="00462A3D">
        <w:t>Śródmieście</w:t>
      </w:r>
      <w:r w:rsidRPr="00462A3D">
        <w:t xml:space="preserve"> i Warszawa vedrørende det civile søgsmål, som sagsøger havde anlagt mod sagsøgte for en lovovertrædelse i henhold til den polske straffelovs artikel 212, stk. 2, om injurier;</w:t>
      </w:r>
    </w:p>
    <w:p w:rsidR="007513EE" w:rsidRPr="00462A3D" w:rsidP="000A64E0" w14:paraId="47EB437C" w14:textId="5E53EBA1">
      <w:pPr>
        <w:pStyle w:val="NormalHanging12a"/>
        <w:widowControl/>
      </w:pPr>
      <w:r w:rsidRPr="00462A3D">
        <w:rPr>
          <w:color w:val="000000"/>
        </w:rPr>
        <w:t>C.</w:t>
      </w:r>
      <w:r w:rsidRPr="00462A3D">
        <w:rPr>
          <w:color w:val="000000"/>
        </w:rPr>
        <w:tab/>
      </w:r>
      <w:r w:rsidRPr="00462A3D">
        <w:t>der henviser til</w:t>
      </w:r>
      <w:r w:rsidRPr="00462A3D" w:rsidR="00450C25">
        <w:t xml:space="preserve"> </w:t>
      </w:r>
      <w:r w:rsidRPr="00462A3D">
        <w:t xml:space="preserve">at </w:t>
      </w:r>
      <w:r w:rsidRPr="00462A3D">
        <w:t>Polski</w:t>
      </w:r>
      <w:r w:rsidRPr="00462A3D">
        <w:t xml:space="preserve"> Koncern </w:t>
      </w:r>
      <w:r w:rsidRPr="00462A3D">
        <w:t>Naftowy</w:t>
      </w:r>
      <w:r w:rsidRPr="00462A3D">
        <w:t xml:space="preserve"> ORLEN </w:t>
      </w:r>
      <w:r w:rsidRPr="00462A3D">
        <w:t>Spółka</w:t>
      </w:r>
      <w:r w:rsidRPr="00462A3D">
        <w:t xml:space="preserve"> </w:t>
      </w:r>
      <w:r w:rsidRPr="00462A3D">
        <w:t>Akcyjna</w:t>
      </w:r>
      <w:r w:rsidRPr="00462A3D" w:rsidR="00E626FF">
        <w:t xml:space="preserve"> i henhold til anmodningen</w:t>
      </w:r>
      <w:r w:rsidRPr="00462A3D">
        <w:t xml:space="preserve"> indgik en kontrakt om distribution af ugebladet "NIE", som udgives af anpartsselskabet URMA, på alle salgssteder på ORLEN-tankstationer;</w:t>
      </w:r>
      <w:r w:rsidRPr="00462A3D">
        <w:rPr>
          <w:color w:val="000000"/>
        </w:rPr>
        <w:t xml:space="preserve"> </w:t>
      </w:r>
      <w:r w:rsidRPr="00462A3D">
        <w:t xml:space="preserve">der henviser til, at det tiende nummer af ugebladet blev distribueret den 10. marts 2023; der henviser til, at Daniel </w:t>
      </w:r>
      <w:r w:rsidRPr="00462A3D">
        <w:t>Obajtek</w:t>
      </w:r>
      <w:r w:rsidRPr="00462A3D">
        <w:t xml:space="preserve"> den 14. marts 2023 i Warszawa i sin egenskab af bestyrelsesformand for </w:t>
      </w:r>
      <w:r w:rsidRPr="00462A3D">
        <w:t>Polski</w:t>
      </w:r>
      <w:r w:rsidRPr="00462A3D">
        <w:t xml:space="preserve"> Koncern </w:t>
      </w:r>
      <w:r w:rsidRPr="00462A3D">
        <w:t>Naftowy</w:t>
      </w:r>
      <w:r w:rsidRPr="00462A3D">
        <w:t xml:space="preserve"> ORLEN </w:t>
      </w:r>
      <w:r w:rsidRPr="00462A3D">
        <w:t>Spółka</w:t>
      </w:r>
      <w:r w:rsidRPr="00462A3D">
        <w:t xml:space="preserve"> </w:t>
      </w:r>
      <w:r w:rsidRPr="00462A3D">
        <w:t>Akcyjna</w:t>
      </w:r>
      <w:r w:rsidRPr="00462A3D">
        <w:t xml:space="preserve"> – fordi forsiden af dette nummer af ugebladet viste et billede af pave Johannes Paul II med et kors, hvorpå Jesus var udskiftet med en nøgen dukke, og fordi de foranstaltninger, som pave Johannes Paul II havde truffet med hensyn til gejstliges seksuelle udnyttelse af mindreårige, blev omtalt negativt – angiveligt anmodede om, at nummer 10/2023 af ugebladet "NIE" hurtigst muligt blev fjernet fra hylderne på alle salgssteder tilhørende </w:t>
      </w:r>
      <w:r w:rsidRPr="00462A3D">
        <w:t>Polski</w:t>
      </w:r>
      <w:r w:rsidRPr="00462A3D">
        <w:t xml:space="preserve"> Koncern </w:t>
      </w:r>
      <w:r w:rsidRPr="00462A3D">
        <w:t>Naftowy</w:t>
      </w:r>
      <w:r w:rsidRPr="00462A3D">
        <w:t xml:space="preserve"> ORLEN </w:t>
      </w:r>
      <w:r w:rsidRPr="00462A3D">
        <w:t>Spółka</w:t>
      </w:r>
      <w:r w:rsidRPr="00462A3D">
        <w:t xml:space="preserve"> </w:t>
      </w:r>
      <w:r w:rsidRPr="00462A3D">
        <w:t>Akcyjna</w:t>
      </w:r>
      <w:r w:rsidRPr="00462A3D">
        <w:t xml:space="preserve"> og ikke længere blev udbudt til salg, og at salget af magasinet – som </w:t>
      </w:r>
      <w:r w:rsidRPr="00462A3D">
        <w:t>Polski</w:t>
      </w:r>
      <w:r w:rsidRPr="00462A3D">
        <w:t xml:space="preserve"> Koncern </w:t>
      </w:r>
      <w:r w:rsidRPr="00462A3D">
        <w:t>Naftowy</w:t>
      </w:r>
      <w:r w:rsidRPr="00462A3D">
        <w:t xml:space="preserve"> ORLEN </w:t>
      </w:r>
      <w:r w:rsidRPr="00462A3D">
        <w:t>Spółka</w:t>
      </w:r>
      <w:r w:rsidRPr="00462A3D">
        <w:t xml:space="preserve"> </w:t>
      </w:r>
      <w:r w:rsidRPr="00462A3D">
        <w:t>Akcyjna</w:t>
      </w:r>
      <w:r w:rsidRPr="00462A3D">
        <w:t xml:space="preserve"> havde forpligtet sig til at distribuere – dermed blev begrænset, hvilket udgør en overtrædelse i henhold til artikel 49, sammenholdt med artikel 3, i presseloven af 26. januar 1984;</w:t>
      </w:r>
    </w:p>
    <w:p w:rsidR="007513EE" w:rsidRPr="00462A3D" w:rsidP="000A64E0" w14:paraId="2788BEB2" w14:textId="54836B9C">
      <w:pPr>
        <w:pStyle w:val="NormalHanging12a"/>
        <w:widowControl/>
        <w:rPr>
          <w:shd w:val="clear" w:color="auto" w:fill="FFFFFF"/>
        </w:rPr>
      </w:pPr>
      <w:r w:rsidRPr="00462A3D">
        <w:rPr>
          <w:color w:val="000000"/>
        </w:rPr>
        <w:t>D.</w:t>
      </w:r>
      <w:r w:rsidRPr="00462A3D">
        <w:rPr>
          <w:color w:val="000000"/>
        </w:rPr>
        <w:tab/>
      </w:r>
      <w:r w:rsidRPr="00462A3D">
        <w:t xml:space="preserve">der henviser til, </w:t>
      </w:r>
      <w:r w:rsidRPr="00462A3D">
        <w:rPr>
          <w:shd w:val="clear" w:color="auto" w:fill="FFFFFF"/>
        </w:rPr>
        <w:t>at</w:t>
      </w:r>
      <w:r w:rsidRPr="00462A3D">
        <w:t xml:space="preserve"> Daniel </w:t>
      </w:r>
      <w:r w:rsidRPr="00462A3D">
        <w:t>Obajtek</w:t>
      </w:r>
      <w:r w:rsidRPr="00462A3D">
        <w:t xml:space="preserve"> </w:t>
      </w:r>
      <w:r w:rsidRPr="00462A3D">
        <w:rPr>
          <w:shd w:val="clear" w:color="auto" w:fill="FFFFFF"/>
        </w:rPr>
        <w:t>blev indvalgt i Europa-Parlamentet ved valget hertil i juni 2024, og</w:t>
      </w:r>
      <w:r w:rsidRPr="00462A3D">
        <w:t xml:space="preserve"> </w:t>
      </w:r>
      <w:r w:rsidRPr="00462A3D" w:rsidR="00450C25">
        <w:rPr>
          <w:shd w:val="clear" w:color="auto" w:fill="FFFFFF"/>
        </w:rPr>
        <w:t xml:space="preserve">derfor </w:t>
      </w:r>
      <w:r w:rsidRPr="00462A3D">
        <w:rPr>
          <w:shd w:val="clear" w:color="auto" w:fill="FFFFFF"/>
        </w:rPr>
        <w:t>hverken var medlem af Europa-Parlamentet, da den hævdede lovovertrædelse fandt sted, eller da den strafferetlige efterforskning af den påståede lovovertrædelse blev indledt;</w:t>
      </w:r>
    </w:p>
    <w:p w:rsidR="007513EE" w:rsidRPr="00462A3D" w:rsidP="000A64E0" w14:paraId="4408738D" w14:textId="0EB1A127">
      <w:pPr>
        <w:pStyle w:val="NormalHanging12a"/>
        <w:widowControl/>
      </w:pPr>
      <w:r w:rsidRPr="00462A3D">
        <w:t>E.</w:t>
      </w:r>
      <w:r w:rsidRPr="00462A3D">
        <w:tab/>
        <w:t xml:space="preserve">der henviser til, at de formodede lovovertrædelser </w:t>
      </w:r>
      <w:r w:rsidRPr="00462A3D" w:rsidR="00450C25">
        <w:t>ikke udgør</w:t>
      </w:r>
      <w:r w:rsidRPr="00462A3D" w:rsidR="009A78ED">
        <w:t>,</w:t>
      </w:r>
      <w:r w:rsidRPr="00462A3D" w:rsidR="00450C25">
        <w:t xml:space="preserve"> </w:t>
      </w:r>
      <w:r w:rsidRPr="00462A3D">
        <w:t xml:space="preserve">og den deraf følgende anmodning om ophævelse af Daniel </w:t>
      </w:r>
      <w:r w:rsidRPr="00462A3D">
        <w:t>Obajteks</w:t>
      </w:r>
      <w:r w:rsidRPr="00462A3D">
        <w:t xml:space="preserve"> immunitet ikke vedrører</w:t>
      </w:r>
      <w:r w:rsidRPr="00462A3D" w:rsidR="009A78ED">
        <w:t xml:space="preserve"> en</w:t>
      </w:r>
      <w:r w:rsidRPr="00462A3D">
        <w:t xml:space="preserve"> meningstilkendegivelse eller stemmeafgivelse under udøvelsen af hans hverv som omhandlet i artikel 8 i protokol nr. 7 vedrørende Den Europæiske Unions privilegier og immuniteter;</w:t>
      </w:r>
    </w:p>
    <w:p w:rsidR="007513EE" w:rsidRPr="00462A3D" w:rsidP="000A64E0" w14:paraId="1345CD9B" w14:textId="1D1F1CF2">
      <w:pPr>
        <w:pStyle w:val="NormalHanging12a"/>
        <w:widowControl/>
      </w:pPr>
      <w:r w:rsidRPr="00462A3D">
        <w:t>F.</w:t>
      </w:r>
      <w:r w:rsidRPr="00462A3D">
        <w:tab/>
        <w:t xml:space="preserve">der henviser til, at artikel 9, stk. 1, litra a), i protokol nr. 7 vedrørende Den Europæiske Unions privilegier og immuniteter fastsætter, at Europa-Parlamentets medlemmer </w:t>
      </w:r>
      <w:r w:rsidRPr="00462A3D" w:rsidR="009A78ED">
        <w:t xml:space="preserve">under Europa-Parlamentets mødeperioder </w:t>
      </w:r>
      <w:r w:rsidRPr="00462A3D">
        <w:t>på deres ege</w:t>
      </w:r>
      <w:r w:rsidRPr="00462A3D" w:rsidR="005B486E">
        <w:t>n</w:t>
      </w:r>
      <w:r w:rsidRPr="00462A3D">
        <w:t xml:space="preserve"> </w:t>
      </w:r>
      <w:r w:rsidRPr="00462A3D" w:rsidR="005B486E">
        <w:t>medlemsstat</w:t>
      </w:r>
      <w:r w:rsidRPr="00462A3D">
        <w:t xml:space="preserve">s område nyder de immuniteter, der tilstås medlemmerne af deres </w:t>
      </w:r>
      <w:r w:rsidRPr="00462A3D" w:rsidR="005B486E">
        <w:t>medlemsstat</w:t>
      </w:r>
      <w:r w:rsidRPr="00462A3D">
        <w:t>s lovgivende forsamling;</w:t>
      </w:r>
    </w:p>
    <w:p w:rsidR="007513EE" w:rsidRPr="00462A3D" w:rsidP="000A64E0" w14:paraId="77ED5D91" w14:textId="77777777">
      <w:pPr>
        <w:pStyle w:val="NormalHanging12a"/>
        <w:widowControl/>
      </w:pPr>
      <w:r w:rsidRPr="00462A3D">
        <w:t>G.</w:t>
      </w:r>
      <w:r w:rsidRPr="00462A3D">
        <w:tab/>
        <w:t xml:space="preserve">der henviser til, at et parlamentsmedlem i henhold til artikel 105, stk. 2 og 5, i Republikken Polens forfatning fra datoen for meddelelsen af valgresultatet indtil datoen for udløbet af sit mandat ikke kan retsforfølges uden Sejmens samtykke, og at </w:t>
      </w:r>
      <w:r w:rsidRPr="00462A3D">
        <w:t>medlemmet hverken må tilbageholdes eller anholdes uden Sejmens samtykke, medmindre vedkommende gribes på fersk gerning, og en tilbageholdelse er nødvendig for at sikre en korrekt behandling af sagen;</w:t>
      </w:r>
    </w:p>
    <w:p w:rsidR="007513EE" w:rsidRPr="00462A3D" w:rsidP="000A64E0" w14:paraId="682B6E99" w14:textId="77777777">
      <w:pPr>
        <w:pStyle w:val="NormalHanging12a"/>
        <w:widowControl/>
      </w:pPr>
      <w:r w:rsidRPr="00462A3D">
        <w:t>H.</w:t>
      </w:r>
      <w:r w:rsidRPr="00462A3D">
        <w:tab/>
        <w:t>der henviser til, at parlamentarisk immunitet i henhold til forretningsordenens artikel 5, stk. 2, ikke er et medlems personlige privilegium, men derimod en garanti for Parlamentets uafhængighed som helhed og for dets medlemmers uafhængighed;</w:t>
      </w:r>
    </w:p>
    <w:p w:rsidR="007513EE" w:rsidRPr="00462A3D" w:rsidP="000A64E0" w14:paraId="653EC536" w14:textId="77777777">
      <w:pPr>
        <w:pStyle w:val="NormalHanging12a"/>
        <w:widowControl/>
      </w:pPr>
      <w:r w:rsidRPr="00462A3D">
        <w:t>I.</w:t>
      </w:r>
      <w:r w:rsidRPr="00462A3D">
        <w:tab/>
        <w:t>der henviser til, at formålet med immuniteten i henhold til protokol nr. 7 vedrørende Den Europæiske Unions privilegier og immuniteter er at beskytte Parlamentet og dets medlemmer mod retsforfølgning i relation til aktiviteter, der udføres under udøvelsen af det parlamentariske hverv, og som ikke kan adskilles fra dette hverv;</w:t>
      </w:r>
    </w:p>
    <w:p w:rsidR="007513EE" w:rsidRPr="00462A3D" w:rsidP="000A64E0" w14:paraId="34209C75" w14:textId="4DA62749">
      <w:pPr>
        <w:pStyle w:val="NormalHanging12a"/>
        <w:widowControl/>
      </w:pPr>
      <w:r w:rsidRPr="00462A3D">
        <w:t>J.</w:t>
      </w:r>
      <w:r w:rsidRPr="00462A3D">
        <w:tab/>
        <w:t xml:space="preserve">der henviser til, at Parlamentet i den foreliggende sag ikke har grund til at antage, at der foreligger </w:t>
      </w:r>
      <w:r w:rsidRPr="00462A3D">
        <w:t>fumus</w:t>
      </w:r>
      <w:r w:rsidRPr="00462A3D">
        <w:t xml:space="preserve"> </w:t>
      </w:r>
      <w:r w:rsidRPr="00462A3D">
        <w:t>persecutionis</w:t>
      </w:r>
      <w:r w:rsidRPr="00462A3D">
        <w:t xml:space="preserve">, dvs. </w:t>
      </w:r>
      <w:r w:rsidRPr="00462A3D" w:rsidR="000A64E0">
        <w:t xml:space="preserve">hensigten med sagsanlægget synes med andre ord ikke at være at undergrave Daniel </w:t>
      </w:r>
      <w:r w:rsidRPr="00462A3D" w:rsidR="000A64E0">
        <w:t>Obajteks</w:t>
      </w:r>
      <w:r w:rsidRPr="00462A3D" w:rsidR="000A64E0">
        <w:t xml:space="preserve"> politiske virksomhed og dermed Parlamentets uafhængighed</w:t>
      </w:r>
      <w:r w:rsidRPr="00462A3D">
        <w:t>;</w:t>
      </w:r>
    </w:p>
    <w:p w:rsidR="007513EE" w:rsidRPr="00462A3D" w:rsidP="000A64E0" w14:paraId="621F074C" w14:textId="3750ACB4">
      <w:pPr>
        <w:pStyle w:val="NormalHanging12a"/>
        <w:widowControl/>
      </w:pPr>
      <w:r w:rsidRPr="00462A3D">
        <w:t>K.</w:t>
      </w:r>
      <w:r w:rsidRPr="00462A3D">
        <w:tab/>
        <w:t>der henviser til, at Parlamentet ikke kan sidestilles med en domstol, og at medlemmet i forbindelse med en procedure om ophævelse af immunitet ikke kan betragtes som en "anklaget"</w:t>
      </w:r>
      <w:r>
        <w:rPr>
          <w:rStyle w:val="FootnoteReference"/>
        </w:rPr>
        <w:footnoteReference w:id="3"/>
      </w:r>
      <w:r w:rsidRPr="00462A3D">
        <w:t>;</w:t>
      </w:r>
    </w:p>
    <w:p w:rsidR="007513EE" w:rsidRPr="00462A3D" w:rsidP="000A64E0" w14:paraId="5B67E3CC" w14:textId="77777777">
      <w:pPr>
        <w:pStyle w:val="NormalHanging12a"/>
        <w:widowControl/>
      </w:pPr>
      <w:r w:rsidRPr="00462A3D">
        <w:t>1.</w:t>
      </w:r>
      <w:r w:rsidRPr="00462A3D">
        <w:tab/>
        <w:t xml:space="preserve">vedtager at ophæve Daniel </w:t>
      </w:r>
      <w:r w:rsidRPr="00462A3D">
        <w:t>Obajteks</w:t>
      </w:r>
      <w:r w:rsidRPr="00462A3D">
        <w:t xml:space="preserve"> immunitet;</w:t>
      </w:r>
    </w:p>
    <w:p w:rsidR="00E365E1" w:rsidRPr="00462A3D" w:rsidP="000A64E0" w14:paraId="74E4F90A" w14:textId="2CFE572C">
      <w:pPr>
        <w:ind w:left="567" w:hanging="567"/>
      </w:pPr>
      <w:r w:rsidRPr="00462A3D">
        <w:t xml:space="preserve">2. </w:t>
      </w:r>
      <w:r w:rsidRPr="00462A3D">
        <w:tab/>
        <w:t xml:space="preserve">pålægger sin formand straks at sende denne afgørelse og det kompetente udvalgs betænkning til Republikken Polens kompetente myndighed og Daniel </w:t>
      </w:r>
      <w:r w:rsidRPr="00462A3D">
        <w:t>Obajtek</w:t>
      </w:r>
      <w:r w:rsidRPr="00462A3D">
        <w:t xml:space="preserve">. </w:t>
      </w:r>
    </w:p>
    <w:sectPr w:rsidSect="00F32DC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DC6" w14:paraId="545024B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DC6" w14:paraId="05663CA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DC6" w14:paraId="5AEA9A2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692B" w:rsidRPr="00F32DC6" w14:paraId="3D91998E" w14:textId="77777777">
      <w:r w:rsidRPr="00F32DC6">
        <w:separator/>
      </w:r>
    </w:p>
  </w:footnote>
  <w:footnote w:type="continuationSeparator" w:id="1">
    <w:p w:rsidR="0045692B" w:rsidRPr="00F32DC6" w14:paraId="0361A8C4" w14:textId="77777777">
      <w:r w:rsidRPr="00F32DC6">
        <w:continuationSeparator/>
      </w:r>
    </w:p>
  </w:footnote>
  <w:footnote w:id="2">
    <w:p w:rsidR="007513EE" w:rsidRPr="00F32DC6" w:rsidP="00F32DC6" w14:paraId="026557DC" w14:textId="62E8EFCF">
      <w:pPr>
        <w:pStyle w:val="FootnoteText"/>
        <w:ind w:left="567" w:hanging="567"/>
        <w:rPr>
          <w:sz w:val="24"/>
          <w:vertAlign w:val="superscript"/>
          <w:lang w:val="da-DK"/>
        </w:rPr>
      </w:pPr>
      <w:r w:rsidRPr="00F32DC6">
        <w:rPr>
          <w:rStyle w:val="FootnoteReference"/>
          <w:sz w:val="24"/>
          <w:lang w:val="da-DK"/>
        </w:rPr>
        <w:footnoteRef/>
      </w:r>
      <w:r w:rsidRPr="00F32DC6" w:rsidR="00F32DC6">
        <w:rPr>
          <w:sz w:val="24"/>
          <w:lang w:val="da-DK"/>
        </w:rPr>
        <w:t xml:space="preserve"> </w:t>
      </w:r>
      <w:r w:rsidRPr="00F32DC6" w:rsidR="00F32DC6">
        <w:rPr>
          <w:sz w:val="24"/>
          <w:lang w:val="da-DK"/>
        </w:rPr>
        <w:tab/>
      </w:r>
      <w:r w:rsidRPr="00F32DC6">
        <w:rPr>
          <w:sz w:val="24"/>
          <w:lang w:val="da-DK"/>
        </w:rPr>
        <w:t xml:space="preserve">Domstolens dom af 21. oktober 2008, </w:t>
      </w:r>
      <w:r w:rsidRPr="00F32DC6">
        <w:rPr>
          <w:sz w:val="24"/>
          <w:lang w:val="da-DK"/>
        </w:rPr>
        <w:t>Marra</w:t>
      </w:r>
      <w:r w:rsidRPr="00F32DC6">
        <w:rPr>
          <w:sz w:val="24"/>
          <w:lang w:val="da-DK"/>
        </w:rPr>
        <w:t xml:space="preserve"> mod De </w:t>
      </w:r>
      <w:r w:rsidRPr="00F32DC6">
        <w:rPr>
          <w:sz w:val="24"/>
          <w:lang w:val="da-DK"/>
        </w:rPr>
        <w:t>Gregorio</w:t>
      </w:r>
      <w:r w:rsidRPr="00F32DC6">
        <w:rPr>
          <w:sz w:val="24"/>
          <w:lang w:val="da-DK"/>
        </w:rPr>
        <w:t xml:space="preserve"> og </w:t>
      </w:r>
      <w:r w:rsidRPr="00F32DC6">
        <w:rPr>
          <w:sz w:val="24"/>
          <w:lang w:val="da-DK"/>
        </w:rPr>
        <w:t>Clemente</w:t>
      </w:r>
      <w:r w:rsidRPr="00F32DC6">
        <w:rPr>
          <w:sz w:val="24"/>
          <w:lang w:val="da-DK"/>
        </w:rPr>
        <w:t xml:space="preserve">, C-200/07 og C-201/07, ECLI:EU:C:2008:579; Rettens dom af 19. marts 2010, </w:t>
      </w:r>
      <w:r w:rsidRPr="00F32DC6">
        <w:rPr>
          <w:sz w:val="24"/>
          <w:lang w:val="da-DK"/>
        </w:rPr>
        <w:t>Gollnisch</w:t>
      </w:r>
      <w:r w:rsidRPr="00F32DC6">
        <w:rPr>
          <w:sz w:val="24"/>
          <w:lang w:val="da-DK"/>
        </w:rPr>
        <w:t xml:space="preserve"> mod Parlamentet, T-42/06, ECLI:EU:T:2010:102; Domstolens dom af 6. september 2011, </w:t>
      </w:r>
      <w:r w:rsidRPr="00F32DC6">
        <w:rPr>
          <w:sz w:val="24"/>
          <w:lang w:val="da-DK"/>
        </w:rPr>
        <w:t>Patriciello</w:t>
      </w:r>
      <w:r w:rsidRPr="00F32DC6">
        <w:rPr>
          <w:sz w:val="24"/>
          <w:lang w:val="da-DK"/>
        </w:rPr>
        <w:t xml:space="preserve">, C-163/10, ECLI:EU:C:2011:543; Rettens dom af 17. januar 2013, </w:t>
      </w:r>
      <w:r w:rsidRPr="00F32DC6">
        <w:rPr>
          <w:sz w:val="24"/>
          <w:lang w:val="da-DK"/>
        </w:rPr>
        <w:t>Gollnisch</w:t>
      </w:r>
      <w:r w:rsidRPr="00F32DC6">
        <w:rPr>
          <w:sz w:val="24"/>
          <w:lang w:val="da-DK"/>
        </w:rPr>
        <w:t xml:space="preserve"> mod Parlamentet, T-346/11 og T-347/11, ECLI:EU:T:2013:23 og Domstolens dom af 19. december 2019, </w:t>
      </w:r>
      <w:r w:rsidRPr="00F32DC6">
        <w:rPr>
          <w:sz w:val="24"/>
          <w:lang w:val="da-DK"/>
        </w:rPr>
        <w:t>Junqueras</w:t>
      </w:r>
      <w:r w:rsidRPr="00F32DC6">
        <w:rPr>
          <w:sz w:val="24"/>
          <w:lang w:val="da-DK"/>
        </w:rPr>
        <w:t xml:space="preserve"> Vies, C-502/19, ECLI:EU:C:2019:1115.</w:t>
      </w:r>
    </w:p>
    <w:p w:rsidR="007513EE" w:rsidRPr="00F32DC6" w:rsidP="00F32DC6" w14:paraId="04E84B46" w14:textId="1D44C4FF">
      <w:pPr>
        <w:pStyle w:val="FootnoteText"/>
        <w:ind w:left="567" w:hanging="567"/>
        <w:rPr>
          <w:sz w:val="24"/>
          <w:lang w:val="da-DK"/>
        </w:rPr>
      </w:pPr>
      <w:r w:rsidRPr="00F32DC6">
        <w:rPr>
          <w:sz w:val="24"/>
          <w:lang w:val="da-DK"/>
        </w:rPr>
        <w:t xml:space="preserve"> </w:t>
      </w:r>
      <w:r w:rsidRPr="00F32DC6">
        <w:rPr>
          <w:sz w:val="24"/>
          <w:lang w:val="da-DK"/>
        </w:rPr>
        <w:tab/>
      </w:r>
    </w:p>
  </w:footnote>
  <w:footnote w:id="3">
    <w:p w:rsidR="007513EE" w:rsidRPr="00F32DC6" w:rsidP="00F32DC6" w14:paraId="5E9C6052" w14:textId="0B425F11">
      <w:pPr>
        <w:pStyle w:val="FootnoteText"/>
        <w:ind w:left="567" w:hanging="567"/>
        <w:rPr>
          <w:sz w:val="24"/>
          <w:lang w:val="da-DK"/>
        </w:rPr>
      </w:pPr>
      <w:r w:rsidRPr="00F32DC6">
        <w:rPr>
          <w:rStyle w:val="FootnoteReference"/>
          <w:sz w:val="24"/>
          <w:lang w:val="da-DK"/>
        </w:rPr>
        <w:footnoteRef/>
      </w:r>
      <w:r w:rsidRPr="00F32DC6" w:rsidR="00F32DC6">
        <w:rPr>
          <w:sz w:val="24"/>
          <w:lang w:val="da-DK"/>
        </w:rPr>
        <w:t xml:space="preserve"> </w:t>
      </w:r>
      <w:r w:rsidRPr="00F32DC6" w:rsidR="00F32DC6">
        <w:rPr>
          <w:sz w:val="24"/>
          <w:lang w:val="da-DK"/>
        </w:rPr>
        <w:tab/>
      </w:r>
      <w:r w:rsidRPr="00F32DC6">
        <w:rPr>
          <w:sz w:val="24"/>
          <w:lang w:val="da-DK"/>
        </w:rPr>
        <w:t xml:space="preserve">Rettens dom af 30. april 2019, </w:t>
      </w:r>
      <w:r w:rsidRPr="00F32DC6">
        <w:rPr>
          <w:sz w:val="24"/>
          <w:lang w:val="da-DK"/>
        </w:rPr>
        <w:t>Briois</w:t>
      </w:r>
      <w:r w:rsidRPr="00F32DC6">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DC6" w14:paraId="1F8F8A6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DC6" w14:paraId="7CD48F0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DC6" w14:paraId="1E39043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1294152">
    <w:abstractNumId w:val="9"/>
  </w:num>
  <w:num w:numId="2" w16cid:durableId="594019135">
    <w:abstractNumId w:val="9"/>
  </w:num>
  <w:num w:numId="3" w16cid:durableId="1324890896">
    <w:abstractNumId w:val="7"/>
  </w:num>
  <w:num w:numId="4" w16cid:durableId="1182548791">
    <w:abstractNumId w:val="7"/>
  </w:num>
  <w:num w:numId="5" w16cid:durableId="69809541">
    <w:abstractNumId w:val="6"/>
  </w:num>
  <w:num w:numId="6" w16cid:durableId="503058042">
    <w:abstractNumId w:val="6"/>
  </w:num>
  <w:num w:numId="7" w16cid:durableId="1167407578">
    <w:abstractNumId w:val="5"/>
  </w:num>
  <w:num w:numId="8" w16cid:durableId="2066876063">
    <w:abstractNumId w:val="5"/>
  </w:num>
  <w:num w:numId="9" w16cid:durableId="1226575025">
    <w:abstractNumId w:val="4"/>
  </w:num>
  <w:num w:numId="10" w16cid:durableId="1858303519">
    <w:abstractNumId w:val="4"/>
  </w:num>
  <w:num w:numId="11" w16cid:durableId="1651398018">
    <w:abstractNumId w:val="8"/>
  </w:num>
  <w:num w:numId="12" w16cid:durableId="616330218">
    <w:abstractNumId w:val="8"/>
  </w:num>
  <w:num w:numId="13" w16cid:durableId="1700204347">
    <w:abstractNumId w:val="3"/>
  </w:num>
  <w:num w:numId="14" w16cid:durableId="789475926">
    <w:abstractNumId w:val="3"/>
  </w:num>
  <w:num w:numId="15" w16cid:durableId="1431318436">
    <w:abstractNumId w:val="2"/>
  </w:num>
  <w:num w:numId="16" w16cid:durableId="1505559269">
    <w:abstractNumId w:val="2"/>
  </w:num>
  <w:num w:numId="17" w16cid:durableId="688407976">
    <w:abstractNumId w:val="1"/>
  </w:num>
  <w:num w:numId="18" w16cid:durableId="1609579940">
    <w:abstractNumId w:val="1"/>
  </w:num>
  <w:num w:numId="19" w16cid:durableId="165899623">
    <w:abstractNumId w:val="0"/>
  </w:num>
  <w:num w:numId="20" w16cid:durableId="545798641">
    <w:abstractNumId w:val="0"/>
  </w:num>
  <w:num w:numId="21" w16cid:durableId="1234003013">
    <w:abstractNumId w:val="9"/>
  </w:num>
  <w:num w:numId="22" w16cid:durableId="1388531229">
    <w:abstractNumId w:val="7"/>
  </w:num>
  <w:num w:numId="23" w16cid:durableId="54359519">
    <w:abstractNumId w:val="6"/>
  </w:num>
  <w:num w:numId="24" w16cid:durableId="876889060">
    <w:abstractNumId w:val="5"/>
  </w:num>
  <w:num w:numId="25" w16cid:durableId="1029572113">
    <w:abstractNumId w:val="4"/>
  </w:num>
  <w:num w:numId="26" w16cid:durableId="1350372948">
    <w:abstractNumId w:val="8"/>
  </w:num>
  <w:num w:numId="27" w16cid:durableId="1963876314">
    <w:abstractNumId w:val="3"/>
  </w:num>
  <w:num w:numId="28" w16cid:durableId="2036341603">
    <w:abstractNumId w:val="2"/>
  </w:num>
  <w:num w:numId="29" w16cid:durableId="1188252684">
    <w:abstractNumId w:val="1"/>
  </w:num>
  <w:num w:numId="30" w16cid:durableId="1123036116">
    <w:abstractNumId w:val="0"/>
  </w:num>
  <w:num w:numId="31" w16cid:durableId="1032729690">
    <w:abstractNumId w:val="9"/>
  </w:num>
  <w:num w:numId="32" w16cid:durableId="794758533">
    <w:abstractNumId w:val="7"/>
  </w:num>
  <w:num w:numId="33" w16cid:durableId="1914849837">
    <w:abstractNumId w:val="6"/>
  </w:num>
  <w:num w:numId="34" w16cid:durableId="1785804178">
    <w:abstractNumId w:val="5"/>
  </w:num>
  <w:num w:numId="35" w16cid:durableId="2145656157">
    <w:abstractNumId w:val="4"/>
  </w:num>
  <w:num w:numId="36" w16cid:durableId="1898971200">
    <w:abstractNumId w:val="8"/>
  </w:num>
  <w:num w:numId="37" w16cid:durableId="1016344291">
    <w:abstractNumId w:val="3"/>
  </w:num>
  <w:num w:numId="38" w16cid:durableId="1446655955">
    <w:abstractNumId w:val="2"/>
  </w:num>
  <w:num w:numId="39" w16cid:durableId="1610744764">
    <w:abstractNumId w:val="1"/>
  </w:num>
  <w:num w:numId="40" w16cid:durableId="1709061239">
    <w:abstractNumId w:val="0"/>
  </w:num>
  <w:num w:numId="41" w16cid:durableId="1112362038">
    <w:abstractNumId w:val="10"/>
  </w:num>
  <w:num w:numId="42" w16cid:durableId="1442191626">
    <w:abstractNumId w:val="10"/>
  </w:num>
  <w:num w:numId="43" w16cid:durableId="1901869363">
    <w:abstractNumId w:val="10"/>
  </w:num>
  <w:num w:numId="44" w16cid:durableId="12121582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92B"/>
    <w:rsid w:val="00002272"/>
    <w:rsid w:val="00064002"/>
    <w:rsid w:val="000677B9"/>
    <w:rsid w:val="000831BA"/>
    <w:rsid w:val="000A42CC"/>
    <w:rsid w:val="000A64E0"/>
    <w:rsid w:val="000E7DD9"/>
    <w:rsid w:val="0010095E"/>
    <w:rsid w:val="00125B37"/>
    <w:rsid w:val="00187494"/>
    <w:rsid w:val="001F32AE"/>
    <w:rsid w:val="001F6A6D"/>
    <w:rsid w:val="002767FF"/>
    <w:rsid w:val="0029207F"/>
    <w:rsid w:val="002B18FE"/>
    <w:rsid w:val="002B5493"/>
    <w:rsid w:val="003333A9"/>
    <w:rsid w:val="00343214"/>
    <w:rsid w:val="00361C00"/>
    <w:rsid w:val="00395FA1"/>
    <w:rsid w:val="003A332D"/>
    <w:rsid w:val="003E15D4"/>
    <w:rsid w:val="003F2D8D"/>
    <w:rsid w:val="00411CCE"/>
    <w:rsid w:val="0041666E"/>
    <w:rsid w:val="00421060"/>
    <w:rsid w:val="00450C25"/>
    <w:rsid w:val="0045692B"/>
    <w:rsid w:val="00462A3D"/>
    <w:rsid w:val="00471C19"/>
    <w:rsid w:val="004867E3"/>
    <w:rsid w:val="00494A28"/>
    <w:rsid w:val="004B5A59"/>
    <w:rsid w:val="004C0004"/>
    <w:rsid w:val="004C5D52"/>
    <w:rsid w:val="0050519A"/>
    <w:rsid w:val="005072A1"/>
    <w:rsid w:val="00514517"/>
    <w:rsid w:val="00545827"/>
    <w:rsid w:val="00560270"/>
    <w:rsid w:val="00590F8C"/>
    <w:rsid w:val="005B486E"/>
    <w:rsid w:val="005C2568"/>
    <w:rsid w:val="005F1B17"/>
    <w:rsid w:val="006037C0"/>
    <w:rsid w:val="006631B6"/>
    <w:rsid w:val="00680577"/>
    <w:rsid w:val="006F74FA"/>
    <w:rsid w:val="00731ADD"/>
    <w:rsid w:val="00734777"/>
    <w:rsid w:val="00747932"/>
    <w:rsid w:val="007513EE"/>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78ED"/>
    <w:rsid w:val="009C097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26FF"/>
    <w:rsid w:val="00E820A4"/>
    <w:rsid w:val="00E862C0"/>
    <w:rsid w:val="00EB006A"/>
    <w:rsid w:val="00EB4772"/>
    <w:rsid w:val="00ED169E"/>
    <w:rsid w:val="00ED4235"/>
    <w:rsid w:val="00F04346"/>
    <w:rsid w:val="00F075DC"/>
    <w:rsid w:val="00F149E9"/>
    <w:rsid w:val="00F32DC6"/>
    <w:rsid w:val="00F5134D"/>
    <w:rsid w:val="00F74202"/>
    <w:rsid w:val="00F87713"/>
    <w:rsid w:val="00FB4360"/>
    <w:rsid w:val="00FD0C70"/>
  </w:rsids>
  <w:docVars>
    <w:docVar w:name="dvdocse" w:val="A10-0115/2026"/>
    <w:docVar w:name="dvlangue" w:val="DA"/>
    <w:docVar w:name="dvnumam" w:val="0"/>
    <w:docVar w:name="dvpe" w:val="786.910"/>
    <w:docVar w:name="dvrapporteur" w:val="Ordfører: "/>
    <w:docVar w:name="dvtitre" w:val="Europa-Parlamentets afgørelse af xx.xx 2026 om anmodning om ophævelse af Daniel Obajteks immunitet(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058EEC1"/>
  <w15:chartTrackingRefBased/>
  <w15:docId w15:val="{25F43444-DE67-486E-916A-608B277EC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513EE"/>
    <w:pPr>
      <w:spacing w:after="240"/>
      <w:ind w:left="567" w:hanging="567"/>
    </w:pPr>
  </w:style>
  <w:style w:type="paragraph" w:customStyle="1" w:styleId="EPComma">
    <w:name w:val="EPComma"/>
    <w:basedOn w:val="Normal"/>
    <w:rsid w:val="007513EE"/>
    <w:pPr>
      <w:spacing w:before="480" w:after="240"/>
    </w:pPr>
  </w:style>
  <w:style w:type="paragraph" w:styleId="Revision">
    <w:name w:val="Revision"/>
    <w:hidden/>
    <w:uiPriority w:val="99"/>
    <w:semiHidden/>
    <w:rsid w:val="000A64E0"/>
    <w:rPr>
      <w:sz w:val="24"/>
      <w:lang w:val="da-DK"/>
    </w:rPr>
  </w:style>
  <w:style w:type="character" w:styleId="CommentReference">
    <w:name w:val="annotation reference"/>
    <w:basedOn w:val="DefaultParagraphFont"/>
    <w:rsid w:val="000A64E0"/>
    <w:rPr>
      <w:sz w:val="16"/>
      <w:szCs w:val="16"/>
    </w:rPr>
  </w:style>
  <w:style w:type="paragraph" w:styleId="CommentText">
    <w:name w:val="annotation text"/>
    <w:basedOn w:val="Normal"/>
    <w:link w:val="CommentTextChar"/>
    <w:rsid w:val="000A64E0"/>
    <w:rPr>
      <w:sz w:val="20"/>
    </w:rPr>
  </w:style>
  <w:style w:type="character" w:customStyle="1" w:styleId="CommentTextChar">
    <w:name w:val="Comment Text Char"/>
    <w:basedOn w:val="DefaultParagraphFont"/>
    <w:link w:val="CommentText"/>
    <w:rsid w:val="000A64E0"/>
    <w:rPr>
      <w:lang w:val="da-DK"/>
    </w:rPr>
  </w:style>
  <w:style w:type="paragraph" w:styleId="CommentSubject">
    <w:name w:val="annotation subject"/>
    <w:basedOn w:val="CommentText"/>
    <w:next w:val="CommentText"/>
    <w:link w:val="CommentSubjectChar"/>
    <w:rsid w:val="000A64E0"/>
    <w:rPr>
      <w:b/>
      <w:bCs/>
    </w:rPr>
  </w:style>
  <w:style w:type="character" w:customStyle="1" w:styleId="CommentSubjectChar">
    <w:name w:val="Comment Subject Char"/>
    <w:basedOn w:val="CommentTextChar"/>
    <w:link w:val="CommentSubject"/>
    <w:rsid w:val="000A64E0"/>
    <w:rPr>
      <w:b/>
      <w:bCs/>
      <w:lang w:val="da-DK"/>
    </w:rPr>
  </w:style>
  <w:style w:type="character" w:styleId="Hyperlink">
    <w:name w:val="Hyperlink"/>
    <w:basedOn w:val="DefaultParagraphFont"/>
    <w:rsid w:val="009A78ED"/>
    <w:rPr>
      <w:color w:val="0563C1" w:themeColor="hyperlink"/>
      <w:u w:val="single"/>
    </w:rPr>
  </w:style>
  <w:style w:type="character" w:styleId="UnresolvedMention">
    <w:name w:val="Unresolved Mention"/>
    <w:basedOn w:val="DefaultParagraphFont"/>
    <w:uiPriority w:val="99"/>
    <w:semiHidden/>
    <w:unhideWhenUsed/>
    <w:rsid w:val="009A7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942</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8</cp:revision>
  <cp:lastPrinted>2004-11-19T15:42:00Z</cp:lastPrinted>
  <dcterms:created xsi:type="dcterms:W3CDTF">2026-04-27T09:01:00Z</dcterms:created>
  <dcterms:modified xsi:type="dcterms:W3CDTF">2026-04-28T10:43:00Z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A10-0115/2026</vt:lpwstr>
  </property>
  <property fmtid="{D5CDD505-2E9C-101B-9397-08002B2CF9AE}" pid="4" name="&lt;Type&gt;">
    <vt:lpwstr>RR</vt:lpwstr>
  </property>
</Properties>
</file>