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8BFB9E7" w14:textId="77777777" w:rsidTr="0010095E">
        <w:tblPrEx>
          <w:tblW w:w="9072" w:type="dxa"/>
          <w:tblLook w:val="01E0"/>
        </w:tblPrEx>
        <w:trPr>
          <w:trHeight w:hRule="exact" w:val="1418"/>
        </w:trPr>
        <w:tc>
          <w:tcPr>
            <w:tcW w:w="6804" w:type="dxa"/>
            <w:shd w:val="clear" w:color="auto" w:fill="auto"/>
            <w:vAlign w:val="center"/>
          </w:tcPr>
          <w:p w:rsidR="00751A4A" w:rsidRPr="004043A0" w:rsidP="0010095E" w14:paraId="28CD6AE7" w14:textId="77777777">
            <w:pPr>
              <w:pStyle w:val="EPName"/>
            </w:pPr>
            <w:r w:rsidRPr="004043A0">
              <w:t>Euroopa Parlament</w:t>
            </w:r>
          </w:p>
          <w:p w:rsidR="00751A4A" w:rsidRPr="004043A0" w:rsidP="005F1B17" w14:paraId="6B8AEF0A" w14:textId="77777777">
            <w:pPr>
              <w:pStyle w:val="EPTerm"/>
              <w:rPr>
                <w:rStyle w:val="HideTWBExt"/>
                <w:noProof w:val="0"/>
                <w:vanish w:val="0"/>
                <w:color w:val="auto"/>
              </w:rPr>
            </w:pPr>
            <w:r w:rsidRPr="004043A0">
              <w:t>2024</w:t>
            </w:r>
            <w:r w:rsidRPr="004043A0" w:rsidR="00817416">
              <w:t>-202</w:t>
            </w:r>
            <w:r w:rsidRPr="004043A0">
              <w:t>9</w:t>
            </w:r>
          </w:p>
        </w:tc>
        <w:tc>
          <w:tcPr>
            <w:tcW w:w="2268" w:type="dxa"/>
            <w:shd w:val="clear" w:color="auto" w:fill="auto"/>
          </w:tcPr>
          <w:p w:rsidR="00751A4A" w:rsidRPr="004043A0" w:rsidP="0010095E" w14:paraId="4C014BA4" w14:textId="77777777">
            <w:pPr>
              <w:pStyle w:val="EPLogo"/>
            </w:pPr>
            <w:r w:rsidRPr="004043A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043A0" w:rsidP="004C5D52" w14:paraId="1E4BBF44" w14:textId="77777777">
      <w:pPr>
        <w:pStyle w:val="LineTop"/>
      </w:pPr>
    </w:p>
    <w:p w:rsidR="00680577" w:rsidRPr="004043A0" w:rsidP="00680577" w14:paraId="5AF56034" w14:textId="77777777">
      <w:pPr>
        <w:pStyle w:val="EPBodyTA1"/>
      </w:pPr>
      <w:r w:rsidRPr="004043A0">
        <w:t>VASTUVÕETUD TEKSTID</w:t>
      </w:r>
    </w:p>
    <w:p w:rsidR="00D058B8" w:rsidRPr="004043A0" w:rsidP="00D058B8" w14:paraId="12789631" w14:textId="77777777">
      <w:pPr>
        <w:pStyle w:val="LineBottom"/>
      </w:pPr>
    </w:p>
    <w:p w:rsidR="009F5CFE" w:rsidRPr="004043A0" w:rsidP="009F5CFE" w14:paraId="37268D79" w14:textId="0BD60AD1">
      <w:pPr>
        <w:pStyle w:val="ATHeading1"/>
      </w:pPr>
      <w:bookmarkStart w:id="0" w:name="TANumber"/>
      <w:r w:rsidRPr="004043A0">
        <w:t>P10_TA(2026)0</w:t>
      </w:r>
      <w:r w:rsidRPr="004043A0" w:rsidR="00860F8E">
        <w:t>106</w:t>
      </w:r>
      <w:bookmarkEnd w:id="0"/>
    </w:p>
    <w:p w:rsidR="009F5CFE" w:rsidRPr="004043A0" w:rsidP="009F5CFE" w14:paraId="5D0E3339" w14:textId="3C347082">
      <w:pPr>
        <w:pStyle w:val="ATHeading2"/>
      </w:pPr>
      <w:bookmarkStart w:id="1" w:name="title"/>
      <w:r w:rsidRPr="004043A0">
        <w:t>Daniel</w:t>
      </w:r>
      <w:r w:rsidRPr="004043A0" w:rsidR="00886610">
        <w:t xml:space="preserve"> </w:t>
      </w:r>
      <w:r w:rsidRPr="004043A0">
        <w:t>Obajteki</w:t>
      </w:r>
      <w:r w:rsidRPr="004043A0">
        <w:t xml:space="preserve"> puutumatuse äravõtmise taotlus</w:t>
      </w:r>
      <w:bookmarkEnd w:id="1"/>
    </w:p>
    <w:p w:rsidR="009F5CFE" w:rsidRPr="004043A0" w:rsidP="009F5CFE" w14:paraId="04CFEA80" w14:textId="77777777">
      <w:pPr>
        <w:rPr>
          <w:i/>
          <w:vanish/>
        </w:rPr>
      </w:pPr>
      <w:r>
        <w:rPr>
          <w:i/>
        </w:rPr>
        <w:fldChar w:fldCharType="begin"/>
      </w:r>
      <w:r w:rsidRPr="004043A0">
        <w:rPr>
          <w:i/>
        </w:rPr>
        <w:instrText xml:space="preserve"> TC"(</w:instrText>
      </w:r>
      <w:bookmarkStart w:id="2" w:name="DocNumber"/>
      <w:r w:rsidRPr="004043A0">
        <w:rPr>
          <w:i/>
        </w:rPr>
        <w:instrText>A10-0115/2026</w:instrText>
      </w:r>
      <w:bookmarkEnd w:id="2"/>
      <w:r w:rsidRPr="004043A0">
        <w:rPr>
          <w:i/>
        </w:rPr>
        <w:instrText xml:space="preserve"> - Raportöör: Pascale Piera)"\l3 \n&gt; \* MERGEFORMAT </w:instrText>
      </w:r>
      <w:r>
        <w:rPr>
          <w:i/>
        </w:rPr>
        <w:fldChar w:fldCharType="end"/>
      </w:r>
    </w:p>
    <w:p w:rsidR="009F5CFE" w:rsidRPr="004043A0" w:rsidP="009F5CFE" w14:paraId="3763ED58" w14:textId="77777777">
      <w:pPr>
        <w:rPr>
          <w:vanish/>
        </w:rPr>
      </w:pPr>
      <w:bookmarkStart w:id="3" w:name="Commission"/>
      <w:r w:rsidRPr="004043A0">
        <w:rPr>
          <w:vanish/>
        </w:rPr>
        <w:t>Õiguskomisjon</w:t>
      </w:r>
      <w:bookmarkEnd w:id="3"/>
    </w:p>
    <w:p w:rsidR="009F5CFE" w:rsidRPr="004043A0" w:rsidP="009F5CFE" w14:paraId="0F950F54" w14:textId="77777777">
      <w:pPr>
        <w:rPr>
          <w:vanish/>
        </w:rPr>
      </w:pPr>
      <w:bookmarkStart w:id="4" w:name="PE"/>
      <w:r w:rsidRPr="004043A0">
        <w:rPr>
          <w:vanish/>
        </w:rPr>
        <w:t>PE786.910</w:t>
      </w:r>
      <w:bookmarkEnd w:id="4"/>
    </w:p>
    <w:p w:rsidR="009F5CFE" w:rsidRPr="004043A0" w:rsidP="00886610" w14:paraId="308D28D4" w14:textId="002D259D">
      <w:pPr>
        <w:pStyle w:val="ATHeading3"/>
      </w:pPr>
      <w:bookmarkStart w:id="5" w:name="Sujet"/>
      <w:r w:rsidRPr="004043A0">
        <w:t xml:space="preserve">Euroopa Parlamendi </w:t>
      </w:r>
      <w:r w:rsidRPr="004043A0" w:rsidR="00886610">
        <w:t>28</w:t>
      </w:r>
      <w:r w:rsidRPr="004043A0">
        <w:t>.</w:t>
      </w:r>
      <w:r w:rsidRPr="004043A0" w:rsidR="00886610">
        <w:t> aprilli</w:t>
      </w:r>
      <w:r w:rsidRPr="004043A0">
        <w:t xml:space="preserve"> 2026.</w:t>
      </w:r>
      <w:r w:rsidRPr="004043A0" w:rsidR="00886610">
        <w:t> </w:t>
      </w:r>
      <w:r w:rsidRPr="004043A0">
        <w:t>aasta otsus Daniel</w:t>
      </w:r>
      <w:r w:rsidRPr="004043A0" w:rsidR="00886610">
        <w:t xml:space="preserve"> </w:t>
      </w:r>
      <w:r w:rsidRPr="004043A0">
        <w:t>Obajteki</w:t>
      </w:r>
      <w:r w:rsidRPr="004043A0">
        <w:t xml:space="preserve"> puutumatuse äravõtmise taotluse kohta</w:t>
      </w:r>
      <w:bookmarkEnd w:id="5"/>
      <w:r w:rsidRPr="004043A0">
        <w:t xml:space="preserve"> </w:t>
      </w:r>
      <w:bookmarkStart w:id="6" w:name="References"/>
      <w:r w:rsidRPr="004043A0">
        <w:t>(2025/2172(IMM))</w:t>
      </w:r>
      <w:bookmarkEnd w:id="6"/>
    </w:p>
    <w:p w:rsidR="00145E15" w:rsidRPr="004043A0" w:rsidP="00886610" w14:paraId="282DE98E" w14:textId="77777777">
      <w:pPr>
        <w:pStyle w:val="EPComma"/>
        <w:widowControl/>
      </w:pPr>
      <w:bookmarkStart w:id="7" w:name="TextBodyBegin"/>
      <w:bookmarkEnd w:id="7"/>
      <w:r w:rsidRPr="004043A0">
        <w:rPr>
          <w:i/>
        </w:rPr>
        <w:t>Euroopa Parlament</w:t>
      </w:r>
      <w:r w:rsidRPr="004043A0">
        <w:t>,</w:t>
      </w:r>
    </w:p>
    <w:p w:rsidR="00145E15" w:rsidRPr="004043A0" w:rsidP="004043A0" w14:paraId="0465A53C" w14:textId="704E167E">
      <w:pPr>
        <w:pStyle w:val="NormalHanging12a"/>
        <w:widowControl/>
      </w:pPr>
      <w:r w:rsidRPr="004043A0">
        <w:t>–</w:t>
      </w:r>
      <w:r w:rsidRPr="004043A0">
        <w:tab/>
        <w:t>võttes arvesse Daniel</w:t>
      </w:r>
      <w:r w:rsidRPr="004043A0" w:rsidR="00886610">
        <w:t xml:space="preserve"> </w:t>
      </w:r>
      <w:r w:rsidRPr="004043A0">
        <w:t>Obajteki</w:t>
      </w:r>
      <w:r w:rsidRPr="004043A0">
        <w:t xml:space="preserve"> puutumatuse äravõtmise taotlust, </w:t>
      </w:r>
      <w:r w:rsidRPr="004043A0" w:rsidR="00886610">
        <w:t>mis saadi</w:t>
      </w:r>
      <w:r w:rsidRPr="004043A0">
        <w:t xml:space="preserve"> Poola Vabariigi peaprokurör</w:t>
      </w:r>
      <w:r w:rsidRPr="004043A0" w:rsidR="00886610">
        <w:t>i 21. juuli 2025. aasta kirjaga</w:t>
      </w:r>
      <w:r w:rsidRPr="004043A0">
        <w:t xml:space="preserve">, </w:t>
      </w:r>
      <w:r w:rsidRPr="004043A0" w:rsidR="00886610">
        <w:t xml:space="preserve">milles </w:t>
      </w:r>
      <w:r w:rsidRPr="004043A0">
        <w:t>edasta</w:t>
      </w:r>
      <w:r w:rsidRPr="004043A0" w:rsidR="00886610">
        <w:t>ti</w:t>
      </w:r>
      <w:r w:rsidRPr="004043A0">
        <w:t xml:space="preserve"> Varssavi piirkonnaprokuratuuri taotlus seoses kriminaalmenetlusega, mida </w:t>
      </w:r>
      <w:r w:rsidRPr="004043A0" w:rsidR="00B44672">
        <w:t xml:space="preserve">soovitakse </w:t>
      </w:r>
      <w:r w:rsidRPr="004043A0">
        <w:t>Daniel</w:t>
      </w:r>
      <w:r w:rsidRPr="004043A0" w:rsidR="00886610">
        <w:t xml:space="preserve"> </w:t>
      </w:r>
      <w:r w:rsidRPr="004043A0">
        <w:t>Obajteki</w:t>
      </w:r>
      <w:r w:rsidRPr="004043A0">
        <w:t xml:space="preserve"> suhtes alustada ja mis tehti teatavaks</w:t>
      </w:r>
      <w:r w:rsidRPr="004043A0" w:rsidR="00BF48B4">
        <w:t>Euroopa Parlamendis</w:t>
      </w:r>
      <w:r w:rsidRPr="004043A0">
        <w:t xml:space="preserve"> 8. septembril 2025. aastal,</w:t>
      </w:r>
    </w:p>
    <w:p w:rsidR="00145E15" w:rsidRPr="004043A0" w:rsidP="004043A0" w14:paraId="4A80AE8F" w14:textId="05C02688">
      <w:pPr>
        <w:pStyle w:val="NormalHanging12a"/>
        <w:widowControl/>
      </w:pPr>
      <w:r w:rsidRPr="004043A0">
        <w:t>–</w:t>
      </w:r>
      <w:r w:rsidRPr="004043A0">
        <w:tab/>
        <w:t>olles 12. veebruaril 2026. aastal vastavalt kodukorra artikli 9 lõikele 6 kuulanud ära Daniel</w:t>
      </w:r>
      <w:r w:rsidRPr="004043A0" w:rsidR="00886610">
        <w:t xml:space="preserve"> </w:t>
      </w:r>
      <w:r w:rsidRPr="004043A0">
        <w:t>Obajteki</w:t>
      </w:r>
      <w:r w:rsidRPr="004043A0">
        <w:t xml:space="preserve"> selgitused,</w:t>
      </w:r>
    </w:p>
    <w:p w:rsidR="00145E15" w:rsidRPr="004043A0" w:rsidP="004043A0" w14:paraId="45B593E4" w14:textId="77777777">
      <w:pPr>
        <w:pStyle w:val="NormalHanging12a"/>
        <w:widowControl/>
      </w:pPr>
      <w:r w:rsidRPr="004043A0">
        <w:t>–</w:t>
      </w:r>
      <w:r w:rsidRPr="004043A0">
        <w:tab/>
        <w:t>võttes arvesse protokolli nr 7 (Euroopa Liidu privileegide ja immuniteetide kohta) artikleid 8 ja 9 ning otsestel ja üldistel valimistel Euroopa Parlamendi liikmete valimist käsitleva 20. septembri 1976. aasta akti artikli 6 lõiget 2,</w:t>
      </w:r>
    </w:p>
    <w:p w:rsidR="00145E15" w:rsidRPr="004043A0" w:rsidP="004043A0" w14:paraId="61F779E7" w14:textId="77777777">
      <w:pPr>
        <w:pStyle w:val="NormalHanging12a"/>
        <w:widowControl/>
      </w:pPr>
      <w:r w:rsidRPr="004043A0">
        <w:t>–</w:t>
      </w:r>
      <w:r w:rsidRPr="004043A0">
        <w:tab/>
        <w:t>võttes arvesse Euroopa Liidu Kohtu 21. oktoobri 2008. aasta, 19. märtsi 2010. aasta, 6. septembri 2011. aasta, 17. jaanuari 2013. aasta ja 19. detsembri 2019. aasta otsuseid</w:t>
      </w:r>
      <w:r>
        <w:rPr>
          <w:rStyle w:val="FootnoteReference"/>
          <w:color w:val="000000"/>
        </w:rPr>
        <w:footnoteReference w:id="2"/>
      </w:r>
      <w:r w:rsidRPr="004043A0">
        <w:t>,</w:t>
      </w:r>
    </w:p>
    <w:p w:rsidR="00145E15" w:rsidRPr="004043A0" w:rsidP="00886610" w14:paraId="6E0C7838" w14:textId="77777777">
      <w:pPr>
        <w:pStyle w:val="NormalHanging12a"/>
        <w:widowControl/>
      </w:pPr>
      <w:r w:rsidRPr="004043A0">
        <w:t>–</w:t>
      </w:r>
      <w:r w:rsidRPr="004043A0">
        <w:tab/>
        <w:t>võttes arvesse Poola Vabariigi põhiseaduse artikli 105 lõikeid 2 ja 5,</w:t>
      </w:r>
    </w:p>
    <w:p w:rsidR="00145E15" w:rsidRPr="004043A0" w:rsidP="004043A0" w14:paraId="6F6CEC5C" w14:textId="77777777">
      <w:pPr>
        <w:pStyle w:val="NormalHanging12a"/>
        <w:widowControl/>
      </w:pPr>
      <w:r w:rsidRPr="004043A0">
        <w:t>–</w:t>
      </w:r>
      <w:r w:rsidRPr="004043A0">
        <w:tab/>
        <w:t>võttes arvesse kodukorra artikli 5 lõiget 2, artikli 6 lõiget 1 ja artiklit 9,</w:t>
      </w:r>
    </w:p>
    <w:p w:rsidR="00145E15" w:rsidRPr="004043A0" w:rsidP="00886610" w14:paraId="40B4748A" w14:textId="77777777">
      <w:pPr>
        <w:pStyle w:val="NormalHanging12a"/>
        <w:widowControl/>
      </w:pPr>
      <w:r w:rsidRPr="004043A0">
        <w:t>–</w:t>
      </w:r>
      <w:r w:rsidRPr="004043A0">
        <w:tab/>
        <w:t>võttes arvesse õiguskomisjoni raportit (A10-0115/2026),</w:t>
      </w:r>
    </w:p>
    <w:p w:rsidR="00145E15" w:rsidRPr="004043A0" w:rsidP="004043A0" w14:paraId="65E7BA5B" w14:textId="0039ED2C">
      <w:pPr>
        <w:pStyle w:val="NormalHanging12a"/>
        <w:widowControl/>
      </w:pPr>
      <w:r w:rsidRPr="004043A0">
        <w:t>A.</w:t>
      </w:r>
      <w:r w:rsidRPr="004043A0">
        <w:tab/>
        <w:t>arvestades, et Poola Vabariigi peaprokurör edastas 21. juuli 2025. aasta kirjaga</w:t>
      </w:r>
      <w:r w:rsidRPr="004043A0" w:rsidR="009F4FA9">
        <w:t xml:space="preserve"> Varssavi piirkonnaprokuratuuri taotluse võtta ära Poolast valitud Euroopa Parlamendi liikme</w:t>
      </w:r>
      <w:r w:rsidRPr="004043A0">
        <w:t xml:space="preserve"> Daniel</w:t>
      </w:r>
      <w:r w:rsidRPr="004043A0" w:rsidR="009F4FA9">
        <w:t xml:space="preserve"> </w:t>
      </w:r>
      <w:r w:rsidRPr="004043A0">
        <w:t>Obajteki</w:t>
      </w:r>
      <w:r w:rsidRPr="004043A0">
        <w:t xml:space="preserve"> puutumatus seoses väidetava süüteoga Poola karistusseadustiku artikli 233 lõike 1 alusel ja 26. jaanuari 1984. aasta ajakirjandusseaduse artikli 49 alusel koostoimes artikliga 3;</w:t>
      </w:r>
    </w:p>
    <w:p w:rsidR="00145E15" w:rsidRPr="004043A0" w:rsidP="004043A0" w14:paraId="05E5284D" w14:textId="1266582A">
      <w:pPr>
        <w:pStyle w:val="NormalHanging12a"/>
        <w:widowControl/>
      </w:pPr>
      <w:r w:rsidRPr="004043A0">
        <w:t>B.</w:t>
      </w:r>
      <w:r w:rsidRPr="004043A0">
        <w:tab/>
        <w:t xml:space="preserve">arvestades, et puutumatuse äravõtmise taotluse kohaselt alustas Varssavi piirkonnaprokuratuur 15. mail 2024 uurimist seoses väidetavate valeütluste andmisega; arvestades, et kõnealuse taotluse kohaselt andsid neid väidetavaid valeütlusi 11. mail 2023 kaks isikut, sealhulgas Daniel </w:t>
      </w:r>
      <w:r w:rsidRPr="004043A0">
        <w:t>Obajtek</w:t>
      </w:r>
      <w:r w:rsidRPr="004043A0">
        <w:t xml:space="preserve"> tunnistajana ja pärast seda, kui teda oli teavitatud kriminaalvastutusest valeütluste andmise eest, Varssavi kesklinna rajoonikohtu (</w:t>
      </w:r>
      <w:r w:rsidRPr="004043A0">
        <w:t>Sąd</w:t>
      </w:r>
      <w:r w:rsidRPr="004043A0">
        <w:t xml:space="preserve"> </w:t>
      </w:r>
      <w:r w:rsidRPr="004043A0">
        <w:t>Rejonowy</w:t>
      </w:r>
      <w:r w:rsidRPr="004043A0">
        <w:t xml:space="preserve"> </w:t>
      </w:r>
      <w:r w:rsidRPr="004043A0">
        <w:t>dla</w:t>
      </w:r>
      <w:r w:rsidRPr="004043A0">
        <w:t xml:space="preserve"> </w:t>
      </w:r>
      <w:r w:rsidRPr="004043A0">
        <w:t>Warszawy-Śródmieścia</w:t>
      </w:r>
      <w:r w:rsidRPr="004043A0">
        <w:t xml:space="preserve"> w </w:t>
      </w:r>
      <w:r w:rsidRPr="004043A0">
        <w:t>Warszawie</w:t>
      </w:r>
      <w:r w:rsidRPr="004043A0">
        <w:t>) menetluses, mis puudutas tsiviilhagi, mille hageja oli esitanud kostja vastu seoses Poola karistusseadustiku artikli 212 lõike 2 kohase süüteoga, mis seisneb laimamises;</w:t>
      </w:r>
    </w:p>
    <w:p w:rsidR="00145E15" w:rsidRPr="004043A0" w:rsidP="004043A0" w14:paraId="4347D363" w14:textId="1676832B">
      <w:pPr>
        <w:pStyle w:val="NormalHanging12a"/>
        <w:widowControl/>
      </w:pPr>
      <w:r w:rsidRPr="004043A0">
        <w:rPr>
          <w:color w:val="000000"/>
        </w:rPr>
        <w:t>C.</w:t>
      </w:r>
      <w:r w:rsidRPr="004043A0">
        <w:rPr>
          <w:color w:val="000000"/>
        </w:rPr>
        <w:tab/>
      </w:r>
      <w:r w:rsidRPr="004043A0">
        <w:t>arvestades, et</w:t>
      </w:r>
      <w:r w:rsidRPr="004043A0" w:rsidR="009F4FA9">
        <w:t xml:space="preserve"> taotluse kohaselt oli</w:t>
      </w:r>
      <w:r w:rsidRPr="004043A0">
        <w:t xml:space="preserve"> </w:t>
      </w:r>
      <w:r w:rsidRPr="004043A0">
        <w:t>Polski</w:t>
      </w:r>
      <w:r w:rsidRPr="004043A0">
        <w:t xml:space="preserve"> </w:t>
      </w:r>
      <w:r w:rsidRPr="004043A0">
        <w:t>Koncern</w:t>
      </w:r>
      <w:r w:rsidRPr="004043A0">
        <w:t xml:space="preserve"> </w:t>
      </w:r>
      <w:r w:rsidRPr="004043A0">
        <w:t>Naftowy</w:t>
      </w:r>
      <w:r w:rsidRPr="004043A0">
        <w:t xml:space="preserve"> ORLEN </w:t>
      </w:r>
      <w:r w:rsidRPr="004043A0">
        <w:t>Spółka</w:t>
      </w:r>
      <w:r w:rsidRPr="004043A0">
        <w:t xml:space="preserve"> </w:t>
      </w:r>
      <w:r w:rsidRPr="004043A0">
        <w:t>Akcyjna</w:t>
      </w:r>
      <w:r w:rsidRPr="004043A0">
        <w:t xml:space="preserve"> sõlminud lepingu osaühingu URMA avaldatava nädalaajakirja NIE levitamiseks kõigis </w:t>
      </w:r>
      <w:r w:rsidRPr="004043A0">
        <w:t>ORLENi</w:t>
      </w:r>
      <w:r w:rsidRPr="004043A0">
        <w:t xml:space="preserve"> tanklate müügipunktides;</w:t>
      </w:r>
      <w:r w:rsidRPr="004043A0">
        <w:rPr>
          <w:color w:val="000000"/>
        </w:rPr>
        <w:t xml:space="preserve"> </w:t>
      </w:r>
      <w:r w:rsidRPr="004043A0">
        <w:t>arvestades, et 10. märtsil 2023 jagati laiali nädalaajakirja 10. number; arvestades, et</w:t>
      </w:r>
      <w:r w:rsidRPr="004043A0" w:rsidR="009F4FA9">
        <w:t xml:space="preserve"> väidetavalt nõudis</w:t>
      </w:r>
      <w:r w:rsidRPr="004043A0">
        <w:t xml:space="preserve"> Daniel </w:t>
      </w:r>
      <w:r w:rsidRPr="004043A0">
        <w:t>Obajtek</w:t>
      </w:r>
      <w:r w:rsidRPr="004043A0">
        <w:t xml:space="preserve"> </w:t>
      </w:r>
      <w:r w:rsidRPr="004043A0" w:rsidR="005A346E">
        <w:t>Polski</w:t>
      </w:r>
      <w:r w:rsidRPr="004043A0" w:rsidR="005A346E">
        <w:t xml:space="preserve"> </w:t>
      </w:r>
      <w:r w:rsidRPr="004043A0" w:rsidR="005A346E">
        <w:t>Koncern</w:t>
      </w:r>
      <w:r w:rsidRPr="004043A0" w:rsidR="005A346E">
        <w:t xml:space="preserve"> </w:t>
      </w:r>
      <w:r w:rsidRPr="004043A0" w:rsidR="005A346E">
        <w:t>Naftowy</w:t>
      </w:r>
      <w:r w:rsidRPr="004043A0" w:rsidR="005A346E">
        <w:t xml:space="preserve"> ORLEN </w:t>
      </w:r>
      <w:r w:rsidRPr="004043A0" w:rsidR="005A346E">
        <w:t>Spółka</w:t>
      </w:r>
      <w:r w:rsidRPr="004043A0" w:rsidR="005A346E">
        <w:t xml:space="preserve"> </w:t>
      </w:r>
      <w:r w:rsidRPr="004043A0" w:rsidR="005A346E">
        <w:t>Akcyjna</w:t>
      </w:r>
      <w:r w:rsidRPr="004043A0" w:rsidR="005A346E">
        <w:t xml:space="preserve"> juhatuse esimehena</w:t>
      </w:r>
      <w:r w:rsidRPr="004043A0" w:rsidR="005A346E">
        <w:t xml:space="preserve"> </w:t>
      </w:r>
      <w:r w:rsidRPr="004043A0">
        <w:t xml:space="preserve">14. märtsil 2023 Varssavis , et nädalaajakirja NIE number 10/2023 eemaldataks kiiresti kõikidest </w:t>
      </w:r>
      <w:r w:rsidRPr="004043A0">
        <w:t>Polski</w:t>
      </w:r>
      <w:r w:rsidRPr="004043A0">
        <w:t xml:space="preserve"> </w:t>
      </w:r>
      <w:r w:rsidRPr="004043A0">
        <w:t>Koncern</w:t>
      </w:r>
      <w:r w:rsidRPr="004043A0">
        <w:t xml:space="preserve"> </w:t>
      </w:r>
      <w:r w:rsidRPr="004043A0">
        <w:t>Naftowy</w:t>
      </w:r>
      <w:r w:rsidRPr="004043A0">
        <w:t xml:space="preserve"> ORLEN </w:t>
      </w:r>
      <w:r w:rsidRPr="004043A0">
        <w:t>Spółka</w:t>
      </w:r>
      <w:r w:rsidRPr="004043A0">
        <w:t xml:space="preserve"> </w:t>
      </w:r>
      <w:r w:rsidRPr="004043A0">
        <w:t>Akcyjnale</w:t>
      </w:r>
      <w:r w:rsidRPr="004043A0">
        <w:t xml:space="preserve"> kuuluvatest müügipunktidest ja et neid ei müüdaks enam, kuna selle numbri esikaanel kujutati paavst Johannes Paulus II hoidmas risti, millel oli Jeesuse asemel alasti nukk, ja kuna selles numbris kajastati negatiivselt meetmeid, mida paavst Johannes Paulus II oli võtnud seoses alaealiste seksuaalse ärakasutamisega vaimulikkonna poolt, ning piiras seeläbi ajakirja – mida </w:t>
      </w:r>
      <w:r w:rsidRPr="004043A0">
        <w:t>Polski</w:t>
      </w:r>
      <w:r w:rsidRPr="004043A0">
        <w:t xml:space="preserve"> </w:t>
      </w:r>
      <w:r w:rsidRPr="004043A0">
        <w:t>Koncern</w:t>
      </w:r>
      <w:r w:rsidRPr="004043A0">
        <w:t xml:space="preserve"> </w:t>
      </w:r>
      <w:r w:rsidRPr="004043A0">
        <w:t>Naftowy</w:t>
      </w:r>
      <w:r w:rsidRPr="004043A0">
        <w:t xml:space="preserve"> ORLEN </w:t>
      </w:r>
      <w:r w:rsidRPr="004043A0">
        <w:t>Spółka</w:t>
      </w:r>
      <w:r w:rsidRPr="004043A0">
        <w:t xml:space="preserve"> </w:t>
      </w:r>
      <w:r w:rsidRPr="004043A0">
        <w:t>Akcyjna</w:t>
      </w:r>
      <w:r w:rsidRPr="004043A0">
        <w:t xml:space="preserve"> oli kohustunud levitama – kättesaadavust, mis on süütegu 26. jaanuari 1984. aasta ajakirjandusseaduse artikli 49 kohaselt koostoimes artikliga 3;</w:t>
      </w:r>
    </w:p>
    <w:p w:rsidR="00145E15" w:rsidRPr="004043A0" w:rsidP="004043A0" w14:paraId="35854665" w14:textId="5B8CC12F">
      <w:pPr>
        <w:pStyle w:val="NormalHanging12a"/>
        <w:widowControl/>
        <w:rPr>
          <w:shd w:val="clear" w:color="auto" w:fill="FFFFFF"/>
        </w:rPr>
      </w:pPr>
      <w:r w:rsidRPr="004043A0">
        <w:rPr>
          <w:color w:val="000000"/>
        </w:rPr>
        <w:t>D.</w:t>
      </w:r>
      <w:r w:rsidRPr="004043A0">
        <w:rPr>
          <w:color w:val="000000"/>
        </w:rPr>
        <w:tab/>
      </w:r>
      <w:r w:rsidRPr="004043A0">
        <w:t>arvestades, et Daniel</w:t>
      </w:r>
      <w:r w:rsidRPr="004043A0" w:rsidR="00886610">
        <w:t xml:space="preserve"> </w:t>
      </w:r>
      <w:r w:rsidRPr="004043A0">
        <w:t>Obajtek</w:t>
      </w:r>
      <w:r w:rsidRPr="004043A0">
        <w:t xml:space="preserve"> valiti Euroopa Parlamenti 2024. aasta juunis toimunud Euroopa Parlamendi valimistel ja seega ei olnud ta väidetavate süütegude toimepanemise ajal ega ka nende tõttu kriminaaluurimise alustamise ajal Euroopa Parlamendi liige;</w:t>
      </w:r>
    </w:p>
    <w:p w:rsidR="00145E15" w:rsidRPr="004043A0" w:rsidP="004043A0" w14:paraId="54EA6AD4" w14:textId="29FB9D97">
      <w:pPr>
        <w:pStyle w:val="NormalHanging12a"/>
        <w:widowControl/>
      </w:pPr>
      <w:r w:rsidRPr="004043A0">
        <w:t>E.</w:t>
      </w:r>
      <w:r w:rsidRPr="004043A0">
        <w:tab/>
        <w:t xml:space="preserve">arvestades, et väidetavad süüteod ja </w:t>
      </w:r>
      <w:r w:rsidRPr="004043A0" w:rsidR="009F4FA9">
        <w:t xml:space="preserve">neile järgnenud taotlus võtta ära Daniel </w:t>
      </w:r>
      <w:r w:rsidRPr="004043A0" w:rsidR="009F4FA9">
        <w:t>Obajteki</w:t>
      </w:r>
      <w:r w:rsidRPr="004043A0">
        <w:t xml:space="preserve"> puutumatus ei ole seotud Daniel</w:t>
      </w:r>
      <w:r w:rsidRPr="004043A0" w:rsidR="00886610">
        <w:t xml:space="preserve"> </w:t>
      </w:r>
      <w:r w:rsidRPr="004043A0">
        <w:t>Obajteki</w:t>
      </w:r>
      <w:r w:rsidRPr="004043A0">
        <w:t xml:space="preserve"> kui parlamendiliikme kohustuste täitmisel avaldatud arvamuste ega antud häältega protokolli nr 7 (Euroopa Liidu privileegide ja immuniteetide kohta) artikli 8 tähenduses;</w:t>
      </w:r>
    </w:p>
    <w:p w:rsidR="00145E15" w:rsidRPr="004043A0" w:rsidP="004043A0" w14:paraId="40113490" w14:textId="34D96127">
      <w:pPr>
        <w:pStyle w:val="NormalHanging12a"/>
        <w:widowControl/>
      </w:pPr>
      <w:r w:rsidRPr="004043A0">
        <w:t>F.</w:t>
      </w:r>
      <w:r w:rsidRPr="004043A0">
        <w:tab/>
        <w:t xml:space="preserve">arvestades, et protokolli nr 7 (Euroopa Liidu privileegide ja immuniteetide kohta) artikli 9 esimese lõigu punktis a on sätestatud, et Euroopa Parlamendi </w:t>
      </w:r>
      <w:r w:rsidRPr="004043A0" w:rsidR="009F4FA9">
        <w:t xml:space="preserve">istungjärkude ajal on Euroopa Parlamendi </w:t>
      </w:r>
      <w:r w:rsidRPr="004043A0">
        <w:t>liikmetel oma riigi territooriumil samasugune immuniteet nagu selle riigi parlamendi liikmetel;</w:t>
      </w:r>
    </w:p>
    <w:p w:rsidR="00145E15" w:rsidRPr="004043A0" w:rsidP="004043A0" w14:paraId="6F1A4137" w14:textId="77777777">
      <w:pPr>
        <w:pStyle w:val="NormalHanging12a"/>
        <w:widowControl/>
      </w:pPr>
      <w:r w:rsidRPr="004043A0">
        <w:t>G.</w:t>
      </w:r>
      <w:r w:rsidRPr="004043A0">
        <w:tab/>
        <w:t>arvestades, et Poola Vabariigi põhiseaduse artikli 105 lõigete 2 ja 5 kohaselt ei või parlamendiliikme suhtes alates valimistulemuste teatavakstegemise päevast kuni tema mandaadi lõppemiseni kohaldada kriminaalvastutust ilma Seimi nõusolekuta ja teda ei või kinni pidada ega vahistada ilma Seimi nõusolekuta, välja arvatud juhul, kui ta tabatakse süüteo toimepanemisel ja kui tema kinnipidamine on vajalik menetluse nõuetekohase läbiviimise tagamiseks;</w:t>
      </w:r>
    </w:p>
    <w:p w:rsidR="00145E15" w:rsidRPr="004043A0" w:rsidP="004043A0" w14:paraId="5D44D111" w14:textId="1270F0F5">
      <w:pPr>
        <w:pStyle w:val="NormalHanging12a"/>
        <w:widowControl/>
      </w:pPr>
      <w:r w:rsidRPr="004043A0">
        <w:t>H.</w:t>
      </w:r>
      <w:r w:rsidRPr="004043A0">
        <w:tab/>
        <w:t xml:space="preserve">arvestades, et kodukorra artikli 5 lõike 2 kohaselt ei ole parlamentaarne puutumatus parlamendiliikme isiklik eesõigus, vaid </w:t>
      </w:r>
      <w:r w:rsidRPr="004043A0" w:rsidR="009F4FA9">
        <w:t>Euroopa P</w:t>
      </w:r>
      <w:r w:rsidRPr="004043A0">
        <w:t>arlamendi kui terviku ja selle liikmete sõltumatuse tagatis;</w:t>
      </w:r>
    </w:p>
    <w:p w:rsidR="00145E15" w:rsidRPr="004043A0" w:rsidP="004043A0" w14:paraId="34155D35" w14:textId="59819BE9">
      <w:pPr>
        <w:pStyle w:val="NormalHanging12a"/>
        <w:widowControl/>
      </w:pPr>
      <w:r w:rsidRPr="004043A0">
        <w:t>I.</w:t>
      </w:r>
      <w:r w:rsidRPr="004043A0">
        <w:tab/>
        <w:t>arvestades, et protokollis nr 7 (Euroopa Liidu privileegide ja immuniteetide kohta) sätestatud puutumatuse eesmärk on kaitsta Euroopa Parlamenti ja selle liikmeid kohtumenetluste eest, milles käsitletakse parlamendiliikme kohustuste täitmise</w:t>
      </w:r>
      <w:r w:rsidRPr="004043A0" w:rsidR="009F4FA9">
        <w:t xml:space="preserve"> käigus</w:t>
      </w:r>
      <w:r w:rsidRPr="004043A0">
        <w:t xml:space="preserve"> </w:t>
      </w:r>
      <w:r w:rsidRPr="004043A0" w:rsidR="009F4FA9">
        <w:t>toimunud ja nendega lahutamatult seotud tegevust</w:t>
      </w:r>
      <w:r w:rsidRPr="004043A0">
        <w:t>;</w:t>
      </w:r>
    </w:p>
    <w:p w:rsidR="00145E15" w:rsidRPr="004043A0" w:rsidP="004043A0" w14:paraId="32A5808A" w14:textId="5C471CEC">
      <w:pPr>
        <w:pStyle w:val="NormalHanging12a"/>
        <w:widowControl/>
      </w:pPr>
      <w:r w:rsidRPr="004043A0">
        <w:t>J.</w:t>
      </w:r>
      <w:r w:rsidRPr="004043A0">
        <w:tab/>
        <w:t xml:space="preserve">arvestades, et Euroopa Parlament ei ole selle juhtumi puhul leidnud tõendeid </w:t>
      </w:r>
      <w:r w:rsidRPr="004043A0">
        <w:rPr>
          <w:i/>
        </w:rPr>
        <w:t>fumus</w:t>
      </w:r>
      <w:r w:rsidRPr="004043A0">
        <w:rPr>
          <w:i/>
        </w:rPr>
        <w:t xml:space="preserve"> </w:t>
      </w:r>
      <w:r w:rsidRPr="004043A0">
        <w:rPr>
          <w:i/>
        </w:rPr>
        <w:t>persecutionis</w:t>
      </w:r>
      <w:r w:rsidRPr="004043A0">
        <w:t>’e</w:t>
      </w:r>
      <w:r w:rsidRPr="004043A0">
        <w:t xml:space="preserve"> kohta, s.t </w:t>
      </w:r>
      <w:r w:rsidRPr="004043A0" w:rsidR="00FC2E9D">
        <w:t xml:space="preserve">miski ei viita </w:t>
      </w:r>
      <w:r w:rsidRPr="004043A0">
        <w:t xml:space="preserve">sellele, et kohtumenetluse tegelik eesmärk on kahjustada Daniel </w:t>
      </w:r>
      <w:r w:rsidRPr="004043A0">
        <w:t>Obajteki</w:t>
      </w:r>
      <w:r w:rsidRPr="004043A0">
        <w:t xml:space="preserve"> kui Euroopa Parlamendi liikme poliitilist tegevust</w:t>
      </w:r>
      <w:r w:rsidRPr="004043A0" w:rsidR="00FC2E9D">
        <w:t xml:space="preserve"> ja seega Euroopa Parlamendi sõltumatust</w:t>
      </w:r>
      <w:r w:rsidRPr="004043A0">
        <w:t>;</w:t>
      </w:r>
    </w:p>
    <w:p w:rsidR="00145E15" w:rsidRPr="004043A0" w:rsidP="004043A0" w14:paraId="1240F026" w14:textId="2F2D7D6D">
      <w:pPr>
        <w:pStyle w:val="NormalHanging12a"/>
        <w:widowControl/>
      </w:pPr>
      <w:r w:rsidRPr="004043A0">
        <w:t>K.</w:t>
      </w:r>
      <w:r w:rsidRPr="004043A0">
        <w:tab/>
        <w:t xml:space="preserve">arvestades, et esiteks ei saa </w:t>
      </w:r>
      <w:r w:rsidRPr="004043A0" w:rsidR="00FC2E9D">
        <w:t>Euroopa P</w:t>
      </w:r>
      <w:r w:rsidRPr="004043A0">
        <w:t>arlamenti võrdsustada kohtuga ja teiseks ei tohi parlamendiliiget pidada puutumatuse äravõtmise menetluse raames süüdistatavaks</w:t>
      </w:r>
      <w:r>
        <w:rPr>
          <w:rStyle w:val="FootnoteReference"/>
        </w:rPr>
        <w:footnoteReference w:id="3"/>
      </w:r>
      <w:r w:rsidRPr="004043A0">
        <w:t>;</w:t>
      </w:r>
    </w:p>
    <w:p w:rsidR="00145E15" w:rsidRPr="004043A0" w:rsidP="00886610" w14:paraId="60499641" w14:textId="2108CDEC">
      <w:pPr>
        <w:pStyle w:val="NormalHanging12a"/>
        <w:widowControl/>
      </w:pPr>
      <w:r w:rsidRPr="004043A0">
        <w:t>1.</w:t>
      </w:r>
      <w:r w:rsidRPr="004043A0">
        <w:tab/>
        <w:t>otsustab Daniel</w:t>
      </w:r>
      <w:r w:rsidRPr="004043A0" w:rsidR="00886610">
        <w:t xml:space="preserve"> </w:t>
      </w:r>
      <w:r w:rsidRPr="004043A0">
        <w:t>Obajteki</w:t>
      </w:r>
      <w:r w:rsidRPr="004043A0">
        <w:t xml:space="preserve"> puutumatuse ära võtta;</w:t>
      </w:r>
    </w:p>
    <w:p w:rsidR="00E365E1" w:rsidRPr="004043A0" w:rsidP="00886610" w14:paraId="481C46C1" w14:textId="7F318374">
      <w:pPr>
        <w:pStyle w:val="NormalHanging12a"/>
        <w:widowControl/>
      </w:pPr>
      <w:r w:rsidRPr="004043A0">
        <w:t>2.</w:t>
      </w:r>
      <w:r w:rsidRPr="004043A0">
        <w:tab/>
        <w:t>teeb presidendile ülesandeks edastada käesolev otsus ja vastutava parlamendikomisjoni raport viivitamatult Poola Vabariigi pädevale ametiasutusele ja Daniel</w:t>
      </w:r>
      <w:r w:rsidRPr="004043A0" w:rsidR="00886610">
        <w:t xml:space="preserve"> </w:t>
      </w:r>
      <w:r w:rsidRPr="004043A0">
        <w:t>Obajtekile</w:t>
      </w:r>
      <w:r w:rsidRPr="004043A0">
        <w:t>.</w:t>
      </w:r>
    </w:p>
    <w:sectPr w:rsidSect="000F01A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F01A2" w14:paraId="000A93F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F01A2" w14:paraId="1099264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F01A2" w14:paraId="482F9A8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F5CFE" w:rsidRPr="000F01A2" w14:paraId="6564D162" w14:textId="77777777">
      <w:r w:rsidRPr="000F01A2">
        <w:separator/>
      </w:r>
    </w:p>
  </w:footnote>
  <w:footnote w:type="continuationSeparator" w:id="1">
    <w:p w:rsidR="009F5CFE" w:rsidRPr="000F01A2" w14:paraId="06C97D9E" w14:textId="77777777">
      <w:r w:rsidRPr="000F01A2">
        <w:continuationSeparator/>
      </w:r>
    </w:p>
  </w:footnote>
  <w:footnote w:id="2">
    <w:p w:rsidR="00145E15" w:rsidRPr="000F01A2" w:rsidP="000F01A2" w14:paraId="497578A5" w14:textId="6D17C74B">
      <w:pPr>
        <w:pStyle w:val="FootnoteText"/>
        <w:ind w:left="567" w:hanging="567"/>
        <w:rPr>
          <w:sz w:val="24"/>
          <w:lang w:val="et-EE"/>
        </w:rPr>
      </w:pPr>
      <w:r w:rsidRPr="000F01A2">
        <w:rPr>
          <w:rStyle w:val="FootnoteReference"/>
          <w:sz w:val="24"/>
          <w:lang w:val="et-EE"/>
        </w:rPr>
        <w:footnoteRef/>
      </w:r>
      <w:r w:rsidRPr="000F01A2" w:rsidR="000F01A2">
        <w:rPr>
          <w:sz w:val="24"/>
          <w:lang w:val="et-EE"/>
        </w:rPr>
        <w:tab/>
      </w:r>
      <w:r w:rsidRPr="000F01A2">
        <w:rPr>
          <w:sz w:val="24"/>
          <w:lang w:val="et-EE"/>
        </w:rPr>
        <w:t xml:space="preserve">Kohtuotsus, Euroopa Kohus, 21. oktoober 2008, </w:t>
      </w:r>
      <w:r w:rsidRPr="000F01A2">
        <w:rPr>
          <w:sz w:val="24"/>
          <w:lang w:val="et-EE"/>
        </w:rPr>
        <w:t>Marra</w:t>
      </w:r>
      <w:r w:rsidRPr="000F01A2">
        <w:rPr>
          <w:sz w:val="24"/>
          <w:lang w:val="et-EE"/>
        </w:rPr>
        <w:t xml:space="preserve"> </w:t>
      </w:r>
      <w:r w:rsidRPr="000F01A2">
        <w:rPr>
          <w:i/>
          <w:iCs/>
          <w:sz w:val="24"/>
          <w:lang w:val="et-EE"/>
        </w:rPr>
        <w:t>vs</w:t>
      </w:r>
      <w:r w:rsidRPr="000F01A2">
        <w:rPr>
          <w:sz w:val="24"/>
          <w:lang w:val="et-EE"/>
        </w:rPr>
        <w:t xml:space="preserve">. De </w:t>
      </w:r>
      <w:r w:rsidRPr="000F01A2">
        <w:rPr>
          <w:sz w:val="24"/>
          <w:lang w:val="et-EE"/>
        </w:rPr>
        <w:t>Gregorio</w:t>
      </w:r>
      <w:r w:rsidRPr="000F01A2">
        <w:rPr>
          <w:sz w:val="24"/>
          <w:lang w:val="et-EE"/>
        </w:rPr>
        <w:t xml:space="preserve"> ja </w:t>
      </w:r>
      <w:r w:rsidRPr="000F01A2">
        <w:rPr>
          <w:sz w:val="24"/>
          <w:lang w:val="et-EE"/>
        </w:rPr>
        <w:t>Clemente</w:t>
      </w:r>
      <w:r w:rsidRPr="000F01A2">
        <w:rPr>
          <w:sz w:val="24"/>
          <w:lang w:val="et-EE"/>
        </w:rPr>
        <w:t xml:space="preserve">, C-200/07 ja C-201/07, ECLI:EU:C:2008:579; kohtuotsus, </w:t>
      </w:r>
      <w:r w:rsidRPr="000F01A2">
        <w:rPr>
          <w:sz w:val="24"/>
          <w:lang w:val="et-EE"/>
        </w:rPr>
        <w:t>Üldkohus</w:t>
      </w:r>
      <w:r w:rsidRPr="000F01A2">
        <w:rPr>
          <w:sz w:val="24"/>
          <w:lang w:val="et-EE"/>
        </w:rPr>
        <w:t xml:space="preserve">, 19. märts 2010, </w:t>
      </w:r>
      <w:r w:rsidRPr="000F01A2">
        <w:rPr>
          <w:sz w:val="24"/>
          <w:lang w:val="et-EE"/>
        </w:rPr>
        <w:t>Gollnisch</w:t>
      </w:r>
      <w:r w:rsidRPr="000F01A2">
        <w:rPr>
          <w:sz w:val="24"/>
          <w:lang w:val="et-EE"/>
        </w:rPr>
        <w:t xml:space="preserve"> </w:t>
      </w:r>
      <w:r w:rsidRPr="000F01A2">
        <w:rPr>
          <w:i/>
          <w:iCs/>
          <w:sz w:val="24"/>
          <w:lang w:val="et-EE"/>
        </w:rPr>
        <w:t>vs</w:t>
      </w:r>
      <w:r w:rsidRPr="000F01A2">
        <w:rPr>
          <w:sz w:val="24"/>
          <w:lang w:val="et-EE"/>
        </w:rPr>
        <w:t xml:space="preserve">. </w:t>
      </w:r>
      <w:r w:rsidR="009F4FA9">
        <w:rPr>
          <w:sz w:val="24"/>
          <w:lang w:val="et-EE"/>
        </w:rPr>
        <w:t>Euroopa P</w:t>
      </w:r>
      <w:r w:rsidRPr="000F01A2">
        <w:rPr>
          <w:sz w:val="24"/>
          <w:lang w:val="et-EE"/>
        </w:rPr>
        <w:t xml:space="preserve">arlament, T-42/06, ECLI:EU:T:2010:102; kohtuotsus, Euroopa Kohus, 6. september 2011, </w:t>
      </w:r>
      <w:r w:rsidRPr="000F01A2">
        <w:rPr>
          <w:sz w:val="24"/>
          <w:lang w:val="et-EE"/>
        </w:rPr>
        <w:t>Patriciello</w:t>
      </w:r>
      <w:r w:rsidRPr="000F01A2">
        <w:rPr>
          <w:sz w:val="24"/>
          <w:lang w:val="et-EE"/>
        </w:rPr>
        <w:t xml:space="preserve">, C-163/10, ECLI: EU:C:2011:543; kohtuotsus, </w:t>
      </w:r>
      <w:r w:rsidRPr="000F01A2">
        <w:rPr>
          <w:sz w:val="24"/>
          <w:lang w:val="et-EE"/>
        </w:rPr>
        <w:t>Üldkohus</w:t>
      </w:r>
      <w:r w:rsidRPr="000F01A2">
        <w:rPr>
          <w:sz w:val="24"/>
          <w:lang w:val="et-EE"/>
        </w:rPr>
        <w:t xml:space="preserve">, 17. jaanuar 2013, </w:t>
      </w:r>
      <w:r w:rsidRPr="000F01A2">
        <w:rPr>
          <w:sz w:val="24"/>
          <w:lang w:val="et-EE"/>
        </w:rPr>
        <w:t>Gollnisch</w:t>
      </w:r>
      <w:r w:rsidRPr="000F01A2">
        <w:rPr>
          <w:sz w:val="24"/>
          <w:lang w:val="et-EE"/>
        </w:rPr>
        <w:t xml:space="preserve"> </w:t>
      </w:r>
      <w:r w:rsidRPr="000F01A2">
        <w:rPr>
          <w:i/>
          <w:iCs/>
          <w:sz w:val="24"/>
          <w:lang w:val="et-EE"/>
        </w:rPr>
        <w:t>vs</w:t>
      </w:r>
      <w:r w:rsidRPr="000F01A2">
        <w:rPr>
          <w:sz w:val="24"/>
          <w:lang w:val="et-EE"/>
        </w:rPr>
        <w:t xml:space="preserve">. </w:t>
      </w:r>
      <w:r w:rsidR="009F4FA9">
        <w:rPr>
          <w:sz w:val="24"/>
          <w:lang w:val="et-EE"/>
        </w:rPr>
        <w:t>Euroopa P</w:t>
      </w:r>
      <w:r w:rsidRPr="000F01A2">
        <w:rPr>
          <w:sz w:val="24"/>
          <w:lang w:val="et-EE"/>
        </w:rPr>
        <w:t xml:space="preserve">arlament, T-346/11 ja T-347/11, ECLI:EU:T:2013:23; kohtuotsus, Euroopa Kohus, 19. detsember 2019, </w:t>
      </w:r>
      <w:r w:rsidRPr="000F01A2">
        <w:rPr>
          <w:sz w:val="24"/>
          <w:lang w:val="et-EE"/>
        </w:rPr>
        <w:t>Junqueras</w:t>
      </w:r>
      <w:r w:rsidRPr="000F01A2">
        <w:rPr>
          <w:sz w:val="24"/>
          <w:lang w:val="et-EE"/>
        </w:rPr>
        <w:t xml:space="preserve"> </w:t>
      </w:r>
      <w:r w:rsidRPr="000F01A2">
        <w:rPr>
          <w:sz w:val="24"/>
          <w:lang w:val="et-EE"/>
        </w:rPr>
        <w:t>Vies</w:t>
      </w:r>
      <w:r w:rsidRPr="000F01A2">
        <w:rPr>
          <w:sz w:val="24"/>
          <w:lang w:val="et-EE"/>
        </w:rPr>
        <w:t>, C-502/19, ECLI:EU:C:2019:1115.</w:t>
      </w:r>
    </w:p>
  </w:footnote>
  <w:footnote w:id="3">
    <w:p w:rsidR="00145E15" w:rsidRPr="000F01A2" w:rsidP="000F01A2" w14:paraId="3AA22D48" w14:textId="44456EAC">
      <w:pPr>
        <w:pStyle w:val="FootnoteText"/>
        <w:ind w:left="567" w:hanging="567"/>
        <w:rPr>
          <w:sz w:val="24"/>
          <w:lang w:val="et-EE"/>
        </w:rPr>
      </w:pPr>
      <w:r w:rsidRPr="000F01A2">
        <w:rPr>
          <w:rStyle w:val="FootnoteReference"/>
          <w:sz w:val="24"/>
          <w:lang w:val="et-EE"/>
        </w:rPr>
        <w:footnoteRef/>
      </w:r>
      <w:r w:rsidRPr="000F01A2" w:rsidR="000F01A2">
        <w:rPr>
          <w:sz w:val="24"/>
          <w:lang w:val="et-EE"/>
        </w:rPr>
        <w:tab/>
      </w:r>
      <w:r w:rsidRPr="000F01A2">
        <w:rPr>
          <w:sz w:val="24"/>
          <w:lang w:val="et-EE"/>
        </w:rPr>
        <w:t xml:space="preserve">Kohtuotsus, </w:t>
      </w:r>
      <w:r w:rsidRPr="000F01A2">
        <w:rPr>
          <w:sz w:val="24"/>
          <w:lang w:val="et-EE"/>
        </w:rPr>
        <w:t>Üldkohus</w:t>
      </w:r>
      <w:r w:rsidRPr="000F01A2">
        <w:rPr>
          <w:sz w:val="24"/>
          <w:lang w:val="et-EE"/>
        </w:rPr>
        <w:t xml:space="preserve">, 30. aprill 2019, </w:t>
      </w:r>
      <w:r w:rsidRPr="000F01A2">
        <w:rPr>
          <w:sz w:val="24"/>
          <w:lang w:val="et-EE"/>
        </w:rPr>
        <w:t>Briois</w:t>
      </w:r>
      <w:r w:rsidRPr="000F01A2">
        <w:rPr>
          <w:sz w:val="24"/>
          <w:lang w:val="et-EE"/>
        </w:rPr>
        <w:t xml:space="preserve"> </w:t>
      </w:r>
      <w:r w:rsidRPr="000F01A2">
        <w:rPr>
          <w:i/>
          <w:iCs/>
          <w:sz w:val="24"/>
          <w:lang w:val="et-EE"/>
        </w:rPr>
        <w:t>vs</w:t>
      </w:r>
      <w:r w:rsidRPr="000F01A2">
        <w:rPr>
          <w:sz w:val="24"/>
          <w:lang w:val="et-EE"/>
        </w:rPr>
        <w:t xml:space="preserve">. </w:t>
      </w:r>
      <w:r w:rsidR="00FC2E9D">
        <w:rPr>
          <w:sz w:val="24"/>
          <w:lang w:val="et-EE"/>
        </w:rPr>
        <w:t>Euroopa P</w:t>
      </w:r>
      <w:r w:rsidRPr="000F01A2">
        <w:rPr>
          <w:sz w:val="24"/>
          <w:lang w:val="et-EE"/>
        </w:rPr>
        <w:t>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F01A2" w14:paraId="718E6FB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F01A2" w14:paraId="2CE85C0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F01A2" w14:paraId="52D8AC3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8943213">
    <w:abstractNumId w:val="9"/>
  </w:num>
  <w:num w:numId="2" w16cid:durableId="234510505">
    <w:abstractNumId w:val="9"/>
  </w:num>
  <w:num w:numId="3" w16cid:durableId="1939368400">
    <w:abstractNumId w:val="7"/>
  </w:num>
  <w:num w:numId="4" w16cid:durableId="81613250">
    <w:abstractNumId w:val="7"/>
  </w:num>
  <w:num w:numId="5" w16cid:durableId="1705401666">
    <w:abstractNumId w:val="6"/>
  </w:num>
  <w:num w:numId="6" w16cid:durableId="126895597">
    <w:abstractNumId w:val="6"/>
  </w:num>
  <w:num w:numId="7" w16cid:durableId="372772398">
    <w:abstractNumId w:val="5"/>
  </w:num>
  <w:num w:numId="8" w16cid:durableId="1504198901">
    <w:abstractNumId w:val="5"/>
  </w:num>
  <w:num w:numId="9" w16cid:durableId="1456941873">
    <w:abstractNumId w:val="4"/>
  </w:num>
  <w:num w:numId="10" w16cid:durableId="296616610">
    <w:abstractNumId w:val="4"/>
  </w:num>
  <w:num w:numId="11" w16cid:durableId="111676163">
    <w:abstractNumId w:val="8"/>
  </w:num>
  <w:num w:numId="12" w16cid:durableId="1263105189">
    <w:abstractNumId w:val="8"/>
  </w:num>
  <w:num w:numId="13" w16cid:durableId="2109890229">
    <w:abstractNumId w:val="3"/>
  </w:num>
  <w:num w:numId="14" w16cid:durableId="2040351067">
    <w:abstractNumId w:val="3"/>
  </w:num>
  <w:num w:numId="15" w16cid:durableId="1568149127">
    <w:abstractNumId w:val="2"/>
  </w:num>
  <w:num w:numId="16" w16cid:durableId="224922252">
    <w:abstractNumId w:val="2"/>
  </w:num>
  <w:num w:numId="17" w16cid:durableId="875118565">
    <w:abstractNumId w:val="1"/>
  </w:num>
  <w:num w:numId="18" w16cid:durableId="2121296913">
    <w:abstractNumId w:val="1"/>
  </w:num>
  <w:num w:numId="19" w16cid:durableId="556084792">
    <w:abstractNumId w:val="0"/>
  </w:num>
  <w:num w:numId="20" w16cid:durableId="924611006">
    <w:abstractNumId w:val="0"/>
  </w:num>
  <w:num w:numId="21" w16cid:durableId="1995643300">
    <w:abstractNumId w:val="9"/>
  </w:num>
  <w:num w:numId="22" w16cid:durableId="1830563105">
    <w:abstractNumId w:val="7"/>
  </w:num>
  <w:num w:numId="23" w16cid:durableId="27681302">
    <w:abstractNumId w:val="6"/>
  </w:num>
  <w:num w:numId="24" w16cid:durableId="1163471820">
    <w:abstractNumId w:val="5"/>
  </w:num>
  <w:num w:numId="25" w16cid:durableId="349919048">
    <w:abstractNumId w:val="4"/>
  </w:num>
  <w:num w:numId="26" w16cid:durableId="455374035">
    <w:abstractNumId w:val="8"/>
  </w:num>
  <w:num w:numId="27" w16cid:durableId="505941418">
    <w:abstractNumId w:val="3"/>
  </w:num>
  <w:num w:numId="28" w16cid:durableId="1378968699">
    <w:abstractNumId w:val="2"/>
  </w:num>
  <w:num w:numId="29" w16cid:durableId="1291475039">
    <w:abstractNumId w:val="1"/>
  </w:num>
  <w:num w:numId="30" w16cid:durableId="1353267196">
    <w:abstractNumId w:val="0"/>
  </w:num>
  <w:num w:numId="31" w16cid:durableId="74058725">
    <w:abstractNumId w:val="9"/>
  </w:num>
  <w:num w:numId="32" w16cid:durableId="2084258005">
    <w:abstractNumId w:val="7"/>
  </w:num>
  <w:num w:numId="33" w16cid:durableId="1238710640">
    <w:abstractNumId w:val="6"/>
  </w:num>
  <w:num w:numId="34" w16cid:durableId="1015808630">
    <w:abstractNumId w:val="5"/>
  </w:num>
  <w:num w:numId="35" w16cid:durableId="1648045062">
    <w:abstractNumId w:val="4"/>
  </w:num>
  <w:num w:numId="36" w16cid:durableId="4599609">
    <w:abstractNumId w:val="8"/>
  </w:num>
  <w:num w:numId="37" w16cid:durableId="1345546782">
    <w:abstractNumId w:val="3"/>
  </w:num>
  <w:num w:numId="38" w16cid:durableId="1455952090">
    <w:abstractNumId w:val="2"/>
  </w:num>
  <w:num w:numId="39" w16cid:durableId="647825813">
    <w:abstractNumId w:val="1"/>
  </w:num>
  <w:num w:numId="40" w16cid:durableId="1451700408">
    <w:abstractNumId w:val="0"/>
  </w:num>
  <w:num w:numId="41" w16cid:durableId="1609700134">
    <w:abstractNumId w:val="10"/>
  </w:num>
  <w:num w:numId="42" w16cid:durableId="1746682587">
    <w:abstractNumId w:val="10"/>
  </w:num>
  <w:num w:numId="43" w16cid:durableId="1266377324">
    <w:abstractNumId w:val="10"/>
  </w:num>
  <w:num w:numId="44" w16cid:durableId="19315453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CFE"/>
    <w:rsid w:val="00002272"/>
    <w:rsid w:val="00064002"/>
    <w:rsid w:val="000677B9"/>
    <w:rsid w:val="000831BA"/>
    <w:rsid w:val="000A42CC"/>
    <w:rsid w:val="000E7DD9"/>
    <w:rsid w:val="000F01A2"/>
    <w:rsid w:val="0010095E"/>
    <w:rsid w:val="00115490"/>
    <w:rsid w:val="00125B37"/>
    <w:rsid w:val="00145E15"/>
    <w:rsid w:val="00187494"/>
    <w:rsid w:val="001F32AE"/>
    <w:rsid w:val="002767FF"/>
    <w:rsid w:val="002B18FE"/>
    <w:rsid w:val="002B5493"/>
    <w:rsid w:val="002F63DF"/>
    <w:rsid w:val="00343214"/>
    <w:rsid w:val="00361C00"/>
    <w:rsid w:val="00395FA1"/>
    <w:rsid w:val="003E15D4"/>
    <w:rsid w:val="004043A0"/>
    <w:rsid w:val="00411CCE"/>
    <w:rsid w:val="0041666E"/>
    <w:rsid w:val="00421060"/>
    <w:rsid w:val="004607F8"/>
    <w:rsid w:val="00471C19"/>
    <w:rsid w:val="004867E3"/>
    <w:rsid w:val="00494A28"/>
    <w:rsid w:val="004C0004"/>
    <w:rsid w:val="004C5D52"/>
    <w:rsid w:val="0050519A"/>
    <w:rsid w:val="005072A1"/>
    <w:rsid w:val="00514517"/>
    <w:rsid w:val="00545827"/>
    <w:rsid w:val="00560270"/>
    <w:rsid w:val="005A346E"/>
    <w:rsid w:val="005C2568"/>
    <w:rsid w:val="005F1B17"/>
    <w:rsid w:val="006037C0"/>
    <w:rsid w:val="006631B6"/>
    <w:rsid w:val="00680577"/>
    <w:rsid w:val="006F6D83"/>
    <w:rsid w:val="006F74FA"/>
    <w:rsid w:val="00731ADD"/>
    <w:rsid w:val="00734777"/>
    <w:rsid w:val="00747932"/>
    <w:rsid w:val="00751A4A"/>
    <w:rsid w:val="00756632"/>
    <w:rsid w:val="00762C74"/>
    <w:rsid w:val="00786EC0"/>
    <w:rsid w:val="007D1690"/>
    <w:rsid w:val="007E22AD"/>
    <w:rsid w:val="00817416"/>
    <w:rsid w:val="00842779"/>
    <w:rsid w:val="00860F8E"/>
    <w:rsid w:val="00865F67"/>
    <w:rsid w:val="00881A7B"/>
    <w:rsid w:val="008840E5"/>
    <w:rsid w:val="00886610"/>
    <w:rsid w:val="00887B3E"/>
    <w:rsid w:val="008C2AC6"/>
    <w:rsid w:val="00930C23"/>
    <w:rsid w:val="0093193B"/>
    <w:rsid w:val="009372E3"/>
    <w:rsid w:val="009509D8"/>
    <w:rsid w:val="00950B64"/>
    <w:rsid w:val="00981893"/>
    <w:rsid w:val="009B1854"/>
    <w:rsid w:val="009F4FA9"/>
    <w:rsid w:val="009F5CFE"/>
    <w:rsid w:val="00A1687D"/>
    <w:rsid w:val="00A43E52"/>
    <w:rsid w:val="00A4678D"/>
    <w:rsid w:val="00A778C7"/>
    <w:rsid w:val="00AB441E"/>
    <w:rsid w:val="00AB6293"/>
    <w:rsid w:val="00AE0928"/>
    <w:rsid w:val="00AF3B82"/>
    <w:rsid w:val="00B12E95"/>
    <w:rsid w:val="00B22876"/>
    <w:rsid w:val="00B44672"/>
    <w:rsid w:val="00B558F0"/>
    <w:rsid w:val="00B71CF4"/>
    <w:rsid w:val="00BD48FE"/>
    <w:rsid w:val="00BD7BD8"/>
    <w:rsid w:val="00BE6ADC"/>
    <w:rsid w:val="00BF48B4"/>
    <w:rsid w:val="00C05BFE"/>
    <w:rsid w:val="00C23CD4"/>
    <w:rsid w:val="00C61C0C"/>
    <w:rsid w:val="00C941CB"/>
    <w:rsid w:val="00CC2357"/>
    <w:rsid w:val="00CF071A"/>
    <w:rsid w:val="00D058B8"/>
    <w:rsid w:val="00D25AB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2E9D"/>
    <w:rsid w:val="00FD0C70"/>
  </w:rsids>
  <w:docVars>
    <w:docVar w:name="dvdocse" w:val="A10-0115/2026"/>
    <w:docVar w:name="dvlangue" w:val="ET"/>
    <w:docVar w:name="dvnumam" w:val="0"/>
    <w:docVar w:name="dvpe" w:val="786.910"/>
    <w:docVar w:name="dvrapporteur" w:val="Raportöör: "/>
    <w:docVar w:name="dvtitre" w:val="Euroopa Parlamendi .... 2026. aasta otsus Daniel Obajteki puutumatuse äravõtmise taotluse kohta(2025/217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D8901BD"/>
  <w15:chartTrackingRefBased/>
  <w15:docId w15:val="{77E4DCB1-CD6C-478E-8FFE-341D366C7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45E15"/>
    <w:pPr>
      <w:spacing w:after="240"/>
      <w:ind w:left="567" w:hanging="567"/>
    </w:pPr>
  </w:style>
  <w:style w:type="paragraph" w:customStyle="1" w:styleId="EPComma">
    <w:name w:val="EPComma"/>
    <w:basedOn w:val="Normal"/>
    <w:rsid w:val="00145E15"/>
    <w:pPr>
      <w:spacing w:before="480" w:after="240"/>
    </w:pPr>
  </w:style>
  <w:style w:type="paragraph" w:styleId="Revision">
    <w:name w:val="Revision"/>
    <w:hidden/>
    <w:uiPriority w:val="99"/>
    <w:semiHidden/>
    <w:rsid w:val="00886610"/>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761</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5</cp:revision>
  <cp:lastPrinted>2004-11-19T15:42:00Z</cp:lastPrinted>
  <dcterms:created xsi:type="dcterms:W3CDTF">2026-04-28T10:47:00Z</dcterms:created>
  <dcterms:modified xsi:type="dcterms:W3CDTF">2026-04-28T11:39:00Z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A10-0115/2026</vt:lpwstr>
  </property>
  <property fmtid="{D5CDD505-2E9C-101B-9397-08002B2CF9AE}" pid="4" name="&lt;Type&gt;">
    <vt:lpwstr>RR</vt:lpwstr>
  </property>
</Properties>
</file>