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71860B1" w14:textId="77777777" w:rsidTr="0010095E">
        <w:tblPrEx>
          <w:tblW w:w="9072" w:type="dxa"/>
          <w:tblLook w:val="01E0"/>
        </w:tblPrEx>
        <w:trPr>
          <w:trHeight w:hRule="exact" w:val="1418"/>
        </w:trPr>
        <w:tc>
          <w:tcPr>
            <w:tcW w:w="6804" w:type="dxa"/>
            <w:shd w:val="clear" w:color="auto" w:fill="auto"/>
            <w:vAlign w:val="center"/>
          </w:tcPr>
          <w:p w:rsidR="00751A4A" w:rsidRPr="000C062E" w:rsidP="0010095E" w14:paraId="1C4F6854" w14:textId="7A97BF75">
            <w:pPr>
              <w:pStyle w:val="EPName"/>
            </w:pPr>
            <w:r w:rsidRPr="000C062E">
              <w:t>Parlement européen</w:t>
            </w:r>
          </w:p>
          <w:p w:rsidR="00751A4A" w:rsidRPr="000C062E" w:rsidP="005F1B17" w14:paraId="2D620FAC" w14:textId="77777777">
            <w:pPr>
              <w:pStyle w:val="EPTerm"/>
              <w:rPr>
                <w:rStyle w:val="HideTWBExt"/>
                <w:noProof w:val="0"/>
                <w:vanish w:val="0"/>
                <w:color w:val="auto"/>
              </w:rPr>
            </w:pPr>
            <w:r w:rsidRPr="000C062E">
              <w:t>2024</w:t>
            </w:r>
            <w:r w:rsidRPr="000C062E" w:rsidR="00817416">
              <w:t>-202</w:t>
            </w:r>
            <w:r w:rsidRPr="000C062E">
              <w:t>9</w:t>
            </w:r>
          </w:p>
        </w:tc>
        <w:tc>
          <w:tcPr>
            <w:tcW w:w="2268" w:type="dxa"/>
            <w:shd w:val="clear" w:color="auto" w:fill="auto"/>
          </w:tcPr>
          <w:p w:rsidR="00751A4A" w:rsidRPr="000C062E" w:rsidP="0010095E" w14:paraId="25FFF2F5" w14:textId="77777777">
            <w:pPr>
              <w:pStyle w:val="EPLogo"/>
            </w:pPr>
            <w:r w:rsidRPr="000C062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C062E" w:rsidP="004C5D52" w14:paraId="2D424F47" w14:textId="77777777">
      <w:pPr>
        <w:pStyle w:val="LineTop"/>
      </w:pPr>
    </w:p>
    <w:p w:rsidR="00680577" w:rsidRPr="000C062E" w:rsidP="00680577" w14:paraId="63E81CA0" w14:textId="4874A678">
      <w:pPr>
        <w:pStyle w:val="EPBodyTA1"/>
      </w:pPr>
      <w:r w:rsidRPr="000C062E">
        <w:t>TEXTES ADOPTÉS</w:t>
      </w:r>
    </w:p>
    <w:p w:rsidR="00D058B8" w:rsidRPr="000C062E" w:rsidP="00D058B8" w14:paraId="5A9F0B0D" w14:textId="77777777">
      <w:pPr>
        <w:pStyle w:val="LineBottom"/>
      </w:pPr>
    </w:p>
    <w:p w:rsidR="0086042C" w:rsidRPr="000C062E" w:rsidP="0086042C" w14:paraId="7DF06D1F" w14:textId="66968124">
      <w:pPr>
        <w:pStyle w:val="ATHeading1"/>
      </w:pPr>
      <w:bookmarkStart w:id="0" w:name="TANumber"/>
      <w:r w:rsidRPr="000C062E">
        <w:t>P10_TA(2026)</w:t>
      </w:r>
      <w:bookmarkEnd w:id="0"/>
      <w:r w:rsidR="008A689F">
        <w:t>0106</w:t>
      </w:r>
    </w:p>
    <w:p w:rsidR="0086042C" w:rsidRPr="000C062E" w:rsidP="0086042C" w14:paraId="5B8BD3F0" w14:textId="4EB708FF">
      <w:pPr>
        <w:pStyle w:val="ATHeading2"/>
      </w:pPr>
      <w:bookmarkStart w:id="1" w:name="title"/>
      <w:r w:rsidRPr="0079382E">
        <w:t xml:space="preserve">Demande de levée de l’immunité de Daniel </w:t>
      </w:r>
      <w:r w:rsidRPr="0079382E">
        <w:t>Obajtek</w:t>
      </w:r>
      <w:bookmarkEnd w:id="1"/>
    </w:p>
    <w:p w:rsidR="0086042C" w:rsidRPr="000C062E" w:rsidP="0086042C" w14:paraId="421EA530" w14:textId="77777777">
      <w:pPr>
        <w:rPr>
          <w:i/>
          <w:vanish/>
        </w:rPr>
      </w:pPr>
      <w:r>
        <w:rPr>
          <w:i/>
        </w:rPr>
        <w:fldChar w:fldCharType="begin"/>
      </w:r>
      <w:r w:rsidRPr="000C062E">
        <w:rPr>
          <w:i/>
        </w:rPr>
        <w:instrText xml:space="preserve"> TC"(</w:instrText>
      </w:r>
      <w:bookmarkStart w:id="2" w:name="DocNumber"/>
      <w:r w:rsidRPr="000C062E">
        <w:rPr>
          <w:i/>
        </w:rPr>
        <w:instrText>A10-0115/2026</w:instrText>
      </w:r>
      <w:bookmarkEnd w:id="2"/>
      <w:r w:rsidRPr="000C062E">
        <w:rPr>
          <w:i/>
        </w:rPr>
        <w:instrText xml:space="preserve"> - Rapporteure: Pascale Piera)"\l3 \n&gt; \* MERGEFORMAT </w:instrText>
      </w:r>
      <w:r>
        <w:rPr>
          <w:i/>
        </w:rPr>
        <w:fldChar w:fldCharType="end"/>
      </w:r>
    </w:p>
    <w:p w:rsidR="0086042C" w:rsidRPr="000C062E" w:rsidP="0086042C" w14:paraId="36F40F14" w14:textId="77777777">
      <w:pPr>
        <w:rPr>
          <w:vanish/>
        </w:rPr>
      </w:pPr>
      <w:bookmarkStart w:id="3" w:name="Commission"/>
      <w:r w:rsidRPr="000C062E">
        <w:rPr>
          <w:vanish/>
        </w:rPr>
        <w:t>Commission des affaires juridiques</w:t>
      </w:r>
      <w:bookmarkEnd w:id="3"/>
    </w:p>
    <w:p w:rsidR="0086042C" w:rsidRPr="000C062E" w:rsidP="0086042C" w14:paraId="09A3694C" w14:textId="77777777">
      <w:pPr>
        <w:rPr>
          <w:vanish/>
        </w:rPr>
      </w:pPr>
      <w:bookmarkStart w:id="4" w:name="PE"/>
      <w:r w:rsidRPr="000C062E">
        <w:rPr>
          <w:vanish/>
        </w:rPr>
        <w:t>PE786.910</w:t>
      </w:r>
      <w:bookmarkEnd w:id="4"/>
    </w:p>
    <w:p w:rsidR="0086042C" w:rsidRPr="000C062E" w:rsidP="0086042C" w14:paraId="73C266C6" w14:textId="5EE10297">
      <w:pPr>
        <w:pStyle w:val="ATHeading3"/>
      </w:pPr>
      <w:bookmarkStart w:id="5" w:name="Sujet"/>
      <w:r w:rsidRPr="000C062E">
        <w:t xml:space="preserve">Décision du Parlement européen du </w:t>
      </w:r>
      <w:r w:rsidR="00E46C42">
        <w:t>28</w:t>
      </w:r>
      <w:r w:rsidRPr="000C062E">
        <w:t xml:space="preserve"> </w:t>
      </w:r>
      <w:r w:rsidR="000A1B3A">
        <w:t xml:space="preserve">avril </w:t>
      </w:r>
      <w:r w:rsidRPr="000C062E">
        <w:t xml:space="preserve">2026 sur la demande de levée de l’immunité de Daniel </w:t>
      </w:r>
      <w:r w:rsidRPr="000C062E">
        <w:t>Obajtek</w:t>
      </w:r>
      <w:bookmarkEnd w:id="5"/>
      <w:r w:rsidRPr="000C062E">
        <w:t xml:space="preserve"> </w:t>
      </w:r>
      <w:bookmarkStart w:id="6" w:name="References"/>
      <w:r w:rsidRPr="000C062E">
        <w:t>(2025/2172(IMM))</w:t>
      </w:r>
      <w:bookmarkEnd w:id="6"/>
    </w:p>
    <w:p w:rsidR="007D350C" w:rsidRPr="000C062E" w:rsidP="0079382E" w14:paraId="137ABB7C" w14:textId="77777777">
      <w:pPr>
        <w:pStyle w:val="EPComma"/>
        <w:widowControl/>
        <w:ind w:left="567" w:hanging="567"/>
        <w:rPr>
          <w:lang w:val="fr-FR"/>
        </w:rPr>
      </w:pPr>
      <w:bookmarkStart w:id="7" w:name="TextBodyBegin"/>
      <w:bookmarkEnd w:id="7"/>
      <w:r w:rsidRPr="000C062E">
        <w:rPr>
          <w:i/>
          <w:lang w:val="fr-FR"/>
        </w:rPr>
        <w:t>Le Parlement européen</w:t>
      </w:r>
      <w:r w:rsidRPr="000C062E">
        <w:rPr>
          <w:lang w:val="fr-FR"/>
        </w:rPr>
        <w:t>,</w:t>
      </w:r>
    </w:p>
    <w:p w:rsidR="007D350C" w:rsidRPr="000C062E" w:rsidP="0079382E" w14:paraId="66773785" w14:textId="347DB15C">
      <w:pPr>
        <w:pStyle w:val="NormalHanging12a"/>
        <w:widowControl/>
        <w:rPr>
          <w:lang w:val="fr-FR"/>
        </w:rPr>
      </w:pPr>
      <w:r w:rsidRPr="000C062E">
        <w:rPr>
          <w:lang w:val="fr-FR"/>
        </w:rPr>
        <w:t>–</w:t>
      </w:r>
      <w:r w:rsidRPr="000C062E">
        <w:rPr>
          <w:lang w:val="fr-FR"/>
        </w:rPr>
        <w:tab/>
        <w:t>vu la demande de levée de l’immunité de Daniel </w:t>
      </w:r>
      <w:r w:rsidRPr="000C062E">
        <w:rPr>
          <w:lang w:val="fr-FR"/>
        </w:rPr>
        <w:t>Obajtek</w:t>
      </w:r>
      <w:r w:rsidRPr="000C062E">
        <w:rPr>
          <w:lang w:val="fr-FR"/>
        </w:rPr>
        <w:t xml:space="preserve">, </w:t>
      </w:r>
      <w:r w:rsidR="00E46C42">
        <w:rPr>
          <w:lang w:val="fr-FR"/>
        </w:rPr>
        <w:t>reçue par lettre</w:t>
      </w:r>
      <w:r w:rsidRPr="000C062E">
        <w:rPr>
          <w:lang w:val="fr-FR"/>
        </w:rPr>
        <w:t xml:space="preserve"> en date du 21 juillet 2025 </w:t>
      </w:r>
      <w:r w:rsidR="000400C6">
        <w:rPr>
          <w:lang w:val="fr-FR"/>
        </w:rPr>
        <w:t>du</w:t>
      </w:r>
      <w:r w:rsidRPr="000C062E">
        <w:rPr>
          <w:lang w:val="fr-FR"/>
        </w:rPr>
        <w:t xml:space="preserve"> procureur général de la République de Pologne</w:t>
      </w:r>
      <w:r w:rsidR="000400C6">
        <w:rPr>
          <w:lang w:val="fr-FR"/>
        </w:rPr>
        <w:t>,</w:t>
      </w:r>
      <w:r w:rsidRPr="000C062E">
        <w:rPr>
          <w:lang w:val="fr-FR"/>
        </w:rPr>
        <w:t xml:space="preserve"> transmettant une demande </w:t>
      </w:r>
      <w:r w:rsidR="000400C6">
        <w:rPr>
          <w:lang w:val="fr-FR"/>
        </w:rPr>
        <w:t>du</w:t>
      </w:r>
      <w:r w:rsidRPr="000C062E">
        <w:rPr>
          <w:lang w:val="fr-FR"/>
        </w:rPr>
        <w:t xml:space="preserve"> parquet régional de Varsovie en liaison avec les poursuites pénales à engager contre Daniel </w:t>
      </w:r>
      <w:r w:rsidRPr="000C062E">
        <w:rPr>
          <w:lang w:val="fr-FR"/>
        </w:rPr>
        <w:t>Obajtek</w:t>
      </w:r>
      <w:r w:rsidRPr="000C062E">
        <w:rPr>
          <w:lang w:val="fr-FR"/>
        </w:rPr>
        <w:t>, et communiquée en séance plénière le 8 septembre 2025,</w:t>
      </w:r>
    </w:p>
    <w:p w:rsidR="007D350C" w:rsidRPr="000C062E" w:rsidP="0079382E" w14:paraId="0699E15B" w14:textId="77777777">
      <w:pPr>
        <w:pStyle w:val="NormalHanging12a"/>
        <w:widowControl/>
        <w:rPr>
          <w:lang w:val="fr-FR"/>
        </w:rPr>
      </w:pPr>
      <w:r w:rsidRPr="000C062E">
        <w:rPr>
          <w:lang w:val="fr-FR"/>
        </w:rPr>
        <w:t>–</w:t>
      </w:r>
      <w:r w:rsidRPr="000C062E">
        <w:rPr>
          <w:lang w:val="fr-FR"/>
        </w:rPr>
        <w:tab/>
        <w:t>ayant entendu Daniel </w:t>
      </w:r>
      <w:r w:rsidRPr="000C062E">
        <w:rPr>
          <w:lang w:val="fr-FR"/>
        </w:rPr>
        <w:t>Obajtek</w:t>
      </w:r>
      <w:r w:rsidRPr="000C062E">
        <w:rPr>
          <w:lang w:val="fr-FR"/>
        </w:rPr>
        <w:t xml:space="preserve"> le 12 février 2026, conformément à l’article 9, paragraphe 6, de son règlement intérieur,</w:t>
      </w:r>
    </w:p>
    <w:p w:rsidR="007D350C" w:rsidRPr="000C062E" w:rsidP="0079382E" w14:paraId="58671315" w14:textId="77777777">
      <w:pPr>
        <w:pStyle w:val="NormalHanging12a"/>
        <w:widowControl/>
        <w:rPr>
          <w:lang w:val="fr-FR"/>
        </w:rPr>
      </w:pPr>
      <w:r w:rsidRPr="000C062E">
        <w:rPr>
          <w:lang w:val="fr-FR"/>
        </w:rPr>
        <w:t>–</w:t>
      </w:r>
      <w:r w:rsidRPr="000C062E">
        <w:rPr>
          <w:lang w:val="fr-FR"/>
        </w:rPr>
        <w:tab/>
        <w:t>vu les articles 8 et 9 du protocole n</w:t>
      </w:r>
      <w:r w:rsidRPr="000C062E">
        <w:rPr>
          <w:vertAlign w:val="superscript"/>
          <w:lang w:val="fr-FR"/>
        </w:rPr>
        <w:t>o</w:t>
      </w:r>
      <w:r w:rsidRPr="000C062E">
        <w:rPr>
          <w:lang w:val="fr-FR"/>
        </w:rPr>
        <w:t> 7 sur les privilèges et immunités de l’Union européenne ainsi que l’article 6, paragraphe 2, de l’acte portant élection des membres du Parlement européen au suffrage universel direct, du 20 septembre 1976,</w:t>
      </w:r>
    </w:p>
    <w:p w:rsidR="007D350C" w:rsidRPr="000C062E" w:rsidP="0079382E" w14:paraId="05540139" w14:textId="77777777">
      <w:pPr>
        <w:pStyle w:val="NormalHanging12a"/>
        <w:widowControl/>
        <w:rPr>
          <w:lang w:val="fr-FR"/>
        </w:rPr>
      </w:pPr>
      <w:r w:rsidRPr="000C062E">
        <w:rPr>
          <w:lang w:val="fr-FR"/>
        </w:rPr>
        <w:t>–</w:t>
      </w:r>
      <w:r w:rsidRPr="000C062E">
        <w:rPr>
          <w:lang w:val="fr-FR"/>
        </w:rPr>
        <w:tab/>
        <w:t>vu les arrêts rendus par la Cour de justice de l’Union européenne les 21 octobre 2008, 19 mars 2010, 6 septembre 2011, 17 janvier 2013 et 19 décembre 2019</w:t>
      </w:r>
      <w:r>
        <w:rPr>
          <w:rStyle w:val="FootnoteReference"/>
          <w:color w:val="000000"/>
          <w:lang w:val="fr-FR"/>
        </w:rPr>
        <w:footnoteReference w:id="2"/>
      </w:r>
      <w:r w:rsidRPr="000C062E">
        <w:rPr>
          <w:lang w:val="fr-FR"/>
        </w:rPr>
        <w:t>,</w:t>
      </w:r>
    </w:p>
    <w:p w:rsidR="007D350C" w:rsidRPr="000C062E" w:rsidP="000A1B3A" w14:paraId="02BF8D1A" w14:textId="77777777">
      <w:pPr>
        <w:pStyle w:val="NormalHanging12a"/>
        <w:widowControl/>
        <w:rPr>
          <w:lang w:val="fr-FR"/>
        </w:rPr>
      </w:pPr>
      <w:r w:rsidRPr="000C062E">
        <w:rPr>
          <w:lang w:val="fr-FR"/>
        </w:rPr>
        <w:t>–</w:t>
      </w:r>
      <w:r w:rsidRPr="000C062E">
        <w:rPr>
          <w:lang w:val="fr-FR"/>
        </w:rPr>
        <w:tab/>
        <w:t>vu l’article 105, paragraphes 2 et 5, de la Constitution de la République de Pologne,</w:t>
      </w:r>
    </w:p>
    <w:p w:rsidR="007D350C" w:rsidRPr="000C062E" w:rsidP="0079382E" w14:paraId="0994C410" w14:textId="77777777">
      <w:pPr>
        <w:pStyle w:val="NormalHanging12a"/>
        <w:widowControl/>
        <w:rPr>
          <w:lang w:val="fr-FR"/>
        </w:rPr>
      </w:pPr>
      <w:r w:rsidRPr="000C062E">
        <w:rPr>
          <w:lang w:val="fr-FR"/>
        </w:rPr>
        <w:t>–</w:t>
      </w:r>
      <w:r w:rsidRPr="000C062E">
        <w:rPr>
          <w:lang w:val="fr-FR"/>
        </w:rPr>
        <w:tab/>
        <w:t>vu l’article 5, paragraphe 2, l’article 6, paragraphe 1, et l’article 9 de son règlement intérieur,</w:t>
      </w:r>
    </w:p>
    <w:p w:rsidR="007D350C" w:rsidRPr="000C062E" w:rsidP="000A1B3A" w14:paraId="2B325456" w14:textId="77777777">
      <w:pPr>
        <w:pStyle w:val="NormalHanging12a"/>
        <w:widowControl/>
        <w:rPr>
          <w:lang w:val="fr-FR"/>
        </w:rPr>
      </w:pPr>
      <w:r w:rsidRPr="000C062E">
        <w:rPr>
          <w:lang w:val="fr-FR"/>
        </w:rPr>
        <w:t>–</w:t>
      </w:r>
      <w:r w:rsidRPr="000C062E">
        <w:rPr>
          <w:lang w:val="fr-FR"/>
        </w:rPr>
        <w:tab/>
        <w:t>vu le rapport de la commission des affaires juridiques (A10-0115/2026),</w:t>
      </w:r>
    </w:p>
    <w:p w:rsidR="007D350C" w:rsidRPr="000C062E" w:rsidP="003B08DC" w14:paraId="44DA2C64" w14:textId="7C50C01E">
      <w:pPr>
        <w:pStyle w:val="NormalHanging12a"/>
        <w:widowControl/>
        <w:rPr>
          <w:lang w:val="fr-FR"/>
        </w:rPr>
      </w:pPr>
      <w:r w:rsidRPr="000C062E">
        <w:rPr>
          <w:lang w:val="fr-FR"/>
        </w:rPr>
        <w:t>A.</w:t>
      </w:r>
      <w:r w:rsidRPr="000C062E">
        <w:rPr>
          <w:lang w:val="fr-FR"/>
        </w:rPr>
        <w:tab/>
        <w:t>considérant que, par lettre en date du 21 juillet 2025, le procureur général de la République de Pologne a transmis une demande de levée de l’immunité de Daniel </w:t>
      </w:r>
      <w:r w:rsidRPr="000C062E">
        <w:rPr>
          <w:lang w:val="fr-FR"/>
        </w:rPr>
        <w:t>Obajtek</w:t>
      </w:r>
      <w:r w:rsidRPr="000C062E">
        <w:rPr>
          <w:lang w:val="fr-FR"/>
        </w:rPr>
        <w:t xml:space="preserve">, </w:t>
      </w:r>
      <w:r w:rsidR="000400C6">
        <w:rPr>
          <w:lang w:val="fr-FR"/>
        </w:rPr>
        <w:t xml:space="preserve">député au Parlement européen élu en Pologne, </w:t>
      </w:r>
      <w:r w:rsidRPr="000C062E">
        <w:rPr>
          <w:lang w:val="fr-FR"/>
        </w:rPr>
        <w:t xml:space="preserve">présentée par le parquet régional de Varsovie, en liaison avec </w:t>
      </w:r>
      <w:r w:rsidR="003B08DC">
        <w:rPr>
          <w:lang w:val="fr-FR"/>
        </w:rPr>
        <w:t xml:space="preserve">une </w:t>
      </w:r>
      <w:r w:rsidRPr="000C062E">
        <w:rPr>
          <w:lang w:val="fr-FR"/>
        </w:rPr>
        <w:t xml:space="preserve">infraction présumée relevant de l’article 233, paragraphe 1, du code pénal polonais ainsi que de </w:t>
      </w:r>
      <w:r w:rsidR="003B08DC">
        <w:rPr>
          <w:lang w:val="fr-FR"/>
        </w:rPr>
        <w:t xml:space="preserve">son </w:t>
      </w:r>
      <w:r w:rsidRPr="000C062E">
        <w:rPr>
          <w:lang w:val="fr-FR"/>
        </w:rPr>
        <w:t>article 49</w:t>
      </w:r>
      <w:r w:rsidR="003B08DC">
        <w:rPr>
          <w:lang w:val="fr-FR"/>
        </w:rPr>
        <w:t>,</w:t>
      </w:r>
      <w:r w:rsidRPr="000C062E">
        <w:rPr>
          <w:lang w:val="fr-FR"/>
        </w:rPr>
        <w:t xml:space="preserve"> en lien avec l’article 3 de la loi sur la presse du 26 janvier 1984;</w:t>
      </w:r>
    </w:p>
    <w:p w:rsidR="007D350C" w:rsidRPr="000C062E" w:rsidP="003B08DC" w14:paraId="00E5DC06" w14:textId="01784544">
      <w:pPr>
        <w:pStyle w:val="NormalHanging12a"/>
        <w:widowControl/>
        <w:rPr>
          <w:lang w:val="fr-FR"/>
        </w:rPr>
      </w:pPr>
      <w:r w:rsidRPr="000C062E">
        <w:rPr>
          <w:lang w:val="fr-FR"/>
        </w:rPr>
        <w:t>B.</w:t>
      </w:r>
      <w:r w:rsidRPr="000C062E">
        <w:rPr>
          <w:lang w:val="fr-FR"/>
        </w:rPr>
        <w:tab/>
        <w:t xml:space="preserve">considérant que, selon la demande de levée d’immunité, </w:t>
      </w:r>
      <w:r w:rsidRPr="000C062E">
        <w:rPr>
          <w:color w:val="000000"/>
          <w:lang w:val="fr-FR"/>
        </w:rPr>
        <w:t xml:space="preserve">le 15 mai 2024 le parquet régional de Varsovie a ouvert </w:t>
      </w:r>
      <w:r w:rsidRPr="000C062E">
        <w:rPr>
          <w:lang w:val="fr-FR"/>
        </w:rPr>
        <w:t>une enquête pour faux témoignage présumé; que, selon ladite demande, ce faux témoignage présumé aurait été déposé le 11 mai 2023 par deux personnes, y compris Daniel </w:t>
      </w:r>
      <w:r w:rsidRPr="000C062E">
        <w:rPr>
          <w:lang w:val="fr-FR"/>
        </w:rPr>
        <w:t>Obajtek</w:t>
      </w:r>
      <w:r w:rsidRPr="000C062E">
        <w:rPr>
          <w:lang w:val="fr-FR"/>
        </w:rPr>
        <w:t xml:space="preserve"> en sa qualité de témoin et ayant été informé de la responsabilité pénale encourue en cas de faux témoignage, dans le cadre de la procédure menée devant le tribunal régional de Varsovie-</w:t>
      </w:r>
      <w:r w:rsidRPr="000C062E">
        <w:rPr>
          <w:lang w:val="fr-FR"/>
        </w:rPr>
        <w:t>Śródmieście</w:t>
      </w:r>
      <w:r w:rsidRPr="000C062E">
        <w:rPr>
          <w:lang w:val="fr-FR"/>
        </w:rPr>
        <w:t xml:space="preserve"> à Varsovie au titre de l’action civile </w:t>
      </w:r>
      <w:r w:rsidR="003B08DC">
        <w:rPr>
          <w:lang w:val="fr-FR"/>
        </w:rPr>
        <w:t xml:space="preserve">en </w:t>
      </w:r>
      <w:r w:rsidRPr="000C062E" w:rsidR="003B08DC">
        <w:rPr>
          <w:lang w:val="fr-FR"/>
        </w:rPr>
        <w:t xml:space="preserve">diffamation </w:t>
      </w:r>
      <w:r w:rsidRPr="000C062E">
        <w:rPr>
          <w:lang w:val="fr-FR"/>
        </w:rPr>
        <w:t xml:space="preserve">engagée par le demandeur contre le défendeur pour une infraction </w:t>
      </w:r>
      <w:r w:rsidR="003B08DC">
        <w:rPr>
          <w:lang w:val="fr-FR"/>
        </w:rPr>
        <w:t>au titre de</w:t>
      </w:r>
      <w:r w:rsidRPr="000C062E">
        <w:rPr>
          <w:lang w:val="fr-FR"/>
        </w:rPr>
        <w:t xml:space="preserve"> l’article 212, paragraphe 2, du code pénal polonais;</w:t>
      </w:r>
    </w:p>
    <w:p w:rsidR="007D350C" w:rsidRPr="000C062E" w:rsidP="003B08DC" w14:paraId="0D368C54" w14:textId="1CA4BCCD">
      <w:pPr>
        <w:pStyle w:val="NormalHanging12a"/>
        <w:widowControl/>
        <w:rPr>
          <w:lang w:val="fr-FR"/>
        </w:rPr>
      </w:pPr>
      <w:r w:rsidRPr="000C062E">
        <w:rPr>
          <w:color w:val="000000"/>
          <w:lang w:val="fr-FR"/>
        </w:rPr>
        <w:t>C.</w:t>
      </w:r>
      <w:r w:rsidRPr="000C062E">
        <w:rPr>
          <w:color w:val="000000"/>
          <w:lang w:val="fr-FR"/>
        </w:rPr>
        <w:tab/>
      </w:r>
      <w:r w:rsidRPr="000C062E">
        <w:rPr>
          <w:lang w:val="fr-FR"/>
        </w:rPr>
        <w:t>considérant que</w:t>
      </w:r>
      <w:r w:rsidR="003B08DC">
        <w:rPr>
          <w:lang w:val="fr-FR"/>
        </w:rPr>
        <w:t>, selon la demande,</w:t>
      </w:r>
      <w:r w:rsidRPr="000C062E">
        <w:rPr>
          <w:lang w:val="fr-FR"/>
        </w:rPr>
        <w:t xml:space="preserve"> Polski </w:t>
      </w:r>
      <w:r w:rsidRPr="000C062E">
        <w:rPr>
          <w:lang w:val="fr-FR"/>
        </w:rPr>
        <w:t>Koncern</w:t>
      </w:r>
      <w:r w:rsidRPr="000C062E">
        <w:rPr>
          <w:lang w:val="fr-FR"/>
        </w:rPr>
        <w:t xml:space="preserve"> </w:t>
      </w:r>
      <w:r w:rsidRPr="000C062E">
        <w:rPr>
          <w:lang w:val="fr-FR"/>
        </w:rPr>
        <w:t>Naftowy</w:t>
      </w:r>
      <w:r w:rsidRPr="000C062E">
        <w:rPr>
          <w:lang w:val="fr-FR"/>
        </w:rPr>
        <w:t xml:space="preserve"> ORLEN </w:t>
      </w:r>
      <w:r w:rsidRPr="000C062E">
        <w:rPr>
          <w:lang w:val="fr-FR"/>
        </w:rPr>
        <w:t>Spółka</w:t>
      </w:r>
      <w:r w:rsidRPr="000C062E">
        <w:rPr>
          <w:lang w:val="fr-FR"/>
        </w:rPr>
        <w:t xml:space="preserve"> </w:t>
      </w:r>
      <w:r w:rsidRPr="000C062E">
        <w:rPr>
          <w:lang w:val="fr-FR"/>
        </w:rPr>
        <w:t>Akcyjna</w:t>
      </w:r>
      <w:r w:rsidRPr="000C062E">
        <w:rPr>
          <w:lang w:val="fr-FR"/>
        </w:rPr>
        <w:t xml:space="preserve"> a conclu un contrat concernant la distribution de l’hebdomadaire «NIE», publié par la société à responsabilité limitée URMA dans tous les points de vente des stations-services ORLEN</w:t>
      </w:r>
      <w:r w:rsidRPr="000C062E">
        <w:rPr>
          <w:color w:val="000000"/>
          <w:lang w:val="fr-FR"/>
        </w:rPr>
        <w:t xml:space="preserve">; que le </w:t>
      </w:r>
      <w:r w:rsidRPr="000C062E">
        <w:rPr>
          <w:lang w:val="fr-FR"/>
        </w:rPr>
        <w:t xml:space="preserve">10 mars 2023, le numéro 10 de l’hebdomadaire a été distribué; </w:t>
      </w:r>
      <w:r w:rsidRPr="000C062E">
        <w:rPr>
          <w:color w:val="000000"/>
          <w:lang w:val="fr-FR"/>
        </w:rPr>
        <w:t xml:space="preserve">que le </w:t>
      </w:r>
      <w:r w:rsidRPr="000C062E">
        <w:rPr>
          <w:lang w:val="fr-FR"/>
        </w:rPr>
        <w:t xml:space="preserve">14 mars 2023, à Varsovie, en sa qualité de président du conseil d’administration de Polski </w:t>
      </w:r>
      <w:r w:rsidRPr="000C062E">
        <w:rPr>
          <w:lang w:val="fr-FR"/>
        </w:rPr>
        <w:t>Koncern</w:t>
      </w:r>
      <w:r w:rsidRPr="000C062E">
        <w:rPr>
          <w:lang w:val="fr-FR"/>
        </w:rPr>
        <w:t xml:space="preserve"> </w:t>
      </w:r>
      <w:r w:rsidRPr="000C062E">
        <w:rPr>
          <w:lang w:val="fr-FR"/>
        </w:rPr>
        <w:t>Naftowy</w:t>
      </w:r>
      <w:r w:rsidRPr="000C062E">
        <w:rPr>
          <w:lang w:val="fr-FR"/>
        </w:rPr>
        <w:t xml:space="preserve"> ORLEN </w:t>
      </w:r>
      <w:r w:rsidRPr="000C062E">
        <w:rPr>
          <w:lang w:val="fr-FR"/>
        </w:rPr>
        <w:t>Spółka</w:t>
      </w:r>
      <w:r w:rsidRPr="000C062E">
        <w:rPr>
          <w:lang w:val="fr-FR"/>
        </w:rPr>
        <w:t xml:space="preserve"> </w:t>
      </w:r>
      <w:r w:rsidRPr="000C062E">
        <w:rPr>
          <w:lang w:val="fr-FR"/>
        </w:rPr>
        <w:t>Akcyjna</w:t>
      </w:r>
      <w:r w:rsidRPr="000C062E">
        <w:rPr>
          <w:lang w:val="fr-FR"/>
        </w:rPr>
        <w:t>, Daniel </w:t>
      </w:r>
      <w:r w:rsidRPr="000C062E">
        <w:rPr>
          <w:lang w:val="fr-FR"/>
        </w:rPr>
        <w:t>Obajtek</w:t>
      </w:r>
      <w:r w:rsidRPr="000C062E">
        <w:rPr>
          <w:lang w:val="fr-FR"/>
        </w:rPr>
        <w:t xml:space="preserve"> aurait demandé – en raison du fait que ce numéro de l’hebdomadaire montrait en couverture une image du pape Jean</w:t>
      </w:r>
      <w:r w:rsidRPr="000C062E">
        <w:rPr>
          <w:lang w:val="fr-FR"/>
        </w:rPr>
        <w:noBreakHyphen/>
        <w:t xml:space="preserve">Paul II tenant un crucifix sur lequel était accrochée une poupée nue à la place de Jésus et en raison du contenu du magazine qui s’exprimait de manière négative au sujet des mesures prises par le pape Jean-Paul II sur la question de l’exploitation sexuelle de mineurs par des membres du clergé – que le numéro 10/2023 de l’hebdomadaire «NIE» soit retiré d’urgence des rayons de tous les points de vente appartenant à Polski </w:t>
      </w:r>
      <w:r w:rsidRPr="000C062E">
        <w:rPr>
          <w:lang w:val="fr-FR"/>
        </w:rPr>
        <w:t>Koncern</w:t>
      </w:r>
      <w:r w:rsidRPr="000C062E">
        <w:rPr>
          <w:lang w:val="fr-FR"/>
        </w:rPr>
        <w:t xml:space="preserve"> </w:t>
      </w:r>
      <w:r w:rsidRPr="000C062E">
        <w:rPr>
          <w:lang w:val="fr-FR"/>
        </w:rPr>
        <w:t>Naftowy</w:t>
      </w:r>
      <w:r w:rsidRPr="000C062E">
        <w:rPr>
          <w:lang w:val="fr-FR"/>
        </w:rPr>
        <w:t xml:space="preserve"> ORLEN </w:t>
      </w:r>
      <w:r w:rsidRPr="000C062E">
        <w:rPr>
          <w:lang w:val="fr-FR"/>
        </w:rPr>
        <w:t>Spółka</w:t>
      </w:r>
      <w:r w:rsidRPr="000C062E">
        <w:rPr>
          <w:lang w:val="fr-FR"/>
        </w:rPr>
        <w:t xml:space="preserve"> </w:t>
      </w:r>
      <w:r w:rsidRPr="000C062E">
        <w:rPr>
          <w:lang w:val="fr-FR"/>
        </w:rPr>
        <w:t>Akcyjna</w:t>
      </w:r>
      <w:r w:rsidRPr="000C062E">
        <w:rPr>
          <w:lang w:val="fr-FR"/>
        </w:rPr>
        <w:t xml:space="preserve">, et qu’il ne soit plus proposé à la vente, limitant ainsi les achats du magazine que Polski </w:t>
      </w:r>
      <w:r w:rsidRPr="000C062E">
        <w:rPr>
          <w:lang w:val="fr-FR"/>
        </w:rPr>
        <w:t>Koncern</w:t>
      </w:r>
      <w:r w:rsidRPr="000C062E">
        <w:rPr>
          <w:lang w:val="fr-FR"/>
        </w:rPr>
        <w:t xml:space="preserve"> </w:t>
      </w:r>
      <w:r w:rsidRPr="000C062E">
        <w:rPr>
          <w:lang w:val="fr-FR"/>
        </w:rPr>
        <w:t>Naftowy</w:t>
      </w:r>
      <w:r w:rsidRPr="000C062E">
        <w:rPr>
          <w:lang w:val="fr-FR"/>
        </w:rPr>
        <w:t xml:space="preserve"> ORLEN </w:t>
      </w:r>
      <w:r w:rsidRPr="000C062E">
        <w:rPr>
          <w:lang w:val="fr-FR"/>
        </w:rPr>
        <w:t>Spółka</w:t>
      </w:r>
      <w:r w:rsidRPr="000C062E">
        <w:rPr>
          <w:lang w:val="fr-FR"/>
        </w:rPr>
        <w:t xml:space="preserve"> </w:t>
      </w:r>
      <w:r w:rsidRPr="000C062E">
        <w:rPr>
          <w:lang w:val="fr-FR"/>
        </w:rPr>
        <w:t>Akcyjna</w:t>
      </w:r>
      <w:r w:rsidRPr="000C062E">
        <w:rPr>
          <w:lang w:val="fr-FR"/>
        </w:rPr>
        <w:t xml:space="preserve"> s’était engagé à distribuer, ce qui constitue une infraction relevant de l’article 49 en lien avec l’article 3 de la loi sur la presse du 26 janvier 1984;</w:t>
      </w:r>
    </w:p>
    <w:p w:rsidR="007D350C" w:rsidRPr="000C062E" w:rsidP="003B08DC" w14:paraId="00B22433" w14:textId="77777777">
      <w:pPr>
        <w:pStyle w:val="NormalHanging12a"/>
        <w:widowControl/>
        <w:rPr>
          <w:shd w:val="clear" w:color="auto" w:fill="FFFFFF"/>
          <w:lang w:val="fr-FR"/>
        </w:rPr>
      </w:pPr>
      <w:r w:rsidRPr="000C062E">
        <w:rPr>
          <w:color w:val="000000"/>
          <w:lang w:val="fr-FR"/>
        </w:rPr>
        <w:t>D.</w:t>
      </w:r>
      <w:r w:rsidRPr="000C062E">
        <w:rPr>
          <w:color w:val="000000"/>
          <w:lang w:val="fr-FR"/>
        </w:rPr>
        <w:tab/>
      </w:r>
      <w:r w:rsidRPr="000C062E">
        <w:rPr>
          <w:lang w:val="fr-FR"/>
        </w:rPr>
        <w:t xml:space="preserve">considérant </w:t>
      </w:r>
      <w:r w:rsidRPr="000C062E">
        <w:rPr>
          <w:shd w:val="clear" w:color="auto" w:fill="FFFFFF"/>
          <w:lang w:val="fr-FR"/>
        </w:rPr>
        <w:t>que</w:t>
      </w:r>
      <w:r w:rsidRPr="000C062E">
        <w:rPr>
          <w:lang w:val="fr-FR"/>
        </w:rPr>
        <w:t xml:space="preserve"> Daniel </w:t>
      </w:r>
      <w:r w:rsidRPr="000C062E">
        <w:rPr>
          <w:lang w:val="fr-FR"/>
        </w:rPr>
        <w:t>Obajtek</w:t>
      </w:r>
      <w:r w:rsidRPr="000C062E">
        <w:rPr>
          <w:lang w:val="fr-FR"/>
        </w:rPr>
        <w:t xml:space="preserve"> </w:t>
      </w:r>
      <w:r w:rsidRPr="000C062E">
        <w:rPr>
          <w:shd w:val="clear" w:color="auto" w:fill="FFFFFF"/>
          <w:lang w:val="fr-FR"/>
        </w:rPr>
        <w:t xml:space="preserve">a été élu au Parlement européen lors des élections européennes de juin 2024 et </w:t>
      </w:r>
      <w:r w:rsidRPr="000C062E">
        <w:rPr>
          <w:lang w:val="fr-FR"/>
        </w:rPr>
        <w:t xml:space="preserve">qu’il </w:t>
      </w:r>
      <w:r w:rsidRPr="000C062E">
        <w:rPr>
          <w:shd w:val="clear" w:color="auto" w:fill="FFFFFF"/>
          <w:lang w:val="fr-FR"/>
        </w:rPr>
        <w:t>n’était donc pas député au Parlement européen au moment des infractions présumées, ni au moment de l’ouverture de l’enquête pénale pour les infractions présumées;</w:t>
      </w:r>
    </w:p>
    <w:p w:rsidR="007D350C" w:rsidRPr="000C062E" w:rsidP="003B08DC" w14:paraId="4D23618D" w14:textId="498B05D0">
      <w:pPr>
        <w:pStyle w:val="NormalHanging12a"/>
        <w:widowControl/>
        <w:rPr>
          <w:lang w:val="fr-FR"/>
        </w:rPr>
      </w:pPr>
      <w:r w:rsidRPr="000C062E">
        <w:rPr>
          <w:lang w:val="fr-FR"/>
        </w:rPr>
        <w:t>E.</w:t>
      </w:r>
      <w:r w:rsidRPr="000C062E">
        <w:rPr>
          <w:lang w:val="fr-FR"/>
        </w:rPr>
        <w:tab/>
        <w:t xml:space="preserve">considérant que les infractions présumées </w:t>
      </w:r>
      <w:r w:rsidR="003B08DC">
        <w:rPr>
          <w:lang w:val="fr-FR"/>
        </w:rPr>
        <w:t xml:space="preserve">ne sont pas constitutives d’une </w:t>
      </w:r>
      <w:r w:rsidRPr="000C062E" w:rsidR="003B08DC">
        <w:rPr>
          <w:lang w:val="fr-FR"/>
        </w:rPr>
        <w:t xml:space="preserve">opinion ou </w:t>
      </w:r>
      <w:r w:rsidR="003B08DC">
        <w:rPr>
          <w:lang w:val="fr-FR"/>
        </w:rPr>
        <w:t>d’un</w:t>
      </w:r>
      <w:r w:rsidRPr="000C062E" w:rsidR="003B08DC">
        <w:rPr>
          <w:lang w:val="fr-FR"/>
        </w:rPr>
        <w:t xml:space="preserve"> vote émis par Daniel </w:t>
      </w:r>
      <w:r w:rsidRPr="000C062E" w:rsidR="003B08DC">
        <w:rPr>
          <w:lang w:val="fr-FR"/>
        </w:rPr>
        <w:t>Obajtek</w:t>
      </w:r>
      <w:r w:rsidRPr="000C062E" w:rsidR="003B08DC">
        <w:rPr>
          <w:lang w:val="fr-FR"/>
        </w:rPr>
        <w:t xml:space="preserve"> dans l’exercice de ses fonctions au sens de l’article 8 du protocole n</w:t>
      </w:r>
      <w:r w:rsidRPr="000C062E" w:rsidR="003B08DC">
        <w:rPr>
          <w:vertAlign w:val="superscript"/>
          <w:lang w:val="fr-FR"/>
        </w:rPr>
        <w:t>o</w:t>
      </w:r>
      <w:r w:rsidRPr="000C062E" w:rsidR="003B08DC">
        <w:rPr>
          <w:lang w:val="fr-FR"/>
        </w:rPr>
        <w:t xml:space="preserve"> 7 sur les privilèges et immunités de l’Union européenne </w:t>
      </w:r>
      <w:r w:rsidRPr="000C062E">
        <w:rPr>
          <w:lang w:val="fr-FR"/>
        </w:rPr>
        <w:t xml:space="preserve">et </w:t>
      </w:r>
      <w:r w:rsidR="003B08DC">
        <w:rPr>
          <w:lang w:val="fr-FR"/>
        </w:rPr>
        <w:t xml:space="preserve">que </w:t>
      </w:r>
      <w:r w:rsidRPr="000C062E">
        <w:rPr>
          <w:lang w:val="fr-FR"/>
        </w:rPr>
        <w:t>la demande de levée d</w:t>
      </w:r>
      <w:r w:rsidR="003B08DC">
        <w:rPr>
          <w:lang w:val="fr-FR"/>
        </w:rPr>
        <w:t>e l</w:t>
      </w:r>
      <w:r w:rsidRPr="000C062E">
        <w:rPr>
          <w:lang w:val="fr-FR"/>
        </w:rPr>
        <w:t xml:space="preserve">’immunité </w:t>
      </w:r>
      <w:r w:rsidR="003B08DC">
        <w:rPr>
          <w:lang w:val="fr-FR"/>
        </w:rPr>
        <w:t xml:space="preserve">de </w:t>
      </w:r>
      <w:r w:rsidRPr="000C062E" w:rsidR="003B08DC">
        <w:rPr>
          <w:lang w:val="fr-FR"/>
        </w:rPr>
        <w:t>Daniel </w:t>
      </w:r>
      <w:r w:rsidRPr="000C062E" w:rsidR="003B08DC">
        <w:rPr>
          <w:lang w:val="fr-FR"/>
        </w:rPr>
        <w:t>Obajtek</w:t>
      </w:r>
      <w:r w:rsidRPr="000C062E" w:rsidR="003B08DC">
        <w:rPr>
          <w:lang w:val="fr-FR"/>
        </w:rPr>
        <w:t xml:space="preserve"> </w:t>
      </w:r>
      <w:r w:rsidRPr="000C062E">
        <w:rPr>
          <w:lang w:val="fr-FR"/>
        </w:rPr>
        <w:t>qui en découle n</w:t>
      </w:r>
      <w:r w:rsidR="003B08DC">
        <w:rPr>
          <w:lang w:val="fr-FR"/>
        </w:rPr>
        <w:t>’est</w:t>
      </w:r>
      <w:r w:rsidRPr="000C062E">
        <w:rPr>
          <w:lang w:val="fr-FR"/>
        </w:rPr>
        <w:t xml:space="preserve"> pas liée </w:t>
      </w:r>
      <w:r w:rsidR="003B08DC">
        <w:rPr>
          <w:lang w:val="fr-FR"/>
        </w:rPr>
        <w:t>à une telle opinion ou à un tel vote</w:t>
      </w:r>
      <w:r w:rsidRPr="000C062E">
        <w:rPr>
          <w:lang w:val="fr-FR"/>
        </w:rPr>
        <w:t>;</w:t>
      </w:r>
    </w:p>
    <w:p w:rsidR="007D350C" w:rsidRPr="000C062E" w:rsidP="003B08DC" w14:paraId="61623613" w14:textId="1EC6FE0F">
      <w:pPr>
        <w:pStyle w:val="NormalHanging12a"/>
        <w:widowControl/>
        <w:rPr>
          <w:lang w:val="fr-FR"/>
        </w:rPr>
      </w:pPr>
      <w:r w:rsidRPr="000C062E">
        <w:rPr>
          <w:lang w:val="fr-FR"/>
        </w:rPr>
        <w:t>F.</w:t>
      </w:r>
      <w:r w:rsidRPr="000C062E">
        <w:rPr>
          <w:lang w:val="fr-FR"/>
        </w:rPr>
        <w:tab/>
        <w:t>considérant que l’article 9, premier alinéa, point a), du protocole n</w:t>
      </w:r>
      <w:r w:rsidRPr="000C062E">
        <w:rPr>
          <w:vertAlign w:val="superscript"/>
          <w:lang w:val="fr-FR"/>
        </w:rPr>
        <w:t>o</w:t>
      </w:r>
      <w:r w:rsidRPr="000C062E">
        <w:rPr>
          <w:lang w:val="fr-FR"/>
        </w:rPr>
        <w:t> 7 sur les privilèges et immunités de l’Union européenne dispose que</w:t>
      </w:r>
      <w:r w:rsidR="003B08DC">
        <w:rPr>
          <w:lang w:val="fr-FR"/>
        </w:rPr>
        <w:t>, pendant la durée des sessions du Parlement européen,</w:t>
      </w:r>
      <w:r w:rsidRPr="000C062E">
        <w:rPr>
          <w:lang w:val="fr-FR"/>
        </w:rPr>
        <w:t xml:space="preserve"> les membres d</w:t>
      </w:r>
      <w:r w:rsidR="003B08DC">
        <w:rPr>
          <w:lang w:val="fr-FR"/>
        </w:rPr>
        <w:t>e</w:t>
      </w:r>
      <w:r w:rsidRPr="000C062E">
        <w:rPr>
          <w:lang w:val="fr-FR"/>
        </w:rPr>
        <w:t xml:space="preserve"> </w:t>
      </w:r>
      <w:r w:rsidR="003B08DC">
        <w:rPr>
          <w:lang w:val="fr-FR"/>
        </w:rPr>
        <w:t>celui-ci</w:t>
      </w:r>
      <w:r w:rsidRPr="000C062E">
        <w:rPr>
          <w:lang w:val="fr-FR"/>
        </w:rPr>
        <w:t xml:space="preserve"> bénéficient, sur leur territoire national, des immunités reconnues aux membres du parlement de leur pays;</w:t>
      </w:r>
    </w:p>
    <w:p w:rsidR="007D350C" w:rsidRPr="000C062E" w:rsidP="003B08DC" w14:paraId="0FC16E6B" w14:textId="77777777">
      <w:pPr>
        <w:pStyle w:val="NormalHanging12a"/>
        <w:widowControl/>
        <w:rPr>
          <w:lang w:val="fr-FR"/>
        </w:rPr>
      </w:pPr>
      <w:r w:rsidRPr="000C062E">
        <w:rPr>
          <w:lang w:val="fr-FR"/>
        </w:rPr>
        <w:t>G.</w:t>
      </w:r>
      <w:r w:rsidRPr="000C062E">
        <w:rPr>
          <w:lang w:val="fr-FR"/>
        </w:rPr>
        <w:tab/>
        <w:t xml:space="preserve">considérant que, en vertu de l’article 105, paragraphes 2 et 5, de la Constitution de la République de Pologne, un député ne peut encourir de responsabilité pénale qu’avec l’autorisation du </w:t>
      </w:r>
      <w:r w:rsidRPr="000C062E">
        <w:rPr>
          <w:i/>
          <w:lang w:val="fr-FR"/>
        </w:rPr>
        <w:t>Sejm</w:t>
      </w:r>
      <w:r w:rsidRPr="000C062E">
        <w:rPr>
          <w:lang w:val="fr-FR"/>
        </w:rPr>
        <w:t xml:space="preserve">, depuis la date de la publication des résultats des élections jusqu’à la date de l’expiration de son mandat, et qu’il ne peut être arrêté ou détenu qu’avec l’autorisation du </w:t>
      </w:r>
      <w:r w:rsidRPr="000C062E">
        <w:rPr>
          <w:i/>
          <w:lang w:val="fr-FR"/>
        </w:rPr>
        <w:t>Sejm</w:t>
      </w:r>
      <w:r w:rsidRPr="000C062E">
        <w:rPr>
          <w:lang w:val="fr-FR"/>
        </w:rPr>
        <w:t>, sauf en cas de flagrant délit ou lorsque sa détention est indispensable au déroulement convenable de la procédure;</w:t>
      </w:r>
    </w:p>
    <w:p w:rsidR="007D350C" w:rsidRPr="000C062E" w:rsidP="003B08DC" w14:paraId="0AB5A77C" w14:textId="77777777">
      <w:pPr>
        <w:pStyle w:val="NormalHanging12a"/>
        <w:widowControl/>
        <w:rPr>
          <w:lang w:val="fr-FR"/>
        </w:rPr>
      </w:pPr>
      <w:r w:rsidRPr="000C062E">
        <w:rPr>
          <w:lang w:val="fr-FR"/>
        </w:rPr>
        <w:t>H.</w:t>
      </w:r>
      <w:r w:rsidRPr="000C062E">
        <w:rPr>
          <w:lang w:val="fr-FR"/>
        </w:rPr>
        <w:tab/>
        <w:t>considérant que, conformément à l’article 5, paragraphe 2, de son règlement intérieur, l’immunité parlementaire n’est pas un privilège personnel du député, mais une garantie d’indépendance du Parlement dans son ensemble et de ses députés;</w:t>
      </w:r>
    </w:p>
    <w:p w:rsidR="007D350C" w:rsidRPr="000C062E" w:rsidP="003B08DC" w14:paraId="75E704C1" w14:textId="77777777">
      <w:pPr>
        <w:pStyle w:val="NormalHanging12a"/>
        <w:widowControl/>
        <w:rPr>
          <w:lang w:val="fr-FR"/>
        </w:rPr>
      </w:pPr>
      <w:r w:rsidRPr="000C062E">
        <w:rPr>
          <w:lang w:val="fr-FR"/>
        </w:rPr>
        <w:t>I.</w:t>
      </w:r>
      <w:r w:rsidRPr="000C062E">
        <w:rPr>
          <w:lang w:val="fr-FR"/>
        </w:rPr>
        <w:tab/>
        <w:t>considérant que l’immunité prévue au protocole nº 7 sur les privilèges et immunités de l’Union européenne a pour objet de protéger le Parlement et ses députés contre des procédures judiciaires visant des activités menées dans l’exercice des fonctions parlementaires et indissociables de celles-ci;</w:t>
      </w:r>
    </w:p>
    <w:p w:rsidR="007D350C" w:rsidRPr="000C062E" w:rsidP="003B08DC" w14:paraId="3AAE4F9B" w14:textId="3E1124FA">
      <w:pPr>
        <w:pStyle w:val="NormalHanging12a"/>
        <w:widowControl/>
        <w:rPr>
          <w:lang w:val="fr-FR"/>
        </w:rPr>
      </w:pPr>
      <w:r w:rsidRPr="000C062E">
        <w:rPr>
          <w:lang w:val="fr-FR"/>
        </w:rPr>
        <w:t>J.</w:t>
      </w:r>
      <w:r w:rsidRPr="000C062E">
        <w:rPr>
          <w:lang w:val="fr-FR"/>
        </w:rPr>
        <w:tab/>
        <w:t xml:space="preserve">considérant que, en l’espèce, le Parlement n’a trouvé aucun élément de preuve établissant l’existence d’un </w:t>
      </w:r>
      <w:r w:rsidRPr="000C062E">
        <w:rPr>
          <w:i/>
          <w:lang w:val="fr-FR"/>
        </w:rPr>
        <w:t>fumus</w:t>
      </w:r>
      <w:r w:rsidRPr="000C062E">
        <w:rPr>
          <w:i/>
          <w:lang w:val="fr-FR"/>
        </w:rPr>
        <w:t> </w:t>
      </w:r>
      <w:r w:rsidRPr="000C062E">
        <w:rPr>
          <w:i/>
          <w:lang w:val="fr-FR"/>
        </w:rPr>
        <w:t>persecutionis</w:t>
      </w:r>
      <w:r w:rsidRPr="000C062E">
        <w:rPr>
          <w:lang w:val="fr-FR"/>
        </w:rPr>
        <w:t xml:space="preserve">, c’est-à-dire </w:t>
      </w:r>
      <w:r w:rsidR="008C0515">
        <w:rPr>
          <w:lang w:val="fr-FR"/>
        </w:rPr>
        <w:t>qu’il n</w:t>
      </w:r>
      <w:r w:rsidR="001E6C3B">
        <w:rPr>
          <w:lang w:val="fr-FR"/>
        </w:rPr>
        <w:t xml:space="preserve">’apparaît </w:t>
      </w:r>
      <w:r w:rsidR="008C0515">
        <w:rPr>
          <w:lang w:val="fr-FR"/>
        </w:rPr>
        <w:t>pas</w:t>
      </w:r>
      <w:r w:rsidRPr="000C062E">
        <w:rPr>
          <w:lang w:val="fr-FR"/>
        </w:rPr>
        <w:t xml:space="preserve"> que les poursuites en question ont été engagées dans l’intention de nuire à l’activité politique de Daniel </w:t>
      </w:r>
      <w:r w:rsidRPr="000C062E">
        <w:rPr>
          <w:lang w:val="fr-FR"/>
        </w:rPr>
        <w:t>Obajtek</w:t>
      </w:r>
      <w:r w:rsidRPr="000C062E">
        <w:rPr>
          <w:lang w:val="fr-FR"/>
        </w:rPr>
        <w:t xml:space="preserve"> en tant que député au Parlement européen</w:t>
      </w:r>
      <w:r w:rsidR="008C0515">
        <w:rPr>
          <w:lang w:val="fr-FR"/>
        </w:rPr>
        <w:t xml:space="preserve"> et donc à l’indépendance du Parlement</w:t>
      </w:r>
      <w:r w:rsidRPr="000C062E">
        <w:rPr>
          <w:lang w:val="fr-FR"/>
        </w:rPr>
        <w:t>;</w:t>
      </w:r>
    </w:p>
    <w:p w:rsidR="007D350C" w:rsidRPr="000C062E" w:rsidP="003B08DC" w14:paraId="4C30D1F0" w14:textId="77777777">
      <w:pPr>
        <w:pStyle w:val="NormalHanging12a"/>
        <w:widowControl/>
        <w:rPr>
          <w:lang w:val="fr-FR"/>
        </w:rPr>
      </w:pPr>
      <w:r w:rsidRPr="000C062E">
        <w:rPr>
          <w:lang w:val="fr-FR"/>
        </w:rPr>
        <w:t>K.</w:t>
      </w:r>
      <w:r w:rsidRPr="000C062E">
        <w:rPr>
          <w:lang w:val="fr-FR"/>
        </w:rPr>
        <w:tab/>
        <w:t>considérant, d’une part, que le Parlement ne saurait être assimilé à un tribunal et, d’autre part, que le député ne saurait, dans le contexte d’une procédure de levée d’immunité, être considéré comme un «accusé»</w:t>
      </w:r>
      <w:r>
        <w:rPr>
          <w:rStyle w:val="FootnoteReference"/>
          <w:lang w:val="fr-FR"/>
        </w:rPr>
        <w:footnoteReference w:id="3"/>
      </w:r>
      <w:r w:rsidRPr="000C062E">
        <w:rPr>
          <w:lang w:val="fr-FR"/>
        </w:rPr>
        <w:t>;</w:t>
      </w:r>
    </w:p>
    <w:p w:rsidR="007D350C" w:rsidRPr="000C062E" w:rsidP="000A1B3A" w14:paraId="07F2BBDB" w14:textId="77777777">
      <w:pPr>
        <w:pStyle w:val="NormalHanging12a"/>
        <w:widowControl/>
        <w:rPr>
          <w:lang w:val="fr-FR"/>
        </w:rPr>
      </w:pPr>
      <w:r w:rsidRPr="000C062E">
        <w:rPr>
          <w:lang w:val="fr-FR"/>
        </w:rPr>
        <w:t>1.</w:t>
      </w:r>
      <w:r w:rsidRPr="000C062E">
        <w:rPr>
          <w:lang w:val="fr-FR"/>
        </w:rPr>
        <w:tab/>
        <w:t>décide de lever l’immunité de Daniel </w:t>
      </w:r>
      <w:r w:rsidRPr="000C062E">
        <w:rPr>
          <w:lang w:val="fr-FR"/>
        </w:rPr>
        <w:t>Obajtek</w:t>
      </w:r>
      <w:r w:rsidRPr="000C062E">
        <w:rPr>
          <w:lang w:val="fr-FR"/>
        </w:rPr>
        <w:t>;</w:t>
      </w:r>
    </w:p>
    <w:p w:rsidR="00E365E1" w:rsidRPr="000C062E" w:rsidP="0079382E" w14:paraId="34DA6B83" w14:textId="078253FD">
      <w:pPr>
        <w:ind w:left="567" w:hanging="567"/>
      </w:pPr>
      <w:r w:rsidRPr="000C062E">
        <w:t>2.</w:t>
      </w:r>
      <w:r w:rsidRPr="000C062E">
        <w:tab/>
        <w:t>charge sa Présidente de transmettre immédiatement la présente décision et le rapport de sa commission compétente à l’autorité compétente de la République de Pologne et à Daniel </w:t>
      </w:r>
      <w:r w:rsidRPr="000C062E">
        <w:t>Obajtek</w:t>
      </w:r>
      <w:r w:rsidRPr="000C062E">
        <w:t>.</w:t>
      </w:r>
    </w:p>
    <w:sectPr w:rsidSect="000C062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062E" w14:paraId="464562A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062E" w14:paraId="345CBA5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062E" w14:paraId="48A205B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6042C" w:rsidRPr="000C062E" w14:paraId="53244D8B" w14:textId="77777777">
      <w:r w:rsidRPr="000C062E">
        <w:separator/>
      </w:r>
    </w:p>
  </w:footnote>
  <w:footnote w:type="continuationSeparator" w:id="1">
    <w:p w:rsidR="0086042C" w:rsidRPr="000C062E" w14:paraId="7C165BCD" w14:textId="77777777">
      <w:r w:rsidRPr="000C062E">
        <w:continuationSeparator/>
      </w:r>
    </w:p>
  </w:footnote>
  <w:footnote w:id="2">
    <w:p w:rsidR="007D350C" w:rsidRPr="000C062E" w:rsidP="000C062E" w14:paraId="368053DC" w14:textId="3184CE05">
      <w:pPr>
        <w:pStyle w:val="FootnoteText"/>
        <w:ind w:left="567" w:hanging="567"/>
        <w:rPr>
          <w:sz w:val="24"/>
        </w:rPr>
      </w:pPr>
      <w:r w:rsidRPr="000C062E">
        <w:rPr>
          <w:rStyle w:val="FootnoteReference"/>
          <w:sz w:val="24"/>
        </w:rPr>
        <w:footnoteRef/>
      </w:r>
      <w:r w:rsidRPr="000C062E" w:rsidR="000C062E">
        <w:rPr>
          <w:sz w:val="24"/>
        </w:rPr>
        <w:t xml:space="preserve"> </w:t>
      </w:r>
      <w:r w:rsidRPr="000C062E" w:rsidR="000C062E">
        <w:rPr>
          <w:sz w:val="24"/>
        </w:rPr>
        <w:tab/>
      </w:r>
      <w:r w:rsidRPr="000C062E">
        <w:rPr>
          <w:sz w:val="24"/>
        </w:rPr>
        <w:t xml:space="preserve">Arrêt de la Cour de justice du 21 octobre 2008, Marra/De Gregorio et </w:t>
      </w:r>
      <w:r w:rsidRPr="000C062E">
        <w:rPr>
          <w:sz w:val="24"/>
        </w:rPr>
        <w:t>Clemente</w:t>
      </w:r>
      <w:r w:rsidRPr="000C062E">
        <w:rPr>
          <w:sz w:val="24"/>
        </w:rPr>
        <w:t xml:space="preserve">, C-200/07 et C-201/07, ECLI:EU:C:2008:579; arrêt du Tribunal du 19 mars 2010, </w:t>
      </w:r>
      <w:r w:rsidRPr="000C062E">
        <w:rPr>
          <w:sz w:val="24"/>
        </w:rPr>
        <w:t>Gollnisch</w:t>
      </w:r>
      <w:r w:rsidRPr="000C062E">
        <w:rPr>
          <w:sz w:val="24"/>
        </w:rPr>
        <w:t xml:space="preserve">/Parlement, T-42/06, ECLI:EU:T:2010:102; arrêt de la Cour de justice du 6 septembre 2011, </w:t>
      </w:r>
      <w:r w:rsidRPr="000C062E">
        <w:rPr>
          <w:sz w:val="24"/>
        </w:rPr>
        <w:t>Patriciello</w:t>
      </w:r>
      <w:r w:rsidRPr="000C062E">
        <w:rPr>
          <w:sz w:val="24"/>
        </w:rPr>
        <w:t xml:space="preserve">, C-163/10, ECLI: EU:C:2011:543; arrêt du Tribunal du 17 janvier 2013, </w:t>
      </w:r>
      <w:r w:rsidRPr="000C062E">
        <w:rPr>
          <w:sz w:val="24"/>
        </w:rPr>
        <w:t>Gollnisch</w:t>
      </w:r>
      <w:r w:rsidRPr="000C062E">
        <w:rPr>
          <w:sz w:val="24"/>
        </w:rPr>
        <w:t xml:space="preserve">/Parlement, T-346/11 et T-347/11, ECLI:EU:T:2013:23; arrêt de la Cour de justice du 19 décembre 2019, </w:t>
      </w:r>
      <w:r w:rsidRPr="000C062E">
        <w:rPr>
          <w:sz w:val="24"/>
        </w:rPr>
        <w:t>Junqueras</w:t>
      </w:r>
      <w:r w:rsidRPr="000C062E">
        <w:rPr>
          <w:sz w:val="24"/>
        </w:rPr>
        <w:t xml:space="preserve"> Vies, C-502/19, ECLI:EU:C:2019:1115.</w:t>
      </w:r>
    </w:p>
  </w:footnote>
  <w:footnote w:id="3">
    <w:p w:rsidR="007D350C" w:rsidRPr="000C062E" w:rsidP="000C062E" w14:paraId="741DDDB5" w14:textId="5AF42024">
      <w:pPr>
        <w:pStyle w:val="FootnoteText"/>
        <w:ind w:left="567" w:hanging="567"/>
        <w:rPr>
          <w:sz w:val="24"/>
        </w:rPr>
      </w:pPr>
      <w:r w:rsidRPr="000C062E">
        <w:rPr>
          <w:rStyle w:val="FootnoteReference"/>
          <w:sz w:val="24"/>
        </w:rPr>
        <w:footnoteRef/>
      </w:r>
      <w:r w:rsidRPr="000C062E" w:rsidR="000C062E">
        <w:rPr>
          <w:sz w:val="24"/>
        </w:rPr>
        <w:t xml:space="preserve"> </w:t>
      </w:r>
      <w:r w:rsidRPr="000C062E" w:rsidR="000C062E">
        <w:rPr>
          <w:sz w:val="24"/>
        </w:rPr>
        <w:tab/>
      </w:r>
      <w:r w:rsidRPr="000C062E">
        <w:rPr>
          <w:sz w:val="24"/>
        </w:rPr>
        <w:t>Arrêt du Tribunal du 30 avril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062E" w14:paraId="5AA8603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062E" w14:paraId="5589186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062E" w14:paraId="45D5DAC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7647215">
    <w:abstractNumId w:val="9"/>
  </w:num>
  <w:num w:numId="2" w16cid:durableId="909386175">
    <w:abstractNumId w:val="9"/>
  </w:num>
  <w:num w:numId="3" w16cid:durableId="1172525791">
    <w:abstractNumId w:val="7"/>
  </w:num>
  <w:num w:numId="4" w16cid:durableId="461658923">
    <w:abstractNumId w:val="7"/>
  </w:num>
  <w:num w:numId="5" w16cid:durableId="26224832">
    <w:abstractNumId w:val="6"/>
  </w:num>
  <w:num w:numId="6" w16cid:durableId="1921985895">
    <w:abstractNumId w:val="6"/>
  </w:num>
  <w:num w:numId="7" w16cid:durableId="935211242">
    <w:abstractNumId w:val="5"/>
  </w:num>
  <w:num w:numId="8" w16cid:durableId="1616789334">
    <w:abstractNumId w:val="5"/>
  </w:num>
  <w:num w:numId="9" w16cid:durableId="896935611">
    <w:abstractNumId w:val="4"/>
  </w:num>
  <w:num w:numId="10" w16cid:durableId="837119238">
    <w:abstractNumId w:val="4"/>
  </w:num>
  <w:num w:numId="11" w16cid:durableId="1911647312">
    <w:abstractNumId w:val="8"/>
  </w:num>
  <w:num w:numId="12" w16cid:durableId="778526326">
    <w:abstractNumId w:val="8"/>
  </w:num>
  <w:num w:numId="13" w16cid:durableId="1243028879">
    <w:abstractNumId w:val="3"/>
  </w:num>
  <w:num w:numId="14" w16cid:durableId="211043140">
    <w:abstractNumId w:val="3"/>
  </w:num>
  <w:num w:numId="15" w16cid:durableId="2134787265">
    <w:abstractNumId w:val="2"/>
  </w:num>
  <w:num w:numId="16" w16cid:durableId="673187009">
    <w:abstractNumId w:val="2"/>
  </w:num>
  <w:num w:numId="17" w16cid:durableId="672996257">
    <w:abstractNumId w:val="1"/>
  </w:num>
  <w:num w:numId="18" w16cid:durableId="775756265">
    <w:abstractNumId w:val="1"/>
  </w:num>
  <w:num w:numId="19" w16cid:durableId="165559496">
    <w:abstractNumId w:val="0"/>
  </w:num>
  <w:num w:numId="20" w16cid:durableId="414206015">
    <w:abstractNumId w:val="0"/>
  </w:num>
  <w:num w:numId="21" w16cid:durableId="704405752">
    <w:abstractNumId w:val="9"/>
  </w:num>
  <w:num w:numId="22" w16cid:durableId="1144354305">
    <w:abstractNumId w:val="7"/>
  </w:num>
  <w:num w:numId="23" w16cid:durableId="907496849">
    <w:abstractNumId w:val="6"/>
  </w:num>
  <w:num w:numId="24" w16cid:durableId="1202278892">
    <w:abstractNumId w:val="5"/>
  </w:num>
  <w:num w:numId="25" w16cid:durableId="1667171070">
    <w:abstractNumId w:val="4"/>
  </w:num>
  <w:num w:numId="26" w16cid:durableId="670257885">
    <w:abstractNumId w:val="8"/>
  </w:num>
  <w:num w:numId="27" w16cid:durableId="975909726">
    <w:abstractNumId w:val="3"/>
  </w:num>
  <w:num w:numId="28" w16cid:durableId="1806194292">
    <w:abstractNumId w:val="2"/>
  </w:num>
  <w:num w:numId="29" w16cid:durableId="365377368">
    <w:abstractNumId w:val="1"/>
  </w:num>
  <w:num w:numId="30" w16cid:durableId="1353460101">
    <w:abstractNumId w:val="0"/>
  </w:num>
  <w:num w:numId="31" w16cid:durableId="479007486">
    <w:abstractNumId w:val="9"/>
  </w:num>
  <w:num w:numId="32" w16cid:durableId="506991153">
    <w:abstractNumId w:val="7"/>
  </w:num>
  <w:num w:numId="33" w16cid:durableId="1092160264">
    <w:abstractNumId w:val="6"/>
  </w:num>
  <w:num w:numId="34" w16cid:durableId="1695615820">
    <w:abstractNumId w:val="5"/>
  </w:num>
  <w:num w:numId="35" w16cid:durableId="1204947781">
    <w:abstractNumId w:val="4"/>
  </w:num>
  <w:num w:numId="36" w16cid:durableId="473257363">
    <w:abstractNumId w:val="8"/>
  </w:num>
  <w:num w:numId="37" w16cid:durableId="494348242">
    <w:abstractNumId w:val="3"/>
  </w:num>
  <w:num w:numId="38" w16cid:durableId="1176262282">
    <w:abstractNumId w:val="2"/>
  </w:num>
  <w:num w:numId="39" w16cid:durableId="786001282">
    <w:abstractNumId w:val="1"/>
  </w:num>
  <w:num w:numId="40" w16cid:durableId="615714947">
    <w:abstractNumId w:val="0"/>
  </w:num>
  <w:num w:numId="41" w16cid:durableId="1774208103">
    <w:abstractNumId w:val="10"/>
  </w:num>
  <w:num w:numId="42" w16cid:durableId="165681619">
    <w:abstractNumId w:val="10"/>
  </w:num>
  <w:num w:numId="43" w16cid:durableId="358162965">
    <w:abstractNumId w:val="10"/>
  </w:num>
  <w:num w:numId="44" w16cid:durableId="18928120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42C"/>
    <w:rsid w:val="00002272"/>
    <w:rsid w:val="000400C6"/>
    <w:rsid w:val="00064002"/>
    <w:rsid w:val="000677B9"/>
    <w:rsid w:val="000831BA"/>
    <w:rsid w:val="000A1B3A"/>
    <w:rsid w:val="000A42CC"/>
    <w:rsid w:val="000C062E"/>
    <w:rsid w:val="000E7DD9"/>
    <w:rsid w:val="000F5CDB"/>
    <w:rsid w:val="0010095E"/>
    <w:rsid w:val="00125B37"/>
    <w:rsid w:val="00187494"/>
    <w:rsid w:val="00196086"/>
    <w:rsid w:val="001E6C3B"/>
    <w:rsid w:val="001F32AE"/>
    <w:rsid w:val="002767FF"/>
    <w:rsid w:val="002B18FE"/>
    <w:rsid w:val="002B5493"/>
    <w:rsid w:val="00343214"/>
    <w:rsid w:val="00361C00"/>
    <w:rsid w:val="00395FA1"/>
    <w:rsid w:val="003B08DC"/>
    <w:rsid w:val="003E15D4"/>
    <w:rsid w:val="00411CCE"/>
    <w:rsid w:val="0041666E"/>
    <w:rsid w:val="00421060"/>
    <w:rsid w:val="00471C19"/>
    <w:rsid w:val="004867E3"/>
    <w:rsid w:val="00486811"/>
    <w:rsid w:val="00494A28"/>
    <w:rsid w:val="004C0004"/>
    <w:rsid w:val="004C5D52"/>
    <w:rsid w:val="0050519A"/>
    <w:rsid w:val="005072A1"/>
    <w:rsid w:val="00514517"/>
    <w:rsid w:val="00545827"/>
    <w:rsid w:val="00560270"/>
    <w:rsid w:val="005C2568"/>
    <w:rsid w:val="005F1B17"/>
    <w:rsid w:val="005F713D"/>
    <w:rsid w:val="006037C0"/>
    <w:rsid w:val="006631B6"/>
    <w:rsid w:val="00680577"/>
    <w:rsid w:val="006F74FA"/>
    <w:rsid w:val="00731ADD"/>
    <w:rsid w:val="00734777"/>
    <w:rsid w:val="00747932"/>
    <w:rsid w:val="00751A4A"/>
    <w:rsid w:val="00756632"/>
    <w:rsid w:val="00762C74"/>
    <w:rsid w:val="00786EC0"/>
    <w:rsid w:val="0079382E"/>
    <w:rsid w:val="007D1690"/>
    <w:rsid w:val="007D350C"/>
    <w:rsid w:val="007E22AD"/>
    <w:rsid w:val="00817416"/>
    <w:rsid w:val="00842779"/>
    <w:rsid w:val="0086042C"/>
    <w:rsid w:val="00865F67"/>
    <w:rsid w:val="00881A7B"/>
    <w:rsid w:val="008840E5"/>
    <w:rsid w:val="00887B3E"/>
    <w:rsid w:val="008A689F"/>
    <w:rsid w:val="008C0515"/>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6A81"/>
    <w:rsid w:val="00BD48FE"/>
    <w:rsid w:val="00BD7BD8"/>
    <w:rsid w:val="00BE5EDB"/>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6C42"/>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15/2026"/>
    <w:docVar w:name="dvlangue" w:val="FR"/>
    <w:docVar w:name="dvnumam" w:val="0"/>
    <w:docVar w:name="dvpe" w:val="786.910"/>
    <w:docVar w:name="dvrapporteur" w:val="Rapporteure: "/>
    <w:docVar w:name="dvtitre" w:val="Décision du Parlement européen du ... 2026 sur la demande de levée de l’immunité de Daniel Obajtek(2025/2172(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A59640D"/>
  <w15:chartTrackingRefBased/>
  <w15:docId w15:val="{219161E0-F6FB-45D1-B468-FA51F0267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D350C"/>
    <w:pPr>
      <w:spacing w:after="240"/>
      <w:ind w:left="567" w:hanging="567"/>
    </w:pPr>
    <w:rPr>
      <w:lang w:val="en-GB"/>
    </w:rPr>
  </w:style>
  <w:style w:type="paragraph" w:customStyle="1" w:styleId="EPComma">
    <w:name w:val="EPComma"/>
    <w:basedOn w:val="Normal"/>
    <w:rsid w:val="007D350C"/>
    <w:pPr>
      <w:spacing w:before="480" w:after="240"/>
    </w:pPr>
    <w:rPr>
      <w:lang w:val="en-GB"/>
    </w:rPr>
  </w:style>
  <w:style w:type="paragraph" w:styleId="Revision">
    <w:name w:val="Revision"/>
    <w:hidden/>
    <w:uiPriority w:val="99"/>
    <w:semiHidden/>
    <w:rsid w:val="000A1B3A"/>
    <w:rPr>
      <w:sz w:val="24"/>
      <w:lang w:val="fr-FR"/>
    </w:rPr>
  </w:style>
  <w:style w:type="character" w:styleId="CommentReference">
    <w:name w:val="annotation reference"/>
    <w:basedOn w:val="DefaultParagraphFont"/>
    <w:rsid w:val="000F5CDB"/>
    <w:rPr>
      <w:sz w:val="16"/>
      <w:szCs w:val="16"/>
    </w:rPr>
  </w:style>
  <w:style w:type="paragraph" w:styleId="CommentText">
    <w:name w:val="annotation text"/>
    <w:basedOn w:val="Normal"/>
    <w:link w:val="CommentTextChar"/>
    <w:rsid w:val="000F5CDB"/>
    <w:rPr>
      <w:sz w:val="20"/>
    </w:rPr>
  </w:style>
  <w:style w:type="character" w:customStyle="1" w:styleId="CommentTextChar">
    <w:name w:val="Comment Text Char"/>
    <w:basedOn w:val="DefaultParagraphFont"/>
    <w:link w:val="CommentText"/>
    <w:rsid w:val="000F5CDB"/>
    <w:rPr>
      <w:lang w:val="fr-FR"/>
    </w:rPr>
  </w:style>
  <w:style w:type="paragraph" w:styleId="CommentSubject">
    <w:name w:val="annotation subject"/>
    <w:basedOn w:val="CommentText"/>
    <w:next w:val="CommentText"/>
    <w:link w:val="CommentSubjectChar"/>
    <w:rsid w:val="000F5CDB"/>
    <w:rPr>
      <w:b/>
      <w:bCs/>
    </w:rPr>
  </w:style>
  <w:style w:type="character" w:customStyle="1" w:styleId="CommentSubjectChar">
    <w:name w:val="Comment Subject Char"/>
    <w:basedOn w:val="CommentTextChar"/>
    <w:link w:val="CommentSubject"/>
    <w:rsid w:val="000F5CDB"/>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1080</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2026-04-28T10:41:00Z</dcterms:created>
  <dcterms:modified xsi:type="dcterms:W3CDTF">2026-04-28T10:41:00Z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A10-0115/2026</vt:lpwstr>
  </property>
  <property fmtid="{D5CDD505-2E9C-101B-9397-08002B2CF9AE}" pid="4" name="&lt;Type&gt;">
    <vt:lpwstr>RR</vt:lpwstr>
  </property>
</Properties>
</file>