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515A6E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64DB" w:rsidP="0010095E" w14:paraId="6C5AA230" w14:textId="77777777">
            <w:pPr>
              <w:pStyle w:val="EPName"/>
            </w:pPr>
            <w:r w:rsidRPr="001864DB">
              <w:t>Európai Parlament</w:t>
            </w:r>
          </w:p>
          <w:p w:rsidR="00751A4A" w:rsidRPr="001864DB" w:rsidP="005F1B17" w14:paraId="6C0D074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64DB">
              <w:t>2024</w:t>
            </w:r>
            <w:r w:rsidRPr="001864DB" w:rsidR="00817416">
              <w:t>-202</w:t>
            </w:r>
            <w:r w:rsidRPr="001864D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864DB" w:rsidP="0010095E" w14:paraId="4ADDABD3" w14:textId="77777777">
            <w:pPr>
              <w:pStyle w:val="EPLogo"/>
            </w:pPr>
            <w:r w:rsidRPr="001864D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64DB" w:rsidP="004C5D52" w14:paraId="1AB1B3CF" w14:textId="77777777">
      <w:pPr>
        <w:pStyle w:val="LineTop"/>
      </w:pPr>
    </w:p>
    <w:p w:rsidR="00680577" w:rsidRPr="001864DB" w:rsidP="00680577" w14:paraId="2E4BBA48" w14:textId="77777777">
      <w:pPr>
        <w:pStyle w:val="EPBodyTA1"/>
      </w:pPr>
      <w:r w:rsidRPr="001864DB">
        <w:t>ELFOGADOTT SZÖVEGEK</w:t>
      </w:r>
    </w:p>
    <w:p w:rsidR="00D058B8" w:rsidRPr="001864DB" w:rsidP="00D058B8" w14:paraId="2A362AD5" w14:textId="77777777">
      <w:pPr>
        <w:pStyle w:val="LineBottom"/>
      </w:pPr>
    </w:p>
    <w:p w:rsidR="000650D8" w:rsidRPr="001864DB" w:rsidP="000650D8" w14:paraId="7B15FC93" w14:textId="1E9521B7">
      <w:pPr>
        <w:pStyle w:val="ATHeading1"/>
      </w:pPr>
      <w:bookmarkStart w:id="0" w:name="TANumber"/>
      <w:r w:rsidRPr="001864DB">
        <w:t>P10_</w:t>
      </w:r>
      <w:r w:rsidRPr="001864DB">
        <w:t>TA(</w:t>
      </w:r>
      <w:r w:rsidRPr="001864DB">
        <w:t>2026)0</w:t>
      </w:r>
      <w:r w:rsidRPr="001864DB" w:rsidR="001864DB">
        <w:t>106</w:t>
      </w:r>
      <w:bookmarkEnd w:id="0"/>
    </w:p>
    <w:p w:rsidR="000650D8" w:rsidRPr="001864DB" w:rsidP="000650D8" w14:paraId="15879362" w14:textId="77777777">
      <w:pPr>
        <w:pStyle w:val="ATHeading2"/>
      </w:pPr>
      <w:bookmarkStart w:id="1" w:name="title"/>
      <w:r w:rsidRPr="001864DB">
        <w:t xml:space="preserve">A Daniel </w:t>
      </w:r>
      <w:r w:rsidRPr="001864DB">
        <w:t>Obajtek</w:t>
      </w:r>
      <w:r w:rsidRPr="001864DB">
        <w:t xml:space="preserve"> mentelmi jogának felfüggesztésére irányuló kérelem</w:t>
      </w:r>
      <w:bookmarkEnd w:id="1"/>
    </w:p>
    <w:p w:rsidR="000650D8" w:rsidRPr="001864DB" w:rsidP="000650D8" w14:paraId="0D2DD35F" w14:textId="77777777">
      <w:pPr>
        <w:rPr>
          <w:i/>
          <w:vanish/>
        </w:rPr>
      </w:pPr>
      <w:r>
        <w:rPr>
          <w:i/>
        </w:rPr>
        <w:fldChar w:fldCharType="begin"/>
      </w:r>
      <w:r w:rsidRPr="001864DB">
        <w:rPr>
          <w:i/>
        </w:rPr>
        <w:instrText xml:space="preserve"> TC"(</w:instrText>
      </w:r>
      <w:bookmarkStart w:id="2" w:name="DocNumber"/>
      <w:r w:rsidRPr="001864DB">
        <w:rPr>
          <w:i/>
        </w:rPr>
        <w:instrText>A10-0115/2026</w:instrText>
      </w:r>
      <w:bookmarkEnd w:id="2"/>
      <w:r w:rsidRPr="001864DB">
        <w:rPr>
          <w:i/>
        </w:rPr>
        <w:instrText xml:space="preserve"> - Előadó: Pascale Piera)"\l3 \n&gt; \* MERGEFORMAT </w:instrText>
      </w:r>
      <w:r>
        <w:rPr>
          <w:i/>
        </w:rPr>
        <w:fldChar w:fldCharType="end"/>
      </w:r>
    </w:p>
    <w:p w:rsidR="000650D8" w:rsidRPr="001864DB" w:rsidP="000650D8" w14:paraId="3212A2E7" w14:textId="77777777">
      <w:pPr>
        <w:rPr>
          <w:vanish/>
        </w:rPr>
      </w:pPr>
      <w:bookmarkStart w:id="3" w:name="Commission"/>
      <w:r w:rsidRPr="001864DB">
        <w:rPr>
          <w:vanish/>
        </w:rPr>
        <w:t>Jogi Bizottság</w:t>
      </w:r>
      <w:bookmarkEnd w:id="3"/>
    </w:p>
    <w:p w:rsidR="000650D8" w:rsidRPr="001864DB" w:rsidP="000650D8" w14:paraId="10004506" w14:textId="77777777">
      <w:pPr>
        <w:rPr>
          <w:vanish/>
        </w:rPr>
      </w:pPr>
      <w:bookmarkStart w:id="4" w:name="PE"/>
      <w:r w:rsidRPr="001864DB">
        <w:rPr>
          <w:vanish/>
        </w:rPr>
        <w:t>PE786.910</w:t>
      </w:r>
      <w:bookmarkEnd w:id="4"/>
    </w:p>
    <w:p w:rsidR="000650D8" w:rsidRPr="001864DB" w:rsidP="000650D8" w14:paraId="7564A722" w14:textId="77777777">
      <w:pPr>
        <w:pStyle w:val="ATHeading3"/>
      </w:pPr>
      <w:bookmarkStart w:id="5" w:name="Sujet"/>
      <w:r w:rsidRPr="001864DB">
        <w:t xml:space="preserve">Az Európai Parlament 2026. április 28-i határozata a Daniel </w:t>
      </w:r>
      <w:r w:rsidRPr="001864DB">
        <w:t>Obajtek</w:t>
      </w:r>
      <w:r w:rsidRPr="001864DB">
        <w:t xml:space="preserve"> mentelmi jogának felfüggesztésére irányuló kérelemről</w:t>
      </w:r>
      <w:bookmarkEnd w:id="5"/>
      <w:r w:rsidRPr="001864DB">
        <w:t xml:space="preserve"> </w:t>
      </w:r>
      <w:bookmarkStart w:id="6" w:name="References"/>
      <w:r w:rsidRPr="001864DB">
        <w:t>(2025/2172(IMM))</w:t>
      </w:r>
      <w:bookmarkEnd w:id="6"/>
    </w:p>
    <w:p w:rsidR="00AB117F" w:rsidRPr="001864DB" w:rsidP="00AB117F" w14:paraId="45A1C1E0" w14:textId="77777777">
      <w:pPr>
        <w:pStyle w:val="EPComma"/>
        <w:widowControl/>
      </w:pPr>
      <w:bookmarkStart w:id="7" w:name="TextBodyBegin"/>
      <w:bookmarkEnd w:id="7"/>
      <w:r w:rsidRPr="001864DB">
        <w:rPr>
          <w:i/>
          <w:iCs/>
        </w:rPr>
        <w:t>Az Európai Parlament,</w:t>
      </w:r>
    </w:p>
    <w:p w:rsidR="00AB117F" w:rsidRPr="001864DB" w:rsidP="00B45EAD" w14:paraId="69979759" w14:textId="25BE30AE">
      <w:pPr>
        <w:pStyle w:val="NormalHanging12a"/>
        <w:widowControl/>
      </w:pPr>
      <w:r w:rsidRPr="001864DB">
        <w:t>–</w:t>
      </w:r>
      <w:r w:rsidRPr="001864DB">
        <w:tab/>
        <w:t>tekintettel a Lengyel Köztársaság főügyésze</w:t>
      </w:r>
      <w:r w:rsidRPr="001864DB" w:rsidR="00DC131B">
        <w:t xml:space="preserve"> </w:t>
      </w:r>
      <w:r w:rsidRPr="001864DB">
        <w:t>által 2025. július 21-</w:t>
      </w:r>
      <w:r w:rsidRPr="001864DB" w:rsidR="00DC131B">
        <w:t>i</w:t>
      </w:r>
      <w:r w:rsidRPr="001864DB">
        <w:t xml:space="preserve"> </w:t>
      </w:r>
      <w:r w:rsidRPr="001864DB" w:rsidR="00DC131B">
        <w:t xml:space="preserve">levelében benyújtott, </w:t>
      </w:r>
      <w:r w:rsidRPr="001864DB">
        <w:t>a varsói regionális ügyészség</w:t>
      </w:r>
      <w:r w:rsidRPr="001864DB" w:rsidR="00DC131B">
        <w:t>nek</w:t>
      </w:r>
      <w:r w:rsidRPr="001864DB">
        <w:t xml:space="preserve"> a Daniel </w:t>
      </w:r>
      <w:r w:rsidRPr="001864DB">
        <w:t>Obajtek</w:t>
      </w:r>
      <w:r w:rsidRPr="001864DB">
        <w:t xml:space="preserve"> ellen indítandó büntetőeljárással összefügg</w:t>
      </w:r>
      <w:r w:rsidRPr="001864DB" w:rsidR="00DC131B">
        <w:t>ő kérelmét továbbító</w:t>
      </w:r>
      <w:r w:rsidRPr="001864DB">
        <w:t xml:space="preserve"> és a </w:t>
      </w:r>
      <w:r w:rsidRPr="001864DB" w:rsidR="00DC131B">
        <w:t xml:space="preserve">Parlamentben </w:t>
      </w:r>
      <w:r w:rsidRPr="001864DB">
        <w:t>2025. szeptember 8-</w:t>
      </w:r>
      <w:r w:rsidRPr="001864DB" w:rsidR="00DC131B">
        <w:t>án</w:t>
      </w:r>
      <w:r w:rsidRPr="001864DB">
        <w:t xml:space="preserve"> bejelentett, Daniel </w:t>
      </w:r>
      <w:r w:rsidRPr="001864DB">
        <w:t>Obajtek</w:t>
      </w:r>
      <w:r w:rsidRPr="001864DB">
        <w:t xml:space="preserve"> mentelmi jogának felfüggesztésére irányuló kérelemre,</w:t>
      </w:r>
    </w:p>
    <w:p w:rsidR="00AB117F" w:rsidRPr="001864DB" w:rsidP="00B45EAD" w14:paraId="77961D87" w14:textId="77777777">
      <w:pPr>
        <w:pStyle w:val="NormalHanging12a"/>
        <w:widowControl/>
      </w:pPr>
      <w:r w:rsidRPr="001864DB">
        <w:t>–</w:t>
      </w:r>
      <w:r w:rsidRPr="001864DB">
        <w:tab/>
        <w:t xml:space="preserve">miután eljárási szabályzata 9. cikke (6) bekezdésének megfelelően 2026. február 12-én meghallgatta Daniel </w:t>
      </w:r>
      <w:r w:rsidRPr="001864DB">
        <w:t>Obajteket</w:t>
      </w:r>
      <w:r w:rsidRPr="001864DB">
        <w:t>,</w:t>
      </w:r>
    </w:p>
    <w:p w:rsidR="00AB117F" w:rsidRPr="001864DB" w:rsidP="00B45EAD" w14:paraId="54F7A8F8" w14:textId="173C3A67">
      <w:pPr>
        <w:pStyle w:val="NormalHanging12a"/>
        <w:widowControl/>
      </w:pPr>
      <w:r w:rsidRPr="001864DB">
        <w:t>–</w:t>
      </w:r>
      <w:r w:rsidRPr="001864DB">
        <w:tab/>
        <w:t>tekintettel az Európai Unió kiváltságairól és mentességeiről szóló 7.</w:t>
      </w:r>
      <w:r w:rsidRPr="001864DB" w:rsidR="00B45EAD">
        <w:t xml:space="preserve"> </w:t>
      </w:r>
      <w:r w:rsidRPr="001864DB">
        <w:t>jegyzőkönyv 8. és 9. cikkére, valamint az Európai Parlament képviselőinek közvetlen és általános választójog alapján történő választásáról szóló, 1976. szeptember 20-i okmány 6. cikkének (2) bekezdésére,</w:t>
      </w:r>
    </w:p>
    <w:p w:rsidR="00AB117F" w:rsidRPr="001864DB" w:rsidP="00B45EAD" w14:paraId="3C1A25B5" w14:textId="77777777">
      <w:pPr>
        <w:pStyle w:val="NormalHanging12a"/>
        <w:widowControl/>
      </w:pPr>
      <w:r w:rsidRPr="001864DB">
        <w:t>–</w:t>
      </w:r>
      <w:r w:rsidRPr="001864DB">
        <w:tab/>
        <w:t>tekintettel az Európai Unió Bírósága által 2008. október 21-én, 2010. március 19-én, 2011. szeptember 6-án, 2013. január 17-én és 2019. december 19-én hozott ítéletekre</w:t>
      </w:r>
      <w:r>
        <w:rPr>
          <w:rStyle w:val="FootnoteReference"/>
          <w:color w:val="000000"/>
        </w:rPr>
        <w:footnoteReference w:id="2"/>
      </w:r>
      <w:r w:rsidRPr="001864DB">
        <w:t>,</w:t>
      </w:r>
    </w:p>
    <w:p w:rsidR="00AB117F" w:rsidRPr="001864DB" w:rsidP="00B45EAD" w14:paraId="52257502" w14:textId="77777777">
      <w:pPr>
        <w:pStyle w:val="NormalHanging12a"/>
        <w:widowControl/>
      </w:pPr>
      <w:r w:rsidRPr="001864DB">
        <w:t>–</w:t>
      </w:r>
      <w:r w:rsidRPr="001864DB">
        <w:tab/>
        <w:t>tekintettel a Lengyel Köztársaság alkotmánya 105. cikkének (2) és (5) bekezdésére,</w:t>
      </w:r>
    </w:p>
    <w:p w:rsidR="00AB117F" w:rsidRPr="001864DB" w:rsidP="00B45EAD" w14:paraId="0206A8EB" w14:textId="77777777">
      <w:pPr>
        <w:pStyle w:val="NormalHanging12a"/>
        <w:widowControl/>
      </w:pPr>
      <w:r w:rsidRPr="001864DB">
        <w:t>–</w:t>
      </w:r>
      <w:r w:rsidRPr="001864DB">
        <w:tab/>
        <w:t>tekintettel eljárási szabályzata 5. cikkének (2) bekezdésére, 6. cikkének (1) bekezdésére és 9. cikkére,</w:t>
      </w:r>
    </w:p>
    <w:p w:rsidR="00AB117F" w:rsidRPr="001864DB" w:rsidP="00B45EAD" w14:paraId="548AF505" w14:textId="77777777">
      <w:pPr>
        <w:pStyle w:val="NormalHanging12a"/>
        <w:widowControl/>
      </w:pPr>
      <w:r w:rsidRPr="001864DB">
        <w:t>–</w:t>
      </w:r>
      <w:r w:rsidRPr="001864DB">
        <w:tab/>
        <w:t>tekintettel a Jogi Bizottság jelentésére (A10-0115/2026),</w:t>
      </w:r>
    </w:p>
    <w:p w:rsidR="00AB117F" w:rsidRPr="001864DB" w:rsidP="00B45EAD" w14:paraId="71E69CC1" w14:textId="77777777">
      <w:pPr>
        <w:pStyle w:val="NormalHanging12a"/>
        <w:widowControl/>
      </w:pPr>
      <w:r w:rsidRPr="001864DB">
        <w:t>A.</w:t>
      </w:r>
      <w:r w:rsidRPr="001864DB">
        <w:tab/>
        <w:t xml:space="preserve">mivel 2025. július 21-én kelt levelében a Lengyel Köztársaság főügyésze továbbította a varsói regionális ügyészség által benyújtott, Daniel </w:t>
      </w:r>
      <w:r w:rsidRPr="001864DB">
        <w:t>Obajtek</w:t>
      </w:r>
      <w:r w:rsidRPr="001864DB">
        <w:t xml:space="preserve"> mentelmi jogának felfüggesztésére irányuló kérelmet a lengyel büntető törvénykönyv 233. cikkének (1) bekezdése, valamint az 1984. január 26-i sajtótörvény 3. cikkével összefüggésben értelmezett 49. cikke szerinti állítólagos bűncselekménnyel kapcsolatban;</w:t>
      </w:r>
    </w:p>
    <w:p w:rsidR="00AB117F" w:rsidRPr="001864DB" w:rsidP="00B45EAD" w14:paraId="37188416" w14:textId="77777777">
      <w:pPr>
        <w:pStyle w:val="NormalHanging12a"/>
        <w:widowControl/>
      </w:pPr>
      <w:r w:rsidRPr="001864DB">
        <w:t>B.</w:t>
      </w:r>
      <w:r w:rsidRPr="001864DB">
        <w:tab/>
        <w:t xml:space="preserve">mivel a mentelmi jog felfüggesztésére irányuló kérelem szerint a varsói regionális ügyészség 2024. május 15-én vizsgálatot indított állítólagos hamis tanúvallomás miatt; mivel – az említett kérelem szerint – ezt az állítólagos hamis tanúvallomást 2023. május 11-én két személy, köztük Daniel </w:t>
      </w:r>
      <w:r w:rsidRPr="001864DB">
        <w:t>Obajtek</w:t>
      </w:r>
      <w:r w:rsidRPr="001864DB">
        <w:t xml:space="preserve"> tette tanúként, akit tájékoztattak a hamis tanúzás esetén felmerülő büntetőjogi felelősségről a varsói </w:t>
      </w:r>
      <w:r w:rsidRPr="001864DB">
        <w:t>varsó‑śródmieściei</w:t>
      </w:r>
      <w:r w:rsidRPr="001864DB">
        <w:t xml:space="preserve"> kerületi bíróság előtt a felperes által az alperes ellen a lengyel büntető törvénykönyv 212. cikkének (2) bekezdésében említett, rágalmazásra vonatkozó bűncselekmény miatt indított polgári jogi kereset tárgyában folyamatban lévő eljárásban;</w:t>
      </w:r>
    </w:p>
    <w:p w:rsidR="00AB117F" w:rsidRPr="001864DB" w:rsidP="00B45EAD" w14:paraId="42901017" w14:textId="0CA9370D">
      <w:pPr>
        <w:pStyle w:val="NormalHanging12a"/>
        <w:widowControl/>
      </w:pPr>
      <w:r w:rsidRPr="001864DB">
        <w:rPr>
          <w:color w:val="000000"/>
        </w:rPr>
        <w:t>C.</w:t>
      </w:r>
      <w:r w:rsidRPr="001864DB">
        <w:rPr>
          <w:color w:val="000000"/>
        </w:rPr>
        <w:tab/>
      </w:r>
      <w:r w:rsidRPr="001864DB">
        <w:t xml:space="preserve">mivel </w:t>
      </w:r>
      <w:r w:rsidRPr="001864DB" w:rsidR="00166086">
        <w:t xml:space="preserve">a </w:t>
      </w:r>
      <w:r w:rsidRPr="001864DB" w:rsidR="00B45EAD">
        <w:t xml:space="preserve">kérelem szerint </w:t>
      </w:r>
      <w:r w:rsidRPr="001864DB">
        <w:t xml:space="preserve">a Polski </w:t>
      </w:r>
      <w:r w:rsidRPr="001864DB">
        <w:t>Koncern</w:t>
      </w:r>
      <w:r w:rsidRPr="001864DB">
        <w:t xml:space="preserve"> </w:t>
      </w:r>
      <w:r w:rsidRPr="001864DB">
        <w:t>Naftowy</w:t>
      </w:r>
      <w:r w:rsidRPr="001864DB">
        <w:t xml:space="preserve"> ORLEN </w:t>
      </w:r>
      <w:r w:rsidRPr="001864DB">
        <w:t>Spółka</w:t>
      </w:r>
      <w:r w:rsidRPr="001864DB">
        <w:t xml:space="preserve"> </w:t>
      </w:r>
      <w:r w:rsidRPr="001864DB">
        <w:t>Akcyjna</w:t>
      </w:r>
      <w:r w:rsidRPr="001864DB">
        <w:t xml:space="preserve"> szerződést kötött az URMA korlátolt felelősségű társaság által kiadott „NIE” hetilap </w:t>
      </w:r>
      <w:r w:rsidRPr="001864DB">
        <w:t>terjesztéséreaz</w:t>
      </w:r>
      <w:r w:rsidRPr="001864DB">
        <w:t xml:space="preserve"> ORLEN töltőállomásainak valamennyi értékesítési pontján;</w:t>
      </w:r>
      <w:r w:rsidRPr="001864DB">
        <w:rPr>
          <w:color w:val="000000"/>
        </w:rPr>
        <w:t xml:space="preserve"> </w:t>
      </w:r>
      <w:r w:rsidRPr="001864DB">
        <w:t xml:space="preserve">mivel 2023. március 10-én megjelent a hetilap 10. száma; mivel 2023. március 14-én Varsóban a Polski </w:t>
      </w:r>
      <w:r w:rsidRPr="001864DB">
        <w:t>Koncern</w:t>
      </w:r>
      <w:r w:rsidRPr="001864DB">
        <w:t xml:space="preserve"> </w:t>
      </w:r>
      <w:r w:rsidRPr="001864DB">
        <w:t>Naftowy</w:t>
      </w:r>
      <w:r w:rsidRPr="001864DB">
        <w:t xml:space="preserve"> ORLEN </w:t>
      </w:r>
      <w:r w:rsidRPr="001864DB">
        <w:t>Spółka</w:t>
      </w:r>
      <w:r w:rsidRPr="001864DB">
        <w:t xml:space="preserve"> </w:t>
      </w:r>
      <w:r w:rsidRPr="001864DB">
        <w:t>Akcyjna</w:t>
      </w:r>
      <w:r w:rsidRPr="001864DB">
        <w:t xml:space="preserve"> igazgatótanácsának elnökeként Daniel </w:t>
      </w:r>
      <w:r w:rsidRPr="001864DB">
        <w:t>Obajtek</w:t>
      </w:r>
      <w:r w:rsidRPr="001864DB">
        <w:t xml:space="preserve"> állítólag azt kérte, hogy a Polski </w:t>
      </w:r>
      <w:r w:rsidRPr="001864DB">
        <w:t>Koncern</w:t>
      </w:r>
      <w:r w:rsidRPr="001864DB">
        <w:t xml:space="preserve"> </w:t>
      </w:r>
      <w:r w:rsidRPr="001864DB">
        <w:t>Naftowy</w:t>
      </w:r>
      <w:r w:rsidRPr="001864DB">
        <w:t xml:space="preserve"> ORLEN </w:t>
      </w:r>
      <w:r w:rsidRPr="001864DB">
        <w:t>Spółka</w:t>
      </w:r>
      <w:r w:rsidRPr="001864DB">
        <w:t xml:space="preserve"> </w:t>
      </w:r>
      <w:r w:rsidRPr="001864DB">
        <w:t>Akcyjna</w:t>
      </w:r>
      <w:r w:rsidRPr="001864DB">
        <w:t xml:space="preserve"> tulajdonában lévő valamennyi értékesítési pont polcairól sürgősen távolítsák el a „NIE” című hetilap 2023. évi 10. számát, tekintettel arra, hogy a hetilap e számának címlapja II. János Pál pápát ábrázolta, amint egy olyan keresztet tart, amelyre Jézus helyett egy csupasz baba van felfeszítve, valamint tekintettel a magazin tartalmára, amely negatívan értékelte a II. János Pál pápa által a kiskorúak papok általi szexuális kizsákmányolásának kérdésével kapcsolatban hozott intézkedéseket, és kérte, hogy a lapot a továbbiakban ne árulják, korlátozva ezáltal a Polski </w:t>
      </w:r>
      <w:r w:rsidRPr="001864DB">
        <w:t>Koncern</w:t>
      </w:r>
      <w:r w:rsidRPr="001864DB">
        <w:t xml:space="preserve"> </w:t>
      </w:r>
      <w:r w:rsidRPr="001864DB">
        <w:t>Naftowy</w:t>
      </w:r>
      <w:r w:rsidRPr="001864DB">
        <w:t xml:space="preserve"> ORLEN </w:t>
      </w:r>
      <w:r w:rsidRPr="001864DB">
        <w:t>Spółka</w:t>
      </w:r>
      <w:r w:rsidRPr="001864DB">
        <w:t xml:space="preserve"> </w:t>
      </w:r>
      <w:r w:rsidRPr="001864DB">
        <w:t>Akcyjna</w:t>
      </w:r>
      <w:r w:rsidRPr="001864DB">
        <w:t xml:space="preserve"> által forgalmazni vállalt magazin megvásárlását, ami az 1984. január 26</w:t>
      </w:r>
      <w:r w:rsidRPr="001864DB">
        <w:noBreakHyphen/>
        <w:t>i törvény 3. cikkével összefüggésben értelmezett 49. cikkének hatálya alá tartozó jogsértésnek minősül;</w:t>
      </w:r>
    </w:p>
    <w:p w:rsidR="00AB117F" w:rsidRPr="001864DB" w:rsidP="00B45EAD" w14:paraId="2BC622DD" w14:textId="77777777">
      <w:pPr>
        <w:pStyle w:val="NormalHanging12a"/>
        <w:widowControl/>
        <w:rPr>
          <w:shd w:val="clear" w:color="auto" w:fill="FFFFFF"/>
        </w:rPr>
      </w:pPr>
      <w:r w:rsidRPr="001864DB">
        <w:rPr>
          <w:color w:val="000000"/>
        </w:rPr>
        <w:t>D.</w:t>
      </w:r>
      <w:r w:rsidRPr="001864DB">
        <w:rPr>
          <w:color w:val="000000"/>
        </w:rPr>
        <w:tab/>
      </w:r>
      <w:r w:rsidRPr="001864DB">
        <w:rPr>
          <w:shd w:val="clear" w:color="auto" w:fill="FFFFFF"/>
        </w:rPr>
        <w:t>mivel</w:t>
      </w:r>
      <w:r w:rsidRPr="001864DB">
        <w:t xml:space="preserve"> Daniel </w:t>
      </w:r>
      <w:r w:rsidRPr="001864DB">
        <w:t>Obajteket</w:t>
      </w:r>
      <w:r w:rsidRPr="001864DB">
        <w:t xml:space="preserve"> </w:t>
      </w:r>
      <w:r w:rsidRPr="001864DB">
        <w:rPr>
          <w:shd w:val="clear" w:color="auto" w:fill="FFFFFF"/>
        </w:rPr>
        <w:t xml:space="preserve">a 2024. júniusi európai parlamenti választásokon választották meg az Európai Parlamentbe, és </w:t>
      </w:r>
      <w:r w:rsidRPr="001864DB">
        <w:t xml:space="preserve">ezért </w:t>
      </w:r>
      <w:r w:rsidRPr="001864DB">
        <w:rPr>
          <w:shd w:val="clear" w:color="auto" w:fill="FFFFFF"/>
        </w:rPr>
        <w:t>nem volt európai parlamenti képviselő sem az állítólagos jogsértések idején, sem az állítólagos jogsértésekkel kapcsolatos bűnügyi nyomozás megindításakor;</w:t>
      </w:r>
    </w:p>
    <w:p w:rsidR="00AB117F" w:rsidRPr="001864DB" w:rsidP="00B45EAD" w14:paraId="6B345053" w14:textId="1EB12E4B">
      <w:pPr>
        <w:pStyle w:val="NormalHanging12a"/>
        <w:widowControl/>
      </w:pPr>
      <w:r w:rsidRPr="001864DB">
        <w:t>E.</w:t>
      </w:r>
      <w:r w:rsidRPr="001864DB">
        <w:tab/>
        <w:t xml:space="preserve">mivel az állítólagos jogsértések és az ebből eredő, a mentelmi jog felfüggesztésére irányuló kérelem nem kapcsolódik Daniel </w:t>
      </w:r>
      <w:r w:rsidRPr="001864DB">
        <w:t>Obajtek</w:t>
      </w:r>
      <w:r w:rsidRPr="001864DB">
        <w:t xml:space="preserve"> által az Európai Unió kiváltságairól és mentességeiről szóló 7. jegyzőkönyv 8. cikke szerinti feladatai ellátása során általa kifejtett véleményhez vagy leadott szavazathoz;</w:t>
      </w:r>
    </w:p>
    <w:p w:rsidR="00AB117F" w:rsidRPr="001864DB" w:rsidP="00B45EAD" w14:paraId="50FA6A66" w14:textId="3DE0B299">
      <w:pPr>
        <w:pStyle w:val="NormalHanging12a"/>
        <w:widowControl/>
      </w:pPr>
      <w:r w:rsidRPr="001864DB">
        <w:t>F.</w:t>
      </w:r>
      <w:r w:rsidRPr="001864DB">
        <w:tab/>
        <w:t xml:space="preserve">mivel az Európai Unió kiváltságairól és mentességeiről szóló 7. jegyzőkönyv 9. cikke első bekezdésének a) pontja úgy rendelkezik, hogy az Európai Parlament </w:t>
      </w:r>
      <w:r w:rsidRPr="001864DB" w:rsidR="00B45EAD">
        <w:t xml:space="preserve">ülései alatt annak </w:t>
      </w:r>
      <w:r w:rsidRPr="001864DB">
        <w:t xml:space="preserve">képviselői saját </w:t>
      </w:r>
      <w:r w:rsidRPr="001864DB" w:rsidR="00B45EAD">
        <w:t xml:space="preserve">tagállamuk </w:t>
      </w:r>
      <w:r w:rsidRPr="001864DB">
        <w:t>területén a</w:t>
      </w:r>
      <w:r w:rsidRPr="001864DB" w:rsidR="00B45EAD">
        <w:t xml:space="preserve"> tagállamuk</w:t>
      </w:r>
      <w:r w:rsidRPr="001864DB">
        <w:t xml:space="preserve"> parlamenti képviselőit megillető mentességeket élvezik;</w:t>
      </w:r>
    </w:p>
    <w:p w:rsidR="00AB117F" w:rsidRPr="001864DB" w:rsidP="00B45EAD" w14:paraId="31D0BAC6" w14:textId="77777777">
      <w:pPr>
        <w:pStyle w:val="NormalHanging12a"/>
        <w:widowControl/>
      </w:pPr>
      <w:r w:rsidRPr="001864DB">
        <w:t>G.</w:t>
      </w:r>
      <w:r w:rsidRPr="001864DB">
        <w:tab/>
        <w:t xml:space="preserve">mivel a Lengyel Köztársaság alkotmánya 105. cikkének (2) és (5) bekezdése szerint a választások eredményének bejelentése napjától a mandátuma lejártának napjáig a </w:t>
      </w:r>
      <w:r w:rsidRPr="001864DB">
        <w:t>képviselőt nem lehet büntetőjogi felelősségre vonni a Szejm beleegyezése nélkül, és a Szejm beleegyezése nélkül nem állíthatják elő és nem vehetik őrizetbe, kivéve, ha bűncselekmény elkövetése közben érték tetten, és amennyiben az eljárás megfelelő menetének biztosítása érdekében feltétlenül szükséges az őrizetbe vétele;</w:t>
      </w:r>
    </w:p>
    <w:p w:rsidR="00AB117F" w:rsidRPr="001864DB" w:rsidP="00B45EAD" w14:paraId="2F9A111A" w14:textId="77777777">
      <w:pPr>
        <w:pStyle w:val="NormalHanging12a"/>
        <w:widowControl/>
      </w:pPr>
      <w:r w:rsidRPr="001864DB">
        <w:t>H.</w:t>
      </w:r>
      <w:r w:rsidRPr="001864DB">
        <w:tab/>
        <w:t>mivel az Európai Parlament eljárási szabályzata 5. cikkének (2) bekezdésével összhangban a parlamenti mentelmi jog nem a képviselők személyes kiváltsága, hanem a Parlament egésze és az egyes képviselők függetlenségének biztosítéka;</w:t>
      </w:r>
    </w:p>
    <w:p w:rsidR="00AB117F" w:rsidRPr="001864DB" w:rsidP="00B45EAD" w14:paraId="448EDDC0" w14:textId="77777777">
      <w:pPr>
        <w:pStyle w:val="NormalHanging12a"/>
        <w:widowControl/>
      </w:pPr>
      <w:r w:rsidRPr="001864DB">
        <w:t>I.</w:t>
      </w:r>
      <w:r w:rsidRPr="001864DB">
        <w:tab/>
        <w:t>mivel az Európai Unió kiváltságairól és mentességeiről szóló 7. jegyzőkönyvben foglalt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:rsidR="00AB117F" w:rsidRPr="001864DB" w:rsidP="00B45EAD" w14:paraId="37DDD748" w14:textId="2EF68695">
      <w:pPr>
        <w:pStyle w:val="NormalHanging12a"/>
        <w:widowControl/>
      </w:pPr>
      <w:r w:rsidRPr="001864DB">
        <w:t>J.</w:t>
      </w:r>
      <w:r w:rsidRPr="001864DB">
        <w:tab/>
        <w:t xml:space="preserve">mivel a Parlament ebben az esetben nem talált bizonyítékot a </w:t>
      </w:r>
      <w:r w:rsidRPr="001864DB">
        <w:rPr>
          <w:i/>
          <w:iCs/>
        </w:rPr>
        <w:t>fumus</w:t>
      </w:r>
      <w:r w:rsidRPr="001864DB">
        <w:rPr>
          <w:i/>
          <w:iCs/>
        </w:rPr>
        <w:t xml:space="preserve"> </w:t>
      </w:r>
      <w:r w:rsidRPr="001864DB">
        <w:rPr>
          <w:i/>
          <w:iCs/>
        </w:rPr>
        <w:t>persecutionis</w:t>
      </w:r>
      <w:r w:rsidRPr="001864DB">
        <w:t xml:space="preserve"> fennállására, azaz olyan </w:t>
      </w:r>
      <w:r w:rsidRPr="001864DB" w:rsidR="00E56E30">
        <w:t>tényekre</w:t>
      </w:r>
      <w:r w:rsidRPr="001864DB">
        <w:t xml:space="preserve">, amelyek arra utalnának, hogy a szóban forgó bírósági eljárást azzal a szándékkal indították, hogy </w:t>
      </w:r>
      <w:r w:rsidRPr="001864DB" w:rsidR="00E56E30">
        <w:t xml:space="preserve">ártsanak </w:t>
      </w:r>
      <w:r w:rsidRPr="001864DB">
        <w:t xml:space="preserve">Daniel </w:t>
      </w:r>
      <w:r w:rsidRPr="001864DB">
        <w:t>Obajtek</w:t>
      </w:r>
      <w:r w:rsidRPr="001864DB">
        <w:t xml:space="preserve"> Európai Parlament képviselőjeként folytatott politikai tevékenységé</w:t>
      </w:r>
      <w:r w:rsidRPr="001864DB" w:rsidR="00E56E30">
        <w:t>nek</w:t>
      </w:r>
      <w:r w:rsidRPr="001864DB" w:rsidR="00B45EAD">
        <w:t>, és ezáltal a Parlament függetlenségé</w:t>
      </w:r>
      <w:r w:rsidRPr="001864DB" w:rsidR="00E56E30">
        <w:t>nek</w:t>
      </w:r>
      <w:r w:rsidRPr="001864DB">
        <w:t>;</w:t>
      </w:r>
    </w:p>
    <w:p w:rsidR="00AB117F" w:rsidRPr="001864DB" w:rsidP="00B45EAD" w14:paraId="5498B867" w14:textId="77777777">
      <w:pPr>
        <w:pStyle w:val="NormalHanging12a"/>
        <w:widowControl/>
      </w:pPr>
      <w:r w:rsidRPr="001864DB">
        <w:t>K.</w:t>
      </w:r>
      <w:r w:rsidRPr="001864DB">
        <w:tab/>
        <w:t>mivel egyrészről a Parlament nem töltheti be bíróság szerepét, másrészről pedig a mentelmi jog felfüggesztésére irányuló eljárásban az érintett képviselő nem tekinthető vádlottnak</w:t>
      </w:r>
      <w:r>
        <w:rPr>
          <w:rStyle w:val="FootnoteReference"/>
        </w:rPr>
        <w:footnoteReference w:id="3"/>
      </w:r>
      <w:r w:rsidRPr="001864DB">
        <w:t>;</w:t>
      </w:r>
    </w:p>
    <w:p w:rsidR="00AB117F" w:rsidRPr="001864DB" w:rsidP="00B45EAD" w14:paraId="01E719B1" w14:textId="77777777">
      <w:pPr>
        <w:pStyle w:val="NormalHanging12a"/>
        <w:widowControl/>
      </w:pPr>
      <w:r w:rsidRPr="001864DB">
        <w:t>1.</w:t>
      </w:r>
      <w:r w:rsidRPr="001864DB">
        <w:tab/>
        <w:t xml:space="preserve">úgy határoz, hogy felfüggeszti Daniel </w:t>
      </w:r>
      <w:r w:rsidRPr="001864DB">
        <w:t>Obajtek</w:t>
      </w:r>
      <w:r w:rsidRPr="001864DB">
        <w:t xml:space="preserve"> mentelmi jogát;</w:t>
      </w:r>
    </w:p>
    <w:p w:rsidR="00E365E1" w:rsidRPr="00524D9F" w:rsidP="00B45EAD" w14:paraId="33EFF739" w14:textId="09A93FCB">
      <w:pPr>
        <w:widowControl/>
        <w:spacing w:after="240"/>
        <w:ind w:left="567" w:hanging="567"/>
      </w:pPr>
      <w:r w:rsidRPr="001864DB">
        <w:t xml:space="preserve">2. </w:t>
      </w:r>
      <w:r w:rsidRPr="001864DB">
        <w:tab/>
        <w:t xml:space="preserve">utasítja elnökét, hogy haladéktalanul továbbítsa ezt a határozatot és az illetékes bizottság jelentését a Lengyel Köztársaság illetékes hatóságának és Daniel </w:t>
      </w:r>
      <w:r w:rsidRPr="001864DB">
        <w:t>Obajteknek</w:t>
      </w:r>
      <w:r w:rsidRPr="001864DB">
        <w:t>.</w:t>
      </w:r>
      <w:r w:rsidRPr="00524D9F">
        <w:t xml:space="preserve"> </w:t>
      </w:r>
    </w:p>
    <w:sectPr w:rsidSect="00524D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3CAFA67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5CC1713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54AB0F2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650D8" w:rsidRPr="00524D9F" w14:paraId="381FE751" w14:textId="77777777">
      <w:r w:rsidRPr="00524D9F">
        <w:separator/>
      </w:r>
    </w:p>
  </w:footnote>
  <w:footnote w:type="continuationSeparator" w:id="1">
    <w:p w:rsidR="000650D8" w:rsidRPr="00524D9F" w14:paraId="216CDD93" w14:textId="77777777">
      <w:r w:rsidRPr="00524D9F">
        <w:continuationSeparator/>
      </w:r>
    </w:p>
  </w:footnote>
  <w:footnote w:id="2">
    <w:p w:rsidR="00AB117F" w:rsidRPr="00524D9F" w:rsidP="00524D9F" w14:paraId="25F6E46A" w14:textId="080DE2D3">
      <w:pPr>
        <w:pStyle w:val="FootnoteText"/>
        <w:ind w:left="567" w:hanging="567"/>
        <w:rPr>
          <w:sz w:val="24"/>
          <w:lang w:val="hu-HU"/>
        </w:rPr>
      </w:pPr>
      <w:r w:rsidRPr="00524D9F">
        <w:rPr>
          <w:rStyle w:val="FootnoteReference"/>
          <w:sz w:val="24"/>
          <w:lang w:val="hu-HU"/>
        </w:rPr>
        <w:footnoteRef/>
      </w:r>
      <w:r w:rsidRPr="00524D9F" w:rsidR="00524D9F">
        <w:rPr>
          <w:sz w:val="24"/>
          <w:lang w:val="hu-HU"/>
        </w:rPr>
        <w:t xml:space="preserve"> </w:t>
      </w:r>
      <w:r w:rsidRPr="00524D9F" w:rsidR="00524D9F">
        <w:rPr>
          <w:sz w:val="24"/>
          <w:lang w:val="hu-HU"/>
        </w:rPr>
        <w:tab/>
      </w:r>
      <w:r w:rsidRPr="00524D9F">
        <w:rPr>
          <w:sz w:val="24"/>
          <w:lang w:val="hu-HU"/>
        </w:rPr>
        <w:t xml:space="preserve">A Bíróság 2008. október 21-i ítélete, Marra kontra De </w:t>
      </w:r>
      <w:r w:rsidRPr="00524D9F">
        <w:rPr>
          <w:sz w:val="24"/>
          <w:lang w:val="hu-HU"/>
        </w:rPr>
        <w:t>Gregorio</w:t>
      </w:r>
      <w:r w:rsidRPr="00524D9F">
        <w:rPr>
          <w:sz w:val="24"/>
          <w:lang w:val="hu-HU"/>
        </w:rPr>
        <w:t xml:space="preserve"> és </w:t>
      </w:r>
      <w:r w:rsidRPr="00524D9F">
        <w:rPr>
          <w:sz w:val="24"/>
          <w:lang w:val="hu-HU"/>
        </w:rPr>
        <w:t>Clemente</w:t>
      </w:r>
      <w:r w:rsidRPr="00524D9F">
        <w:rPr>
          <w:sz w:val="24"/>
          <w:lang w:val="hu-HU"/>
        </w:rPr>
        <w:t xml:space="preserve">, C-200/07 és C-201/07, ECLI:EU:C:2008:579; a Törvényszék 2010. március 19-i ítélete, </w:t>
      </w:r>
      <w:r w:rsidRPr="00524D9F">
        <w:rPr>
          <w:sz w:val="24"/>
          <w:lang w:val="hu-HU"/>
        </w:rPr>
        <w:t>Gollnisch</w:t>
      </w:r>
      <w:r w:rsidRPr="00524D9F">
        <w:rPr>
          <w:sz w:val="24"/>
          <w:lang w:val="hu-HU"/>
        </w:rPr>
        <w:t xml:space="preserve"> kontra Parlament, T-42/06, ECLI:EU:T:2010:102; a Bíróság 2011. szeptember 6-i ítélete, </w:t>
      </w:r>
      <w:r w:rsidRPr="00524D9F">
        <w:rPr>
          <w:sz w:val="24"/>
          <w:lang w:val="hu-HU"/>
        </w:rPr>
        <w:t>Patriciello</w:t>
      </w:r>
      <w:r w:rsidRPr="00524D9F">
        <w:rPr>
          <w:sz w:val="24"/>
          <w:lang w:val="hu-HU"/>
        </w:rPr>
        <w:t xml:space="preserve">, C-163/10, ECLI: EU:C:2011:543; a Törvényszék 2013. január 17-i ítélete, </w:t>
      </w:r>
      <w:r w:rsidRPr="00524D9F">
        <w:rPr>
          <w:sz w:val="24"/>
          <w:lang w:val="hu-HU"/>
        </w:rPr>
        <w:t>Gollnisch</w:t>
      </w:r>
      <w:r w:rsidRPr="00524D9F">
        <w:rPr>
          <w:sz w:val="24"/>
          <w:lang w:val="hu-HU"/>
        </w:rPr>
        <w:t xml:space="preserve"> kontra Európai Parlament, T-346/11 és T-347/11, ECLI:EU:T:2013:23; a Bíróság 2019. december 19-i ítélete, </w:t>
      </w:r>
      <w:r w:rsidRPr="00524D9F">
        <w:rPr>
          <w:sz w:val="24"/>
          <w:lang w:val="hu-HU"/>
        </w:rPr>
        <w:t>Junqueras</w:t>
      </w:r>
      <w:r w:rsidRPr="00524D9F">
        <w:rPr>
          <w:sz w:val="24"/>
          <w:lang w:val="hu-HU"/>
        </w:rPr>
        <w:t xml:space="preserve"> </w:t>
      </w:r>
      <w:r w:rsidRPr="00524D9F">
        <w:rPr>
          <w:sz w:val="24"/>
          <w:lang w:val="hu-HU"/>
        </w:rPr>
        <w:t>Vies</w:t>
      </w:r>
      <w:r w:rsidRPr="00524D9F">
        <w:rPr>
          <w:sz w:val="24"/>
          <w:lang w:val="hu-HU"/>
        </w:rPr>
        <w:t>, C-502/19, ECLI:EU:C:2019:1115.</w:t>
      </w:r>
    </w:p>
  </w:footnote>
  <w:footnote w:id="3">
    <w:p w:rsidR="00AB117F" w:rsidRPr="00524D9F" w:rsidP="00524D9F" w14:paraId="0BA5839D" w14:textId="280C6617">
      <w:pPr>
        <w:pStyle w:val="FootnoteText"/>
        <w:ind w:left="567" w:hanging="567"/>
        <w:rPr>
          <w:sz w:val="24"/>
          <w:lang w:val="hu-HU"/>
        </w:rPr>
      </w:pPr>
      <w:r w:rsidRPr="00524D9F">
        <w:rPr>
          <w:rStyle w:val="FootnoteReference"/>
          <w:sz w:val="24"/>
          <w:lang w:val="hu-HU"/>
        </w:rPr>
        <w:footnoteRef/>
      </w:r>
      <w:r w:rsidRPr="00524D9F" w:rsidR="00524D9F">
        <w:rPr>
          <w:sz w:val="24"/>
          <w:lang w:val="hu-HU"/>
        </w:rPr>
        <w:t xml:space="preserve"> </w:t>
      </w:r>
      <w:r w:rsidRPr="00524D9F" w:rsidR="00524D9F">
        <w:rPr>
          <w:sz w:val="24"/>
          <w:lang w:val="hu-HU"/>
        </w:rPr>
        <w:tab/>
      </w:r>
      <w:r w:rsidRPr="00524D9F">
        <w:rPr>
          <w:sz w:val="24"/>
          <w:lang w:val="hu-HU"/>
        </w:rPr>
        <w:t xml:space="preserve">A Törvényszék 2019. április 30-i ítélete, </w:t>
      </w:r>
      <w:r w:rsidRPr="00524D9F">
        <w:rPr>
          <w:sz w:val="24"/>
          <w:lang w:val="hu-HU"/>
        </w:rPr>
        <w:t>Briois</w:t>
      </w:r>
      <w:r w:rsidRPr="00524D9F">
        <w:rPr>
          <w:sz w:val="24"/>
          <w:lang w:val="hu-HU"/>
        </w:rPr>
        <w:t xml:space="preserve"> kontra Európai Parlament, T-214/18, ECLI:</w:t>
      </w:r>
      <w:r w:rsidRPr="00524D9F">
        <w:rPr>
          <w:sz w:val="24"/>
          <w:lang w:val="hu-HU"/>
        </w:rPr>
        <w:t>EU:T</w:t>
      </w:r>
      <w:r w:rsidRPr="00524D9F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5C2FF63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0F45812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D9F" w14:paraId="0C81D96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4081742">
    <w:abstractNumId w:val="9"/>
  </w:num>
  <w:num w:numId="2" w16cid:durableId="264459777">
    <w:abstractNumId w:val="9"/>
  </w:num>
  <w:num w:numId="3" w16cid:durableId="606889528">
    <w:abstractNumId w:val="7"/>
  </w:num>
  <w:num w:numId="4" w16cid:durableId="1882742867">
    <w:abstractNumId w:val="7"/>
  </w:num>
  <w:num w:numId="5" w16cid:durableId="1620918146">
    <w:abstractNumId w:val="6"/>
  </w:num>
  <w:num w:numId="6" w16cid:durableId="1003244394">
    <w:abstractNumId w:val="6"/>
  </w:num>
  <w:num w:numId="7" w16cid:durableId="1257207296">
    <w:abstractNumId w:val="5"/>
  </w:num>
  <w:num w:numId="8" w16cid:durableId="630936740">
    <w:abstractNumId w:val="5"/>
  </w:num>
  <w:num w:numId="9" w16cid:durableId="1294555171">
    <w:abstractNumId w:val="4"/>
  </w:num>
  <w:num w:numId="10" w16cid:durableId="1193568808">
    <w:abstractNumId w:val="4"/>
  </w:num>
  <w:num w:numId="11" w16cid:durableId="655382169">
    <w:abstractNumId w:val="8"/>
  </w:num>
  <w:num w:numId="12" w16cid:durableId="1501233584">
    <w:abstractNumId w:val="8"/>
  </w:num>
  <w:num w:numId="13" w16cid:durableId="687289640">
    <w:abstractNumId w:val="3"/>
  </w:num>
  <w:num w:numId="14" w16cid:durableId="2041124457">
    <w:abstractNumId w:val="3"/>
  </w:num>
  <w:num w:numId="15" w16cid:durableId="452745754">
    <w:abstractNumId w:val="2"/>
  </w:num>
  <w:num w:numId="16" w16cid:durableId="1076324003">
    <w:abstractNumId w:val="2"/>
  </w:num>
  <w:num w:numId="17" w16cid:durableId="1173572618">
    <w:abstractNumId w:val="1"/>
  </w:num>
  <w:num w:numId="18" w16cid:durableId="89205030">
    <w:abstractNumId w:val="1"/>
  </w:num>
  <w:num w:numId="19" w16cid:durableId="1162772060">
    <w:abstractNumId w:val="0"/>
  </w:num>
  <w:num w:numId="20" w16cid:durableId="1044259358">
    <w:abstractNumId w:val="0"/>
  </w:num>
  <w:num w:numId="21" w16cid:durableId="514923829">
    <w:abstractNumId w:val="9"/>
  </w:num>
  <w:num w:numId="22" w16cid:durableId="1236206882">
    <w:abstractNumId w:val="7"/>
  </w:num>
  <w:num w:numId="23" w16cid:durableId="1233927283">
    <w:abstractNumId w:val="6"/>
  </w:num>
  <w:num w:numId="24" w16cid:durableId="1282802127">
    <w:abstractNumId w:val="5"/>
  </w:num>
  <w:num w:numId="25" w16cid:durableId="931088673">
    <w:abstractNumId w:val="4"/>
  </w:num>
  <w:num w:numId="26" w16cid:durableId="1249996613">
    <w:abstractNumId w:val="8"/>
  </w:num>
  <w:num w:numId="27" w16cid:durableId="1492067432">
    <w:abstractNumId w:val="3"/>
  </w:num>
  <w:num w:numId="28" w16cid:durableId="111824630">
    <w:abstractNumId w:val="2"/>
  </w:num>
  <w:num w:numId="29" w16cid:durableId="1634821966">
    <w:abstractNumId w:val="1"/>
  </w:num>
  <w:num w:numId="30" w16cid:durableId="1312097730">
    <w:abstractNumId w:val="0"/>
  </w:num>
  <w:num w:numId="31" w16cid:durableId="407924626">
    <w:abstractNumId w:val="9"/>
  </w:num>
  <w:num w:numId="32" w16cid:durableId="660815223">
    <w:abstractNumId w:val="7"/>
  </w:num>
  <w:num w:numId="33" w16cid:durableId="979916492">
    <w:abstractNumId w:val="6"/>
  </w:num>
  <w:num w:numId="34" w16cid:durableId="765807705">
    <w:abstractNumId w:val="5"/>
  </w:num>
  <w:num w:numId="35" w16cid:durableId="1066147507">
    <w:abstractNumId w:val="4"/>
  </w:num>
  <w:num w:numId="36" w16cid:durableId="2059469522">
    <w:abstractNumId w:val="8"/>
  </w:num>
  <w:num w:numId="37" w16cid:durableId="520779463">
    <w:abstractNumId w:val="3"/>
  </w:num>
  <w:num w:numId="38" w16cid:durableId="1114053417">
    <w:abstractNumId w:val="2"/>
  </w:num>
  <w:num w:numId="39" w16cid:durableId="318702472">
    <w:abstractNumId w:val="1"/>
  </w:num>
  <w:num w:numId="40" w16cid:durableId="1024403554">
    <w:abstractNumId w:val="0"/>
  </w:num>
  <w:num w:numId="41" w16cid:durableId="2066709937">
    <w:abstractNumId w:val="10"/>
  </w:num>
  <w:num w:numId="42" w16cid:durableId="1371035646">
    <w:abstractNumId w:val="10"/>
  </w:num>
  <w:num w:numId="43" w16cid:durableId="364796707">
    <w:abstractNumId w:val="10"/>
  </w:num>
  <w:num w:numId="44" w16cid:durableId="19505485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D8"/>
    <w:rsid w:val="00002272"/>
    <w:rsid w:val="00064002"/>
    <w:rsid w:val="000650D8"/>
    <w:rsid w:val="000677B9"/>
    <w:rsid w:val="000831BA"/>
    <w:rsid w:val="000A42CC"/>
    <w:rsid w:val="000E7DD9"/>
    <w:rsid w:val="000F2F00"/>
    <w:rsid w:val="0010095E"/>
    <w:rsid w:val="00125B37"/>
    <w:rsid w:val="00166086"/>
    <w:rsid w:val="001864D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D9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DA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17F"/>
    <w:rsid w:val="00AB441E"/>
    <w:rsid w:val="00AB6293"/>
    <w:rsid w:val="00AE0928"/>
    <w:rsid w:val="00AF3B82"/>
    <w:rsid w:val="00B12E95"/>
    <w:rsid w:val="00B22876"/>
    <w:rsid w:val="00B45EAD"/>
    <w:rsid w:val="00B558F0"/>
    <w:rsid w:val="00BA607B"/>
    <w:rsid w:val="00BD48FE"/>
    <w:rsid w:val="00BD7BD8"/>
    <w:rsid w:val="00BE6ADC"/>
    <w:rsid w:val="00C05BFE"/>
    <w:rsid w:val="00C067A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31B"/>
    <w:rsid w:val="00E365E1"/>
    <w:rsid w:val="00E46A3B"/>
    <w:rsid w:val="00E56E3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5/2026"/>
    <w:docVar w:name="dvlangue" w:val="HU"/>
    <w:docVar w:name="dvnumam" w:val="0"/>
    <w:docVar w:name="dvpe" w:val="786.910"/>
    <w:docVar w:name="dvrapporteur" w:val="Előadó: "/>
    <w:docVar w:name="dvtitre" w:val="Az Európai Parlament 2026. április 28-i határozata a Daniel Obajtek mentelmi jogának felfüggesztésére irányuló kérelemről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8B8C15"/>
  <w15:chartTrackingRefBased/>
  <w15:docId w15:val="{A7692272-8B9E-4A87-8454-9A11E83A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B117F"/>
    <w:pPr>
      <w:spacing w:after="240"/>
      <w:ind w:left="567" w:hanging="567"/>
    </w:pPr>
  </w:style>
  <w:style w:type="paragraph" w:customStyle="1" w:styleId="EPComma">
    <w:name w:val="EPComma"/>
    <w:basedOn w:val="Normal"/>
    <w:rsid w:val="00AB117F"/>
    <w:pPr>
      <w:spacing w:before="480" w:after="240"/>
    </w:pPr>
  </w:style>
  <w:style w:type="paragraph" w:styleId="Revision">
    <w:name w:val="Revision"/>
    <w:hidden/>
    <w:uiPriority w:val="99"/>
    <w:semiHidden/>
    <w:rsid w:val="00B45EA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2026-04-28T10:46:00Z</dcterms:created>
  <dcterms:modified xsi:type="dcterms:W3CDTF">2026-04-28T10:46:00Z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