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52111E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1B1E" w:rsidP="0010095E" w14:paraId="1B1D439B" w14:textId="77777777">
            <w:pPr>
              <w:pStyle w:val="EPName"/>
            </w:pPr>
            <w:r w:rsidRPr="00CF1B1E">
              <w:t>Parlamento europeo</w:t>
            </w:r>
          </w:p>
          <w:p w:rsidR="00751A4A" w:rsidRPr="00CF1B1E" w:rsidP="005F1B17" w14:paraId="4CB74E3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1B1E">
              <w:t>2024</w:t>
            </w:r>
            <w:r w:rsidRPr="00CF1B1E" w:rsidR="00817416">
              <w:t>-202</w:t>
            </w:r>
            <w:r w:rsidRPr="00CF1B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F1B1E" w:rsidP="0010095E" w14:paraId="2F40D466" w14:textId="77777777">
            <w:pPr>
              <w:pStyle w:val="EPLogo"/>
            </w:pPr>
            <w:r w:rsidRPr="00CF1B1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1B1E" w:rsidP="004C5D52" w14:paraId="40B91513" w14:textId="77777777">
      <w:pPr>
        <w:pStyle w:val="LineTop"/>
      </w:pPr>
    </w:p>
    <w:p w:rsidR="00680577" w:rsidRPr="00CF1B1E" w:rsidP="00680577" w14:paraId="176A564B" w14:textId="77777777">
      <w:pPr>
        <w:pStyle w:val="EPBodyTA1"/>
      </w:pPr>
      <w:r w:rsidRPr="00CF1B1E">
        <w:t>TESTI APPROVATI</w:t>
      </w:r>
    </w:p>
    <w:p w:rsidR="00D058B8" w:rsidRPr="00CF1B1E" w:rsidP="00D058B8" w14:paraId="657D2D4C" w14:textId="77777777">
      <w:pPr>
        <w:pStyle w:val="LineBottom"/>
      </w:pPr>
    </w:p>
    <w:p w:rsidR="004A16B2" w:rsidRPr="00CF1B1E" w:rsidP="004A16B2" w14:paraId="0E3FA357" w14:textId="1573127D">
      <w:pPr>
        <w:pStyle w:val="ATHeading1"/>
      </w:pPr>
      <w:bookmarkStart w:id="0" w:name="TANumber"/>
      <w:r w:rsidRPr="00CF1B1E">
        <w:t>P10_</w:t>
      </w:r>
      <w:r w:rsidRPr="00CF1B1E">
        <w:t>TA(</w:t>
      </w:r>
      <w:r w:rsidRPr="00CF1B1E">
        <w:t>2026)0</w:t>
      </w:r>
      <w:r w:rsidRPr="00CF1B1E" w:rsidR="00A46CF3">
        <w:t>106</w:t>
      </w:r>
      <w:bookmarkEnd w:id="0"/>
    </w:p>
    <w:p w:rsidR="004A16B2" w:rsidRPr="00CF1B1E" w:rsidP="004A16B2" w14:paraId="3A69F535" w14:textId="4AB7F7A8">
      <w:pPr>
        <w:pStyle w:val="ATHeading2"/>
      </w:pPr>
      <w:bookmarkStart w:id="1" w:name="title"/>
      <w:r w:rsidRPr="00CF1B1E">
        <w:t>R</w:t>
      </w:r>
      <w:r w:rsidRPr="00CF1B1E" w:rsidR="00AA1647">
        <w:t>ichiesta di r</w:t>
      </w:r>
      <w:r w:rsidRPr="00CF1B1E">
        <w:t xml:space="preserve">evoca dell'immunità di Daniel </w:t>
      </w:r>
      <w:r w:rsidRPr="00CF1B1E">
        <w:t>Obajtek</w:t>
      </w:r>
      <w:bookmarkEnd w:id="1"/>
    </w:p>
    <w:p w:rsidR="004A16B2" w:rsidRPr="00CF1B1E" w:rsidP="004A16B2" w14:paraId="0DF0B95D" w14:textId="77777777">
      <w:pPr>
        <w:rPr>
          <w:i/>
          <w:vanish/>
        </w:rPr>
      </w:pPr>
      <w:r>
        <w:rPr>
          <w:i/>
        </w:rPr>
        <w:fldChar w:fldCharType="begin"/>
      </w:r>
      <w:r w:rsidRPr="00CF1B1E">
        <w:rPr>
          <w:i/>
        </w:rPr>
        <w:instrText xml:space="preserve"> TC"(</w:instrText>
      </w:r>
      <w:bookmarkStart w:id="2" w:name="DocNumber"/>
      <w:r w:rsidRPr="00CF1B1E">
        <w:rPr>
          <w:i/>
        </w:rPr>
        <w:instrText>A10-0115/2026</w:instrText>
      </w:r>
      <w:bookmarkEnd w:id="2"/>
      <w:r w:rsidRPr="00CF1B1E">
        <w:rPr>
          <w:i/>
        </w:rPr>
        <w:instrText xml:space="preserve"> - Relatrice: Pascale Piera)"\l3 \n&gt; \* MERGEFORMAT </w:instrText>
      </w:r>
      <w:r>
        <w:rPr>
          <w:i/>
        </w:rPr>
        <w:fldChar w:fldCharType="end"/>
      </w:r>
    </w:p>
    <w:p w:rsidR="004A16B2" w:rsidRPr="00CF1B1E" w:rsidP="004A16B2" w14:paraId="6703E6B8" w14:textId="77777777">
      <w:pPr>
        <w:rPr>
          <w:vanish/>
        </w:rPr>
      </w:pPr>
      <w:bookmarkStart w:id="3" w:name="Commission"/>
      <w:r w:rsidRPr="00CF1B1E">
        <w:rPr>
          <w:vanish/>
        </w:rPr>
        <w:t>Commissione giuridica</w:t>
      </w:r>
      <w:bookmarkEnd w:id="3"/>
    </w:p>
    <w:p w:rsidR="004A16B2" w:rsidRPr="00CF1B1E" w:rsidP="004A16B2" w14:paraId="1BB71B0E" w14:textId="77777777">
      <w:pPr>
        <w:rPr>
          <w:vanish/>
        </w:rPr>
      </w:pPr>
      <w:bookmarkStart w:id="4" w:name="PE"/>
      <w:r w:rsidRPr="00CF1B1E">
        <w:rPr>
          <w:vanish/>
        </w:rPr>
        <w:t>PE786.910</w:t>
      </w:r>
      <w:bookmarkEnd w:id="4"/>
    </w:p>
    <w:p w:rsidR="004A16B2" w:rsidRPr="00CF1B1E" w:rsidP="004A16B2" w14:paraId="5A95A560" w14:textId="2C54B07C">
      <w:pPr>
        <w:pStyle w:val="ATHeading3"/>
      </w:pPr>
      <w:bookmarkStart w:id="5" w:name="Sujet"/>
      <w:r w:rsidRPr="00CF1B1E">
        <w:t xml:space="preserve">Decisione del Parlamento europeo del </w:t>
      </w:r>
      <w:r w:rsidRPr="00CF1B1E" w:rsidR="00AA1647">
        <w:t>28</w:t>
      </w:r>
      <w:r w:rsidRPr="00CF1B1E">
        <w:t xml:space="preserve"> aprile 2026 sulla richiesta di revoca dell'immunità di Daniel </w:t>
      </w:r>
      <w:r w:rsidRPr="00CF1B1E">
        <w:t>Obajtek</w:t>
      </w:r>
      <w:bookmarkEnd w:id="5"/>
      <w:r w:rsidRPr="00CF1B1E">
        <w:t xml:space="preserve"> </w:t>
      </w:r>
      <w:bookmarkStart w:id="6" w:name="References"/>
      <w:r w:rsidRPr="00CF1B1E">
        <w:t>(2025/2172(IMM))</w:t>
      </w:r>
      <w:bookmarkEnd w:id="6"/>
    </w:p>
    <w:p w:rsidR="00DE443B" w:rsidRPr="00CF1B1E" w:rsidP="00DE443B" w14:paraId="379D309D" w14:textId="77777777">
      <w:pPr>
        <w:pStyle w:val="EPComma"/>
      </w:pPr>
      <w:bookmarkStart w:id="7" w:name="TextBodyBegin"/>
      <w:bookmarkEnd w:id="7"/>
      <w:r w:rsidRPr="00CF1B1E">
        <w:rPr>
          <w:i/>
        </w:rPr>
        <w:t>Il Parlamento europeo</w:t>
      </w:r>
      <w:r w:rsidRPr="00CF1B1E">
        <w:t>,</w:t>
      </w:r>
    </w:p>
    <w:p w:rsidR="00DE443B" w:rsidRPr="00CF1B1E" w:rsidP="00CE1004" w14:paraId="245ECFFA" w14:textId="04AE9BA5">
      <w:pPr>
        <w:pStyle w:val="NormalHanging12a"/>
        <w:widowControl/>
      </w:pPr>
      <w:r w:rsidRPr="00CF1B1E">
        <w:t>–</w:t>
      </w:r>
      <w:r w:rsidRPr="00CF1B1E">
        <w:tab/>
        <w:t xml:space="preserve">vista la richiesta di revoca dell'immunità di Daniel </w:t>
      </w:r>
      <w:r w:rsidRPr="00CF1B1E">
        <w:t>Obajtek</w:t>
      </w:r>
      <w:r w:rsidRPr="00CF1B1E">
        <w:t xml:space="preserve">, </w:t>
      </w:r>
      <w:r w:rsidRPr="00CF1B1E" w:rsidR="00AA1647">
        <w:t>ricevuta con lettera</w:t>
      </w:r>
      <w:r w:rsidRPr="00CF1B1E">
        <w:t xml:space="preserve"> in data 21 luglio 2025 dal procuratore generale della Repubblica di Polonia</w:t>
      </w:r>
      <w:r w:rsidRPr="00CF1B1E" w:rsidR="00AA1647">
        <w:t>,</w:t>
      </w:r>
      <w:r w:rsidRPr="00CF1B1E">
        <w:t xml:space="preserve"> recante una richiesta d</w:t>
      </w:r>
      <w:r w:rsidRPr="00CF1B1E" w:rsidR="00AA1647">
        <w:t>e</w:t>
      </w:r>
      <w:r w:rsidRPr="00CF1B1E">
        <w:t xml:space="preserve">lla procura regionale di Varsavia nel quadro di un procedimento penale da avviare nei confronti di Daniel </w:t>
      </w:r>
      <w:r w:rsidRPr="00CF1B1E">
        <w:t>Obajtek</w:t>
      </w:r>
      <w:r w:rsidRPr="00CF1B1E">
        <w:t>, e comunicata in Aula l'8 settembre 2025,</w:t>
      </w:r>
    </w:p>
    <w:p w:rsidR="00DE443B" w:rsidRPr="00CF1B1E" w:rsidP="00CE1004" w14:paraId="645D7499" w14:textId="77777777">
      <w:pPr>
        <w:pStyle w:val="NormalHanging12a"/>
        <w:widowControl/>
      </w:pPr>
      <w:r w:rsidRPr="00CF1B1E">
        <w:t>–</w:t>
      </w:r>
      <w:r w:rsidRPr="00CF1B1E">
        <w:tab/>
        <w:t xml:space="preserve">avendo ascoltato Daniel </w:t>
      </w:r>
      <w:r w:rsidRPr="00CF1B1E">
        <w:t>Obajtek</w:t>
      </w:r>
      <w:r w:rsidRPr="00CF1B1E">
        <w:t xml:space="preserve"> il 12 febbraio 2026 a norma dell'articolo 9, paragrafo 6, del suo regolamento,</w:t>
      </w:r>
    </w:p>
    <w:p w:rsidR="00DE443B" w:rsidRPr="00CF1B1E" w:rsidP="00CE1004" w14:paraId="704EF60F" w14:textId="77777777">
      <w:pPr>
        <w:pStyle w:val="NormalHanging12a"/>
        <w:widowControl/>
      </w:pPr>
      <w:r w:rsidRPr="00CF1B1E">
        <w:t>–</w:t>
      </w:r>
      <w:r w:rsidRPr="00CF1B1E">
        <w:tab/>
        <w:t>visti gli articoli 8 e 9 del protocollo n. 7 sui privilegi e sulle immunità dell'Unione europea e l'articolo 6, paragrafo 2, dell'atto relativo all'elezione dei membri del Parlamento europeo a suffragio universale diretto, del 20 settembre 1976,</w:t>
      </w:r>
    </w:p>
    <w:p w:rsidR="00DE443B" w:rsidRPr="00CF1B1E" w:rsidP="00CE1004" w14:paraId="20428D8B" w14:textId="77777777">
      <w:pPr>
        <w:pStyle w:val="NormalHanging12a"/>
        <w:widowControl/>
      </w:pPr>
      <w:r w:rsidRPr="00CF1B1E">
        <w:t>–</w:t>
      </w:r>
      <w:r w:rsidRPr="00CF1B1E">
        <w:tab/>
        <w:t>viste le sentenze pronunciate dalla Corte di giustizia dell'Unione europea il 21 ottobre 2008, 19 marzo 2010, 6 settembre 2011, 17 gennaio 2013 e 19 dicembre 2019</w:t>
      </w:r>
      <w:r>
        <w:rPr>
          <w:rStyle w:val="FootnoteReference"/>
          <w:color w:val="000000"/>
        </w:rPr>
        <w:footnoteReference w:id="2"/>
      </w:r>
      <w:r w:rsidRPr="00CF1B1E">
        <w:t>,</w:t>
      </w:r>
    </w:p>
    <w:p w:rsidR="00DE443B" w:rsidRPr="00CF1B1E" w:rsidP="00DE443B" w14:paraId="343CDD25" w14:textId="77777777">
      <w:pPr>
        <w:pStyle w:val="NormalHanging12a"/>
        <w:widowControl/>
      </w:pPr>
      <w:r w:rsidRPr="00CF1B1E">
        <w:t>–</w:t>
      </w:r>
      <w:r w:rsidRPr="00CF1B1E">
        <w:tab/>
        <w:t>visto l'articolo 105, paragrafi 2 e 5, della Costituzione della Repubblica di Polonia,</w:t>
      </w:r>
    </w:p>
    <w:p w:rsidR="00DE443B" w:rsidRPr="00CF1B1E" w:rsidP="00CE1004" w14:paraId="1DFCB181" w14:textId="77777777">
      <w:pPr>
        <w:pStyle w:val="NormalHanging12a"/>
        <w:widowControl/>
      </w:pPr>
      <w:r w:rsidRPr="00CF1B1E">
        <w:t>–</w:t>
      </w:r>
      <w:r w:rsidRPr="00CF1B1E">
        <w:tab/>
        <w:t>visti l'articolo 5, paragrafo 2, l'articolo 6, paragrafo 1, e l'articolo 9 del suo regolamento,</w:t>
      </w:r>
    </w:p>
    <w:p w:rsidR="00DE443B" w:rsidRPr="00CF1B1E" w:rsidP="00DE443B" w14:paraId="02326C45" w14:textId="77777777">
      <w:pPr>
        <w:pStyle w:val="NormalHanging12a"/>
        <w:widowControl/>
      </w:pPr>
      <w:r w:rsidRPr="00CF1B1E">
        <w:t>–</w:t>
      </w:r>
      <w:r w:rsidRPr="00CF1B1E">
        <w:tab/>
        <w:t>vista la relazione della commissione giuridica (A10</w:t>
      </w:r>
      <w:r w:rsidRPr="00CF1B1E">
        <w:noBreakHyphen/>
        <w:t>0115/2026),</w:t>
      </w:r>
    </w:p>
    <w:p w:rsidR="00DE443B" w:rsidRPr="00CF1B1E" w:rsidP="00CE1004" w14:paraId="637054B4" w14:textId="3995B35A">
      <w:pPr>
        <w:pStyle w:val="NormalHanging12a"/>
        <w:widowControl/>
      </w:pPr>
      <w:r w:rsidRPr="00CF1B1E">
        <w:t>A.</w:t>
      </w:r>
      <w:r w:rsidRPr="00CF1B1E">
        <w:tab/>
        <w:t xml:space="preserve">considerando che, con lettera in data 21 luglio 2025, il procuratore generale della Repubblica di Polonia ha trasmesso una richiesta </w:t>
      </w:r>
      <w:r w:rsidRPr="00CF1B1E" w:rsidR="0020697D">
        <w:t xml:space="preserve">della procura regionale di Varsavia </w:t>
      </w:r>
      <w:r w:rsidRPr="00CF1B1E">
        <w:t xml:space="preserve">di revoca dell'immunità di Daniel </w:t>
      </w:r>
      <w:r w:rsidRPr="00CF1B1E">
        <w:t>Obajtek</w:t>
      </w:r>
      <w:r w:rsidRPr="00CF1B1E">
        <w:t xml:space="preserve">, </w:t>
      </w:r>
      <w:r w:rsidRPr="00CF1B1E" w:rsidR="0020697D">
        <w:t>deputato al Parlamento europeo eletto in Polonia</w:t>
      </w:r>
      <w:r w:rsidRPr="00CF1B1E">
        <w:t xml:space="preserve">, in relazione al presunto reato ai sensi dell'articolo 233, paragrafo 1, del </w:t>
      </w:r>
      <w:r w:rsidRPr="00CF1B1E">
        <w:t>codice penale</w:t>
      </w:r>
      <w:r w:rsidRPr="00CF1B1E">
        <w:t xml:space="preserve"> polacco, come pure dell'articolo 49 in combinato disposto con l'articolo 3 della legge sulla stampa del 26 gennaio 1984;</w:t>
      </w:r>
    </w:p>
    <w:p w:rsidR="00DE443B" w:rsidRPr="00CF1B1E" w:rsidP="00CE1004" w14:paraId="676E5BBA" w14:textId="240D6F1E">
      <w:pPr>
        <w:pStyle w:val="NormalHanging12a"/>
        <w:widowControl/>
      </w:pPr>
      <w:r w:rsidRPr="00CF1B1E">
        <w:t>B.</w:t>
      </w:r>
      <w:r w:rsidRPr="00CF1B1E">
        <w:tab/>
        <w:t xml:space="preserve">considerando che, secondo la richiesta di revoca dell'immunità, il 15 maggio 2024 la procura regionale di Varsavia ha avviato un'indagine per presunta falsa testimonianza; che, secondo la suddetta richiesta, tale presunta falsa testimonianza è stata depositata l'11 maggio 2023 da due persone, tra cui Daniel </w:t>
      </w:r>
      <w:r w:rsidRPr="00CF1B1E">
        <w:t>Obajtek</w:t>
      </w:r>
      <w:r w:rsidRPr="00CF1B1E">
        <w:t xml:space="preserve"> in qualità di testimone e</w:t>
      </w:r>
      <w:r w:rsidRPr="00CF1B1E" w:rsidR="0015430B">
        <w:t>d</w:t>
      </w:r>
      <w:r w:rsidRPr="00CF1B1E">
        <w:t xml:space="preserve"> esse</w:t>
      </w:r>
      <w:r w:rsidRPr="00CF1B1E" w:rsidR="0015430B">
        <w:t>ndo</w:t>
      </w:r>
      <w:r w:rsidRPr="00CF1B1E">
        <w:t xml:space="preserve"> stato informato della responsabilità penale in caso di falsa testimonianza, nel procedimento dinanzi al Tribunale regionale di Varsavia-</w:t>
      </w:r>
      <w:r w:rsidRPr="00CF1B1E">
        <w:t>Śródmieście</w:t>
      </w:r>
      <w:r w:rsidRPr="00CF1B1E">
        <w:t xml:space="preserve"> a Varsavia in relazione all'azione civile intentata dal ricorrente contro l'imputato per un reato di cui all'articolo 212, paragrafo 2, del codice penale polacco, relativo alla diffamazione;</w:t>
      </w:r>
    </w:p>
    <w:p w:rsidR="00DE443B" w:rsidRPr="00CF1B1E" w:rsidP="00CE1004" w14:paraId="0FC1D35A" w14:textId="26BE5863">
      <w:pPr>
        <w:pStyle w:val="NormalHanging12a"/>
        <w:widowControl/>
      </w:pPr>
      <w:r w:rsidRPr="00CF1B1E">
        <w:rPr>
          <w:color w:val="000000"/>
        </w:rPr>
        <w:t>C.</w:t>
      </w:r>
      <w:r w:rsidRPr="00CF1B1E">
        <w:rPr>
          <w:color w:val="000000"/>
        </w:rPr>
        <w:tab/>
      </w:r>
      <w:r w:rsidRPr="00CF1B1E">
        <w:t>considerando che</w:t>
      </w:r>
      <w:r w:rsidRPr="00CF1B1E" w:rsidR="0020697D">
        <w:t>, secondo la richiesta,</w:t>
      </w:r>
      <w:r w:rsidRPr="00CF1B1E">
        <w:t xml:space="preserve"> </w:t>
      </w:r>
      <w:r w:rsidRPr="00CF1B1E">
        <w:t>Polski</w:t>
      </w:r>
      <w:r w:rsidRPr="00CF1B1E">
        <w:t xml:space="preserve"> </w:t>
      </w:r>
      <w:r w:rsidRPr="00CF1B1E">
        <w:t>Koncern</w:t>
      </w:r>
      <w:r w:rsidRPr="00CF1B1E">
        <w:t xml:space="preserve"> </w:t>
      </w:r>
      <w:r w:rsidRPr="00CF1B1E">
        <w:t>Naftowy</w:t>
      </w:r>
      <w:r w:rsidRPr="00CF1B1E">
        <w:t xml:space="preserve"> ORLEN </w:t>
      </w:r>
      <w:r w:rsidRPr="00CF1B1E">
        <w:t>Spółka</w:t>
      </w:r>
      <w:r w:rsidRPr="00CF1B1E">
        <w:t xml:space="preserve"> </w:t>
      </w:r>
      <w:r w:rsidRPr="00CF1B1E">
        <w:t>Akcyjna</w:t>
      </w:r>
      <w:r w:rsidRPr="00CF1B1E">
        <w:t xml:space="preserve"> ha concluso un contratto per la distribuzione della rivista settimanale "NIE", pubblicata dalla società a responsabilità limitata URMA, presso tutti i punti vendita delle stazioni di servizio ORLEN;</w:t>
      </w:r>
      <w:r w:rsidRPr="00CF1B1E">
        <w:rPr>
          <w:color w:val="000000"/>
        </w:rPr>
        <w:t xml:space="preserve"> </w:t>
      </w:r>
      <w:r w:rsidRPr="00CF1B1E">
        <w:t xml:space="preserve">che il 10 marzo 2023 è stato distribuito il numero 10 della rivista settimanale; che il 14 marzo 2023, poiché sulla copertina di tale numero della rivista settimanale figurava un'immagine di Papa Giovanni Paolo II con in mano un crocifisso sul quale </w:t>
      </w:r>
      <w:r w:rsidRPr="00CF1B1E" w:rsidR="00DB2DEE">
        <w:t xml:space="preserve">vi </w:t>
      </w:r>
      <w:r w:rsidRPr="00CF1B1E">
        <w:t xml:space="preserve">era una bambola nuda al posto di Gesù e in ragione delle opinioni negative espresse all'interno della rivista sulle misure adottate da Papa Giovanni Paolo II sulla questione dello sfruttamento sessuale dei minori da parte di membri del clero, Daniel </w:t>
      </w:r>
      <w:r w:rsidRPr="00CF1B1E">
        <w:t>Obajtek</w:t>
      </w:r>
      <w:r w:rsidRPr="00CF1B1E">
        <w:t xml:space="preserve">, </w:t>
      </w:r>
      <w:r w:rsidRPr="00CF1B1E" w:rsidR="0020697D">
        <w:t xml:space="preserve">a Varsavia, </w:t>
      </w:r>
      <w:r w:rsidRPr="00CF1B1E">
        <w:t xml:space="preserve">in qualità di presidente del consiglio di amministrazione di </w:t>
      </w:r>
      <w:r w:rsidRPr="00CF1B1E">
        <w:t>Polski</w:t>
      </w:r>
      <w:r w:rsidRPr="00CF1B1E">
        <w:t xml:space="preserve"> </w:t>
      </w:r>
      <w:r w:rsidRPr="00CF1B1E">
        <w:t>Koncern</w:t>
      </w:r>
      <w:r w:rsidRPr="00CF1B1E">
        <w:t xml:space="preserve"> </w:t>
      </w:r>
      <w:r w:rsidRPr="00CF1B1E">
        <w:t>Naftowy</w:t>
      </w:r>
      <w:r w:rsidRPr="00CF1B1E">
        <w:t xml:space="preserve"> ORLEN </w:t>
      </w:r>
      <w:r w:rsidRPr="00CF1B1E">
        <w:t>Spółka</w:t>
      </w:r>
      <w:r w:rsidRPr="00CF1B1E">
        <w:t xml:space="preserve"> </w:t>
      </w:r>
      <w:r w:rsidRPr="00CF1B1E">
        <w:t>Akcyjna</w:t>
      </w:r>
      <w:r w:rsidRPr="00CF1B1E">
        <w:t xml:space="preserve">, avrebbe chiesto che il numero 10/2023 della rivista settimanale "NIE" fosse ritirato con urgenza dagli scaffali di tutti i punti vendita di </w:t>
      </w:r>
      <w:r w:rsidRPr="00CF1B1E">
        <w:t>Polski</w:t>
      </w:r>
      <w:r w:rsidRPr="00CF1B1E">
        <w:t xml:space="preserve"> </w:t>
      </w:r>
      <w:r w:rsidRPr="00CF1B1E">
        <w:t>Koncern</w:t>
      </w:r>
      <w:r w:rsidRPr="00CF1B1E">
        <w:t xml:space="preserve"> </w:t>
      </w:r>
      <w:r w:rsidRPr="00CF1B1E">
        <w:t>Naftowy</w:t>
      </w:r>
      <w:r w:rsidRPr="00CF1B1E">
        <w:t xml:space="preserve"> ORLEN </w:t>
      </w:r>
      <w:r w:rsidRPr="00CF1B1E">
        <w:t>Spółka</w:t>
      </w:r>
      <w:r w:rsidRPr="00CF1B1E">
        <w:t xml:space="preserve"> </w:t>
      </w:r>
      <w:r w:rsidRPr="00CF1B1E">
        <w:t>Akcyjna</w:t>
      </w:r>
      <w:r w:rsidRPr="00CF1B1E">
        <w:t xml:space="preserve"> e che non fosse più messo in vendita, limitando in tal modo l'acquisto della rivista che </w:t>
      </w:r>
      <w:r w:rsidRPr="00CF1B1E">
        <w:t>Polski</w:t>
      </w:r>
      <w:r w:rsidRPr="00CF1B1E">
        <w:t xml:space="preserve"> </w:t>
      </w:r>
      <w:r w:rsidRPr="00CF1B1E">
        <w:t>Koncern</w:t>
      </w:r>
      <w:r w:rsidRPr="00CF1B1E">
        <w:t xml:space="preserve"> </w:t>
      </w:r>
      <w:r w:rsidRPr="00CF1B1E">
        <w:t>Naftowy</w:t>
      </w:r>
      <w:r w:rsidRPr="00CF1B1E">
        <w:t xml:space="preserve"> OREN </w:t>
      </w:r>
      <w:r w:rsidRPr="00CF1B1E">
        <w:t>Spółka</w:t>
      </w:r>
      <w:r w:rsidRPr="00CF1B1E">
        <w:t xml:space="preserve"> </w:t>
      </w:r>
      <w:r w:rsidRPr="00CF1B1E">
        <w:t>Akcyjna</w:t>
      </w:r>
      <w:r w:rsidRPr="00CF1B1E">
        <w:t xml:space="preserve"> si era impegnata a distribuire, il che costituisce un reato a norma dell'articolo 49 in combinato disposto con l'articolo 3 della legge sulla stampa del 26 gennaio 1984;</w:t>
      </w:r>
    </w:p>
    <w:p w:rsidR="00DE443B" w:rsidRPr="00CF1B1E" w:rsidP="00CE1004" w14:paraId="19D5E2F0" w14:textId="7D131744">
      <w:pPr>
        <w:pStyle w:val="NormalHanging12a"/>
        <w:widowControl/>
        <w:rPr>
          <w:shd w:val="clear" w:color="auto" w:fill="FFFFFF"/>
        </w:rPr>
      </w:pPr>
      <w:r w:rsidRPr="00CF1B1E">
        <w:rPr>
          <w:color w:val="000000"/>
        </w:rPr>
        <w:t>D.</w:t>
      </w:r>
      <w:r w:rsidRPr="00CF1B1E">
        <w:rPr>
          <w:color w:val="000000"/>
        </w:rPr>
        <w:tab/>
      </w:r>
      <w:r w:rsidRPr="00CF1B1E">
        <w:t xml:space="preserve">considerando </w:t>
      </w:r>
      <w:r w:rsidRPr="00CF1B1E">
        <w:rPr>
          <w:shd w:val="clear" w:color="auto" w:fill="FFFFFF"/>
        </w:rPr>
        <w:t>che</w:t>
      </w:r>
      <w:r w:rsidRPr="00CF1B1E">
        <w:t xml:space="preserve"> Daniel </w:t>
      </w:r>
      <w:r w:rsidRPr="00CF1B1E">
        <w:t>Obajtek</w:t>
      </w:r>
      <w:r w:rsidRPr="00CF1B1E">
        <w:t xml:space="preserve"> </w:t>
      </w:r>
      <w:r w:rsidRPr="00CF1B1E">
        <w:rPr>
          <w:shd w:val="clear" w:color="auto" w:fill="FFFFFF"/>
        </w:rPr>
        <w:t xml:space="preserve">è stato eletto al Parlamento </w:t>
      </w:r>
      <w:r w:rsidRPr="00CF1B1E">
        <w:rPr>
          <w:shd w:val="clear" w:color="auto" w:fill="FFFFFF"/>
        </w:rPr>
        <w:t xml:space="preserve">europeo  </w:t>
      </w:r>
      <w:r w:rsidRPr="00CF1B1E" w:rsidR="00582C4A">
        <w:rPr>
          <w:shd w:val="clear" w:color="auto" w:fill="FFFFFF"/>
        </w:rPr>
        <w:t>a</w:t>
      </w:r>
      <w:r w:rsidRPr="00CF1B1E">
        <w:rPr>
          <w:shd w:val="clear" w:color="auto" w:fill="FFFFFF"/>
        </w:rPr>
        <w:t>lle</w:t>
      </w:r>
      <w:r w:rsidRPr="00CF1B1E">
        <w:rPr>
          <w:shd w:val="clear" w:color="auto" w:fill="FFFFFF"/>
        </w:rPr>
        <w:t xml:space="preserve"> elezioni europee del giugno 2024 e </w:t>
      </w:r>
      <w:r w:rsidRPr="00CF1B1E">
        <w:t xml:space="preserve">che </w:t>
      </w:r>
      <w:r w:rsidRPr="00CF1B1E" w:rsidR="00582C4A">
        <w:rPr>
          <w:shd w:val="clear" w:color="auto" w:fill="FFFFFF"/>
        </w:rPr>
        <w:t>pertanto</w:t>
      </w:r>
      <w:r w:rsidRPr="00CF1B1E">
        <w:rPr>
          <w:shd w:val="clear" w:color="auto" w:fill="FFFFFF"/>
        </w:rPr>
        <w:t xml:space="preserve"> non era deputato al Parlamento europeo all'epoca dei presunti reati o al momento dell'avvio dell'indagine penale per i presunti reati;</w:t>
      </w:r>
    </w:p>
    <w:p w:rsidR="00DE443B" w:rsidRPr="00CF1B1E" w:rsidP="00CE1004" w14:paraId="3D6FD05A" w14:textId="08F9360A">
      <w:pPr>
        <w:pStyle w:val="NormalHanging12a"/>
        <w:widowControl/>
      </w:pPr>
      <w:r w:rsidRPr="00CF1B1E">
        <w:t>E.</w:t>
      </w:r>
      <w:r w:rsidRPr="00CF1B1E">
        <w:tab/>
        <w:t xml:space="preserve">considerando che i presunti reati e la successiva richiesta di revoca dell'immunità </w:t>
      </w:r>
      <w:r w:rsidRPr="00CF1B1E" w:rsidR="00582C4A">
        <w:t>di Daniel </w:t>
      </w:r>
      <w:r w:rsidRPr="00CF1B1E" w:rsidR="00582C4A">
        <w:t>Obajtek</w:t>
      </w:r>
      <w:r w:rsidRPr="00CF1B1E" w:rsidR="00582C4A">
        <w:t xml:space="preserve"> </w:t>
      </w:r>
      <w:r w:rsidRPr="00CF1B1E">
        <w:t xml:space="preserve">non si riferiscono a opinioni o voti espressi da </w:t>
      </w:r>
      <w:r w:rsidRPr="00CF1B1E" w:rsidR="00582C4A">
        <w:t>quest’ultimo</w:t>
      </w:r>
      <w:r w:rsidRPr="00CF1B1E">
        <w:t xml:space="preserve"> nell'esercizio delle sue funzioni ai sensi dell'articolo 8 del protocollo n. 7 sui privilegi e sulle immunità dell'Unione europea;</w:t>
      </w:r>
    </w:p>
    <w:p w:rsidR="00DE443B" w:rsidRPr="00CF1B1E" w:rsidP="00CE1004" w14:paraId="0598EB42" w14:textId="733C5410">
      <w:pPr>
        <w:pStyle w:val="NormalHanging12a"/>
        <w:widowControl/>
      </w:pPr>
      <w:r w:rsidRPr="00CF1B1E">
        <w:t>F.</w:t>
      </w:r>
      <w:r w:rsidRPr="00CF1B1E">
        <w:tab/>
        <w:t>considerando che l'articolo 9, primo comma, lettera a), del protocollo n. 7 sui privilegi e sulle immunità dell'Unione europea stabilisce che</w:t>
      </w:r>
      <w:r w:rsidRPr="00CF1B1E" w:rsidR="00676CA8">
        <w:t>, per la durata delle sessioni del Parlamento europeo,</w:t>
      </w:r>
      <w:r w:rsidRPr="00CF1B1E">
        <w:t xml:space="preserve"> i membri</w:t>
      </w:r>
      <w:r w:rsidRPr="00CF1B1E" w:rsidR="00FB2982">
        <w:t xml:space="preserve"> di esso</w:t>
      </w:r>
      <w:r w:rsidRPr="00CF1B1E">
        <w:t xml:space="preserve"> beneficiano, sul territorio nazionale, delle immunità riconosciute ai membri del parlamento del loro </w:t>
      </w:r>
      <w:r w:rsidRPr="00CF1B1E" w:rsidR="00676CA8">
        <w:t>Stato membro</w:t>
      </w:r>
      <w:r w:rsidRPr="00CF1B1E">
        <w:t>;</w:t>
      </w:r>
    </w:p>
    <w:p w:rsidR="00DE443B" w:rsidRPr="00CF1B1E" w:rsidP="00CE1004" w14:paraId="5685FF4B" w14:textId="44F945ED">
      <w:pPr>
        <w:pStyle w:val="NormalHanging12a"/>
        <w:widowControl/>
      </w:pPr>
      <w:r w:rsidRPr="00CF1B1E">
        <w:t>G.</w:t>
      </w:r>
      <w:r w:rsidRPr="00CF1B1E">
        <w:tab/>
        <w:t xml:space="preserve">considerando che, </w:t>
      </w:r>
      <w:r w:rsidRPr="00CF1B1E" w:rsidR="00CE1004">
        <w:t>a norma</w:t>
      </w:r>
      <w:r w:rsidRPr="00CF1B1E">
        <w:t xml:space="preserve"> </w:t>
      </w:r>
      <w:r w:rsidRPr="00CF1B1E" w:rsidR="00CE1004">
        <w:t>de</w:t>
      </w:r>
      <w:r w:rsidRPr="00CF1B1E">
        <w:t xml:space="preserve">ll'articolo 105, paragrafi 2 e 5, della Costituzione della Repubblica di Polonia, dal giorno in cui sono annunciati i risultati elettorali fino al </w:t>
      </w:r>
      <w:r w:rsidRPr="00CF1B1E">
        <w:t xml:space="preserve">giorno in cui termina il suo mandato, un deputato non può essere chiamato a rispondere penalmente senza l'autorizzazione del </w:t>
      </w:r>
      <w:r w:rsidRPr="00CF1B1E">
        <w:rPr>
          <w:i/>
          <w:iCs/>
        </w:rPr>
        <w:t>Sejm</w:t>
      </w:r>
      <w:r w:rsidRPr="00CF1B1E">
        <w:t xml:space="preserve"> e non può essere detenuto o arrestato senza l'autorizzazione del </w:t>
      </w:r>
      <w:r w:rsidRPr="00CF1B1E">
        <w:rPr>
          <w:i/>
          <w:iCs/>
        </w:rPr>
        <w:t>Sejm</w:t>
      </w:r>
      <w:r w:rsidRPr="00CF1B1E">
        <w:t xml:space="preserve">, tranne nei casi in cui il deputato sia fermato in flagranza di reato o in cui la sua detenzione </w:t>
      </w:r>
      <w:r w:rsidRPr="00CF1B1E" w:rsidR="00CE1004">
        <w:t>sia</w:t>
      </w:r>
      <w:r w:rsidRPr="00CF1B1E">
        <w:t xml:space="preserve"> necessaria per garantire l'adeguato svolgimento del procedimento;</w:t>
      </w:r>
    </w:p>
    <w:p w:rsidR="00DE443B" w:rsidRPr="00CF1B1E" w:rsidP="00CE1004" w14:paraId="6D9FC28D" w14:textId="56BCA1E4">
      <w:pPr>
        <w:pStyle w:val="NormalHanging12a"/>
        <w:widowControl/>
      </w:pPr>
      <w:r w:rsidRPr="00CF1B1E">
        <w:t>H.</w:t>
      </w:r>
      <w:r w:rsidRPr="00CF1B1E">
        <w:tab/>
        <w:t xml:space="preserve">considerando che, </w:t>
      </w:r>
      <w:r w:rsidRPr="00CF1B1E" w:rsidR="003C2B65">
        <w:t>conformemente</w:t>
      </w:r>
      <w:r w:rsidRPr="00CF1B1E">
        <w:t xml:space="preserve"> </w:t>
      </w:r>
      <w:r w:rsidRPr="00CF1B1E" w:rsidR="003C2B65">
        <w:t>a</w:t>
      </w:r>
      <w:r w:rsidRPr="00CF1B1E">
        <w:t>ll'articolo 5, paragrafo 2, del suo regolamento, l'immunità parlamentare non è un privilegio personale del deputato ma una garanzia di indipendenza del Parlamento in quanto istituzione e dei suoi membri;</w:t>
      </w:r>
    </w:p>
    <w:p w:rsidR="00DE443B" w:rsidRPr="00CF1B1E" w:rsidP="00CE1004" w14:paraId="24F7810D" w14:textId="715D13B4">
      <w:pPr>
        <w:pStyle w:val="NormalHanging12a"/>
        <w:widowControl/>
      </w:pPr>
      <w:r w:rsidRPr="00CF1B1E">
        <w:t>I.</w:t>
      </w:r>
      <w:r w:rsidRPr="00CF1B1E">
        <w:tab/>
        <w:t xml:space="preserve">considerando che l'immunità </w:t>
      </w:r>
      <w:r w:rsidRPr="00CF1B1E" w:rsidR="00CE1004">
        <w:t>prevista</w:t>
      </w:r>
      <w:r w:rsidRPr="00CF1B1E">
        <w:t xml:space="preserve"> </w:t>
      </w:r>
      <w:r w:rsidRPr="00CF1B1E" w:rsidR="00CE1004">
        <w:t>d</w:t>
      </w:r>
      <w:r w:rsidRPr="00CF1B1E">
        <w:t xml:space="preserve">al protocollo n. 7 sui privilegi e sulle immunità dell'Unione europea è intesa a proteggere il Parlamento e i deputati che lo compongono da procedimenti </w:t>
      </w:r>
      <w:r w:rsidRPr="00CF1B1E" w:rsidR="00CE1004">
        <w:t>giudiziari</w:t>
      </w:r>
      <w:r w:rsidRPr="00CF1B1E">
        <w:t xml:space="preserve"> relativi ad attività svolte nell'esercizio del mandato parlamentare e che non possono essere disgiunte da tale mandato;</w:t>
      </w:r>
    </w:p>
    <w:p w:rsidR="00DE443B" w:rsidRPr="00CF1B1E" w:rsidP="00CE1004" w14:paraId="461EA3DE" w14:textId="35DF0FC3">
      <w:pPr>
        <w:pStyle w:val="NormalHanging12a"/>
        <w:widowControl/>
      </w:pPr>
      <w:r w:rsidRPr="00CF1B1E">
        <w:t>J.</w:t>
      </w:r>
      <w:r w:rsidRPr="00CF1B1E">
        <w:tab/>
        <w:t xml:space="preserve">considerando che, nella fattispecie, il Parlamento non ha riscontrato prova di </w:t>
      </w:r>
      <w:r w:rsidRPr="00CF1B1E">
        <w:rPr>
          <w:i/>
        </w:rPr>
        <w:t xml:space="preserve">fumus </w:t>
      </w:r>
      <w:r w:rsidRPr="00CF1B1E">
        <w:rPr>
          <w:i/>
        </w:rPr>
        <w:t>persecutionis</w:t>
      </w:r>
      <w:r w:rsidRPr="00CF1B1E">
        <w:t xml:space="preserve">, </w:t>
      </w:r>
      <w:r w:rsidRPr="00CF1B1E" w:rsidR="001263B3">
        <w:t xml:space="preserve">ossia non </w:t>
      </w:r>
      <w:r w:rsidRPr="00CF1B1E" w:rsidR="00164159">
        <w:t>si evince</w:t>
      </w:r>
      <w:r w:rsidRPr="00CF1B1E" w:rsidR="001263B3">
        <w:t xml:space="preserve"> </w:t>
      </w:r>
      <w:r w:rsidRPr="00CF1B1E">
        <w:t xml:space="preserve">che l'intento alla base del procedimento giudiziario </w:t>
      </w:r>
      <w:r w:rsidRPr="00CF1B1E" w:rsidR="001263B3">
        <w:t xml:space="preserve">in questione </w:t>
      </w:r>
      <w:r w:rsidRPr="00CF1B1E">
        <w:t xml:space="preserve">sia quello di recare pregiudizio all'attività politica di Daniel </w:t>
      </w:r>
      <w:r w:rsidRPr="00CF1B1E">
        <w:t>Obajtek</w:t>
      </w:r>
      <w:r w:rsidRPr="00CF1B1E">
        <w:t xml:space="preserve"> in quanto </w:t>
      </w:r>
      <w:r w:rsidRPr="00CF1B1E" w:rsidR="00F00E70">
        <w:t>membro</w:t>
      </w:r>
      <w:r w:rsidRPr="00CF1B1E">
        <w:t xml:space="preserve"> </w:t>
      </w:r>
      <w:r w:rsidRPr="00CF1B1E" w:rsidR="00F00E70">
        <w:t>de</w:t>
      </w:r>
      <w:r w:rsidRPr="00CF1B1E">
        <w:t>l Parlamento europeo</w:t>
      </w:r>
      <w:r w:rsidRPr="00CF1B1E" w:rsidR="001263B3">
        <w:t xml:space="preserve"> e </w:t>
      </w:r>
      <w:r w:rsidRPr="00CF1B1E" w:rsidR="00937D84">
        <w:t>di conseguenza</w:t>
      </w:r>
      <w:r w:rsidRPr="00CF1B1E" w:rsidR="001263B3">
        <w:t xml:space="preserve"> all’indipendenza del Parlamento</w:t>
      </w:r>
      <w:r w:rsidRPr="00CF1B1E">
        <w:t>;</w:t>
      </w:r>
    </w:p>
    <w:p w:rsidR="00DE443B" w:rsidRPr="00CF1B1E" w:rsidP="00CE1004" w14:paraId="208154D1" w14:textId="50781201">
      <w:pPr>
        <w:pStyle w:val="NormalHanging12a"/>
        <w:widowControl/>
      </w:pPr>
      <w:r w:rsidRPr="00CF1B1E">
        <w:t>K.</w:t>
      </w:r>
      <w:r w:rsidRPr="00CF1B1E">
        <w:tab/>
        <w:t>considerando, da un lato, che il Parlamento non dovrebbe essere assimilato a un tribunale e, dall'altro</w:t>
      </w:r>
      <w:r w:rsidRPr="00CF1B1E" w:rsidR="000835C5">
        <w:t xml:space="preserve"> lato</w:t>
      </w:r>
      <w:r w:rsidRPr="00CF1B1E">
        <w:t>, che il deputato non dovrebbe, nel contesto di una procedura di revoca dell'immunità, essere considerato un "accusato"</w:t>
      </w:r>
      <w:r>
        <w:rPr>
          <w:rStyle w:val="FootnoteReference"/>
        </w:rPr>
        <w:footnoteReference w:id="3"/>
      </w:r>
      <w:r w:rsidRPr="00CF1B1E">
        <w:t>;</w:t>
      </w:r>
    </w:p>
    <w:p w:rsidR="00DE443B" w:rsidRPr="00CF1B1E" w:rsidP="00DE443B" w14:paraId="1C9F8F40" w14:textId="77777777">
      <w:pPr>
        <w:pStyle w:val="NormalHanging12a"/>
        <w:widowControl/>
      </w:pPr>
      <w:r w:rsidRPr="00CF1B1E">
        <w:t>1.</w:t>
      </w:r>
      <w:r w:rsidRPr="00CF1B1E">
        <w:tab/>
        <w:t xml:space="preserve">decide di revocare l'immunità di Daniel </w:t>
      </w:r>
      <w:r w:rsidRPr="00CF1B1E">
        <w:t>Obajtek</w:t>
      </w:r>
      <w:r w:rsidRPr="00CF1B1E">
        <w:t>;</w:t>
      </w:r>
    </w:p>
    <w:p w:rsidR="008D4E1C" w:rsidRPr="00CF1B1E" w:rsidP="008D4E1C" w14:paraId="30473C01" w14:textId="77777777">
      <w:pPr>
        <w:ind w:left="567" w:hanging="567"/>
      </w:pPr>
      <w:r w:rsidRPr="00CF1B1E">
        <w:t>2.</w:t>
      </w:r>
      <w:r w:rsidRPr="00CF1B1E">
        <w:tab/>
        <w:t>incarica la sua Presidente di trasmettere immediatamente la presente decisione e la relazione della sua commissione competente all'autorità competente della Repubblica di Polonia e a Daniel </w:t>
      </w:r>
      <w:r w:rsidRPr="00CF1B1E">
        <w:t>Obajtek</w:t>
      </w:r>
      <w:r w:rsidRPr="00CF1B1E">
        <w:t xml:space="preserve">. </w:t>
      </w:r>
    </w:p>
    <w:p w:rsidR="00E365E1" w:rsidRPr="00CF1B1E" w:rsidP="004A16B2" w14:paraId="37D5BD38" w14:textId="77777777"/>
    <w:sectPr w:rsidSect="008D4E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E1C" w14:paraId="035F184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E1C" w14:paraId="2B06057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E1C" w14:paraId="49147A1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A16B2" w:rsidRPr="008D4E1C" w14:paraId="7D5DE717" w14:textId="77777777">
      <w:r w:rsidRPr="008D4E1C">
        <w:separator/>
      </w:r>
    </w:p>
  </w:footnote>
  <w:footnote w:type="continuationSeparator" w:id="1">
    <w:p w:rsidR="004A16B2" w:rsidRPr="008D4E1C" w14:paraId="7C10AB7C" w14:textId="77777777">
      <w:r w:rsidRPr="008D4E1C">
        <w:continuationSeparator/>
      </w:r>
    </w:p>
  </w:footnote>
  <w:footnote w:id="2">
    <w:p w:rsidR="00DE443B" w:rsidRPr="008D4E1C" w:rsidP="008D4E1C" w14:paraId="56E40423" w14:textId="77777777">
      <w:pPr>
        <w:pStyle w:val="FootnoteText"/>
        <w:ind w:left="567" w:hanging="567"/>
        <w:rPr>
          <w:sz w:val="24"/>
          <w:vertAlign w:val="superscript"/>
          <w:lang w:val="it-IT"/>
        </w:rPr>
      </w:pPr>
      <w:r w:rsidRPr="008D4E1C">
        <w:rPr>
          <w:rStyle w:val="FootnoteReference"/>
          <w:sz w:val="24"/>
          <w:lang w:val="it-IT"/>
        </w:rPr>
        <w:footnoteRef/>
      </w:r>
      <w:r w:rsidRPr="008D4E1C" w:rsidR="008D4E1C">
        <w:rPr>
          <w:sz w:val="24"/>
          <w:lang w:val="it-IT"/>
        </w:rPr>
        <w:t xml:space="preserve"> </w:t>
      </w:r>
      <w:r w:rsidRPr="008D4E1C" w:rsidR="008D4E1C">
        <w:rPr>
          <w:sz w:val="24"/>
          <w:lang w:val="it-IT"/>
        </w:rPr>
        <w:tab/>
      </w:r>
      <w:r w:rsidRPr="008D4E1C">
        <w:rPr>
          <w:sz w:val="24"/>
          <w:lang w:val="it-IT"/>
        </w:rPr>
        <w:t xml:space="preserve">Sentenza della Corte di giustizia del 21 ottobre 2008, </w:t>
      </w:r>
      <w:r w:rsidRPr="00CF1B1E">
        <w:rPr>
          <w:i/>
          <w:iCs/>
          <w:sz w:val="24"/>
          <w:lang w:val="it-IT"/>
        </w:rPr>
        <w:t>Marra/De Gregorio e Clemente</w:t>
      </w:r>
      <w:r w:rsidRPr="008D4E1C">
        <w:rPr>
          <w:sz w:val="24"/>
          <w:lang w:val="it-IT"/>
        </w:rPr>
        <w:t xml:space="preserve">, C-200/07 e C-201/07, ECLI:EU:C:2008:579; sentenza del Tribunale del 19 marzo 2010, </w:t>
      </w:r>
      <w:r w:rsidRPr="00CF1B1E">
        <w:rPr>
          <w:i/>
          <w:iCs/>
          <w:sz w:val="24"/>
          <w:lang w:val="it-IT"/>
        </w:rPr>
        <w:t>Gollnisch</w:t>
      </w:r>
      <w:r w:rsidRPr="00CF1B1E">
        <w:rPr>
          <w:i/>
          <w:iCs/>
          <w:sz w:val="24"/>
          <w:lang w:val="it-IT"/>
        </w:rPr>
        <w:t>/Parlamento</w:t>
      </w:r>
      <w:r w:rsidRPr="008D4E1C">
        <w:rPr>
          <w:sz w:val="24"/>
          <w:lang w:val="it-IT"/>
        </w:rPr>
        <w:t xml:space="preserve">, T-42/06, ECLI:EU:T:2010:102; sentenza della Corte di giustizia del 6 settembre 2011, </w:t>
      </w:r>
      <w:r w:rsidRPr="00CF1B1E">
        <w:rPr>
          <w:i/>
          <w:iCs/>
          <w:sz w:val="24"/>
          <w:lang w:val="it-IT"/>
        </w:rPr>
        <w:t>Patriciello</w:t>
      </w:r>
      <w:r w:rsidRPr="008D4E1C">
        <w:rPr>
          <w:sz w:val="24"/>
          <w:lang w:val="it-IT"/>
        </w:rPr>
        <w:t xml:space="preserve">, C-163/10, ECLI: EU:C:2011:543; sentenza del Tribunale del 17 gennaio 2013, </w:t>
      </w:r>
      <w:r w:rsidRPr="00CF1B1E">
        <w:rPr>
          <w:i/>
          <w:iCs/>
          <w:sz w:val="24"/>
          <w:lang w:val="it-IT"/>
        </w:rPr>
        <w:t>Gollnisch</w:t>
      </w:r>
      <w:r w:rsidRPr="00CF1B1E">
        <w:rPr>
          <w:i/>
          <w:iCs/>
          <w:sz w:val="24"/>
          <w:lang w:val="it-IT"/>
        </w:rPr>
        <w:t>/Parlamento</w:t>
      </w:r>
      <w:r w:rsidRPr="008D4E1C">
        <w:rPr>
          <w:sz w:val="24"/>
          <w:lang w:val="it-IT"/>
        </w:rPr>
        <w:t xml:space="preserve">, T-346/11 e T-347/11, ECLI:EU:T:2013:23; sentenza della Corte di giustizia del 19 dicembre 2019, </w:t>
      </w:r>
      <w:r w:rsidRPr="00CF1B1E">
        <w:rPr>
          <w:i/>
          <w:iCs/>
          <w:sz w:val="24"/>
          <w:lang w:val="it-IT"/>
        </w:rPr>
        <w:t>Junqueras</w:t>
      </w:r>
      <w:r w:rsidRPr="00CF1B1E">
        <w:rPr>
          <w:i/>
          <w:iCs/>
          <w:sz w:val="24"/>
          <w:lang w:val="it-IT"/>
        </w:rPr>
        <w:t xml:space="preserve"> </w:t>
      </w:r>
      <w:r w:rsidRPr="00CF1B1E">
        <w:rPr>
          <w:i/>
          <w:iCs/>
          <w:sz w:val="24"/>
          <w:lang w:val="it-IT"/>
        </w:rPr>
        <w:t>Vies</w:t>
      </w:r>
      <w:r w:rsidRPr="008D4E1C">
        <w:rPr>
          <w:sz w:val="24"/>
          <w:lang w:val="it-IT"/>
        </w:rPr>
        <w:t>, C-502/19, ECLI:EU:C:2019:1115.</w:t>
      </w:r>
    </w:p>
    <w:p w:rsidR="00DE443B" w:rsidRPr="008D4E1C" w:rsidP="008D4E1C" w14:paraId="047F86B7" w14:textId="5F85A198">
      <w:pPr>
        <w:pStyle w:val="FootnoteText"/>
        <w:ind w:left="567" w:hanging="567"/>
        <w:rPr>
          <w:sz w:val="24"/>
          <w:lang w:val="it-IT"/>
        </w:rPr>
      </w:pPr>
    </w:p>
  </w:footnote>
  <w:footnote w:id="3">
    <w:p w:rsidR="00DE443B" w:rsidRPr="008D4E1C" w:rsidP="008D4E1C" w14:paraId="2B5FBF59" w14:textId="77777777">
      <w:pPr>
        <w:pStyle w:val="FootnoteText"/>
        <w:ind w:left="567" w:hanging="567"/>
        <w:rPr>
          <w:sz w:val="24"/>
          <w:lang w:val="it-IT"/>
        </w:rPr>
      </w:pPr>
      <w:r w:rsidRPr="008D4E1C">
        <w:rPr>
          <w:rStyle w:val="FootnoteReference"/>
          <w:sz w:val="24"/>
          <w:lang w:val="it-IT"/>
        </w:rPr>
        <w:footnoteRef/>
      </w:r>
      <w:r w:rsidRPr="008D4E1C" w:rsidR="008D4E1C">
        <w:rPr>
          <w:sz w:val="24"/>
          <w:lang w:val="it-IT"/>
        </w:rPr>
        <w:t xml:space="preserve"> </w:t>
      </w:r>
      <w:r w:rsidRPr="008D4E1C" w:rsidR="008D4E1C">
        <w:rPr>
          <w:sz w:val="24"/>
          <w:lang w:val="it-IT"/>
        </w:rPr>
        <w:tab/>
      </w:r>
      <w:r w:rsidRPr="008D4E1C">
        <w:rPr>
          <w:sz w:val="24"/>
          <w:lang w:val="it-IT"/>
        </w:rPr>
        <w:t xml:space="preserve">Sentenza del Tribunale del 30 aprile 2019, </w:t>
      </w:r>
      <w:r w:rsidRPr="00CF1B1E">
        <w:rPr>
          <w:i/>
          <w:iCs/>
          <w:sz w:val="24"/>
          <w:lang w:val="it-IT"/>
        </w:rPr>
        <w:t>Briois</w:t>
      </w:r>
      <w:r w:rsidRPr="00CF1B1E">
        <w:rPr>
          <w:i/>
          <w:iCs/>
          <w:sz w:val="24"/>
          <w:lang w:val="it-IT"/>
        </w:rPr>
        <w:t>/Parlamento</w:t>
      </w:r>
      <w:r w:rsidRPr="008D4E1C">
        <w:rPr>
          <w:sz w:val="24"/>
          <w:lang w:val="it-IT"/>
        </w:rPr>
        <w:t>, T-214/18, ECLI:</w:t>
      </w:r>
      <w:r w:rsidRPr="008D4E1C">
        <w:rPr>
          <w:sz w:val="24"/>
          <w:lang w:val="it-IT"/>
        </w:rPr>
        <w:t>EU:T</w:t>
      </w:r>
      <w:r w:rsidRPr="008D4E1C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E1C" w14:paraId="6DC8CE9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E1C" w14:paraId="5076202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4E1C" w14:paraId="4FA0D09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6582835">
    <w:abstractNumId w:val="9"/>
  </w:num>
  <w:num w:numId="2" w16cid:durableId="623464447">
    <w:abstractNumId w:val="9"/>
  </w:num>
  <w:num w:numId="3" w16cid:durableId="161165540">
    <w:abstractNumId w:val="7"/>
  </w:num>
  <w:num w:numId="4" w16cid:durableId="662896821">
    <w:abstractNumId w:val="7"/>
  </w:num>
  <w:num w:numId="5" w16cid:durableId="2114784374">
    <w:abstractNumId w:val="6"/>
  </w:num>
  <w:num w:numId="6" w16cid:durableId="1698848189">
    <w:abstractNumId w:val="6"/>
  </w:num>
  <w:num w:numId="7" w16cid:durableId="722600176">
    <w:abstractNumId w:val="5"/>
  </w:num>
  <w:num w:numId="8" w16cid:durableId="199979297">
    <w:abstractNumId w:val="5"/>
  </w:num>
  <w:num w:numId="9" w16cid:durableId="2142307141">
    <w:abstractNumId w:val="4"/>
  </w:num>
  <w:num w:numId="10" w16cid:durableId="199707292">
    <w:abstractNumId w:val="4"/>
  </w:num>
  <w:num w:numId="11" w16cid:durableId="1005210049">
    <w:abstractNumId w:val="8"/>
  </w:num>
  <w:num w:numId="12" w16cid:durableId="1221016660">
    <w:abstractNumId w:val="8"/>
  </w:num>
  <w:num w:numId="13" w16cid:durableId="491024705">
    <w:abstractNumId w:val="3"/>
  </w:num>
  <w:num w:numId="14" w16cid:durableId="157889845">
    <w:abstractNumId w:val="3"/>
  </w:num>
  <w:num w:numId="15" w16cid:durableId="156385171">
    <w:abstractNumId w:val="2"/>
  </w:num>
  <w:num w:numId="16" w16cid:durableId="1987080132">
    <w:abstractNumId w:val="2"/>
  </w:num>
  <w:num w:numId="17" w16cid:durableId="1130052022">
    <w:abstractNumId w:val="1"/>
  </w:num>
  <w:num w:numId="18" w16cid:durableId="271717422">
    <w:abstractNumId w:val="1"/>
  </w:num>
  <w:num w:numId="19" w16cid:durableId="1534801452">
    <w:abstractNumId w:val="0"/>
  </w:num>
  <w:num w:numId="20" w16cid:durableId="706181357">
    <w:abstractNumId w:val="0"/>
  </w:num>
  <w:num w:numId="21" w16cid:durableId="1116220429">
    <w:abstractNumId w:val="9"/>
  </w:num>
  <w:num w:numId="22" w16cid:durableId="1106315051">
    <w:abstractNumId w:val="7"/>
  </w:num>
  <w:num w:numId="23" w16cid:durableId="1623488851">
    <w:abstractNumId w:val="6"/>
  </w:num>
  <w:num w:numId="24" w16cid:durableId="214195231">
    <w:abstractNumId w:val="5"/>
  </w:num>
  <w:num w:numId="25" w16cid:durableId="1191644317">
    <w:abstractNumId w:val="4"/>
  </w:num>
  <w:num w:numId="26" w16cid:durableId="331177136">
    <w:abstractNumId w:val="8"/>
  </w:num>
  <w:num w:numId="27" w16cid:durableId="1222785570">
    <w:abstractNumId w:val="3"/>
  </w:num>
  <w:num w:numId="28" w16cid:durableId="1597179189">
    <w:abstractNumId w:val="2"/>
  </w:num>
  <w:num w:numId="29" w16cid:durableId="676466799">
    <w:abstractNumId w:val="1"/>
  </w:num>
  <w:num w:numId="30" w16cid:durableId="221405460">
    <w:abstractNumId w:val="0"/>
  </w:num>
  <w:num w:numId="31" w16cid:durableId="890071953">
    <w:abstractNumId w:val="9"/>
  </w:num>
  <w:num w:numId="32" w16cid:durableId="1969506433">
    <w:abstractNumId w:val="7"/>
  </w:num>
  <w:num w:numId="33" w16cid:durableId="969672240">
    <w:abstractNumId w:val="6"/>
  </w:num>
  <w:num w:numId="34" w16cid:durableId="213585327">
    <w:abstractNumId w:val="5"/>
  </w:num>
  <w:num w:numId="35" w16cid:durableId="1308557873">
    <w:abstractNumId w:val="4"/>
  </w:num>
  <w:num w:numId="36" w16cid:durableId="1683320507">
    <w:abstractNumId w:val="8"/>
  </w:num>
  <w:num w:numId="37" w16cid:durableId="117572772">
    <w:abstractNumId w:val="3"/>
  </w:num>
  <w:num w:numId="38" w16cid:durableId="2058502436">
    <w:abstractNumId w:val="2"/>
  </w:num>
  <w:num w:numId="39" w16cid:durableId="421341142">
    <w:abstractNumId w:val="1"/>
  </w:num>
  <w:num w:numId="40" w16cid:durableId="1986667406">
    <w:abstractNumId w:val="0"/>
  </w:num>
  <w:num w:numId="41" w16cid:durableId="1495412192">
    <w:abstractNumId w:val="10"/>
  </w:num>
  <w:num w:numId="42" w16cid:durableId="379596462">
    <w:abstractNumId w:val="10"/>
  </w:num>
  <w:num w:numId="43" w16cid:durableId="1575359969">
    <w:abstractNumId w:val="10"/>
  </w:num>
  <w:num w:numId="44" w16cid:durableId="5247104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B2"/>
    <w:rsid w:val="00002272"/>
    <w:rsid w:val="00064002"/>
    <w:rsid w:val="000677B9"/>
    <w:rsid w:val="000831BA"/>
    <w:rsid w:val="000835C5"/>
    <w:rsid w:val="00084B7B"/>
    <w:rsid w:val="000A42CC"/>
    <w:rsid w:val="000E7DD9"/>
    <w:rsid w:val="0010095E"/>
    <w:rsid w:val="00125B37"/>
    <w:rsid w:val="001263B3"/>
    <w:rsid w:val="0015430B"/>
    <w:rsid w:val="00164159"/>
    <w:rsid w:val="00187494"/>
    <w:rsid w:val="001F32AE"/>
    <w:rsid w:val="0020697D"/>
    <w:rsid w:val="002767FF"/>
    <w:rsid w:val="002B18FE"/>
    <w:rsid w:val="002B5493"/>
    <w:rsid w:val="00343214"/>
    <w:rsid w:val="00361C00"/>
    <w:rsid w:val="00395FA1"/>
    <w:rsid w:val="003C2B65"/>
    <w:rsid w:val="003E15D4"/>
    <w:rsid w:val="00411CCE"/>
    <w:rsid w:val="0041666E"/>
    <w:rsid w:val="00421060"/>
    <w:rsid w:val="00471C19"/>
    <w:rsid w:val="004867E3"/>
    <w:rsid w:val="00494A28"/>
    <w:rsid w:val="004A16B2"/>
    <w:rsid w:val="004C0004"/>
    <w:rsid w:val="004C5D52"/>
    <w:rsid w:val="0050519A"/>
    <w:rsid w:val="005072A1"/>
    <w:rsid w:val="00514517"/>
    <w:rsid w:val="00530A27"/>
    <w:rsid w:val="00545827"/>
    <w:rsid w:val="00560270"/>
    <w:rsid w:val="00582C4A"/>
    <w:rsid w:val="005C2568"/>
    <w:rsid w:val="005F1B17"/>
    <w:rsid w:val="006037C0"/>
    <w:rsid w:val="006631B6"/>
    <w:rsid w:val="00676CA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E1C"/>
    <w:rsid w:val="008E64F3"/>
    <w:rsid w:val="00930C23"/>
    <w:rsid w:val="0093193B"/>
    <w:rsid w:val="00937D84"/>
    <w:rsid w:val="009509D8"/>
    <w:rsid w:val="00950B64"/>
    <w:rsid w:val="00981893"/>
    <w:rsid w:val="00A1687D"/>
    <w:rsid w:val="00A43E52"/>
    <w:rsid w:val="00A4678D"/>
    <w:rsid w:val="00A46CF3"/>
    <w:rsid w:val="00A62DE4"/>
    <w:rsid w:val="00A778C7"/>
    <w:rsid w:val="00AA164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004"/>
    <w:rsid w:val="00CF071A"/>
    <w:rsid w:val="00CF1B1E"/>
    <w:rsid w:val="00D058B8"/>
    <w:rsid w:val="00D56C11"/>
    <w:rsid w:val="00D66749"/>
    <w:rsid w:val="00D834A0"/>
    <w:rsid w:val="00D872DF"/>
    <w:rsid w:val="00D91E21"/>
    <w:rsid w:val="00DA7FCD"/>
    <w:rsid w:val="00DB2DEE"/>
    <w:rsid w:val="00DE443B"/>
    <w:rsid w:val="00E365E1"/>
    <w:rsid w:val="00E820A4"/>
    <w:rsid w:val="00E939E8"/>
    <w:rsid w:val="00E96179"/>
    <w:rsid w:val="00EB006A"/>
    <w:rsid w:val="00EB4772"/>
    <w:rsid w:val="00ED169E"/>
    <w:rsid w:val="00ED4235"/>
    <w:rsid w:val="00F00E70"/>
    <w:rsid w:val="00F04346"/>
    <w:rsid w:val="00F075DC"/>
    <w:rsid w:val="00F149E9"/>
    <w:rsid w:val="00F5134D"/>
    <w:rsid w:val="00F74202"/>
    <w:rsid w:val="00F87713"/>
    <w:rsid w:val="00FB2982"/>
    <w:rsid w:val="00FB4360"/>
    <w:rsid w:val="00FD0C70"/>
  </w:rsids>
  <w:docVars>
    <w:docVar w:name="dvdocse" w:val="A10-0115/2026"/>
    <w:docVar w:name="dvlangue" w:val="IT"/>
    <w:docVar w:name="dvnumam" w:val="0"/>
    <w:docVar w:name="dvpe" w:val="786.910"/>
    <w:docVar w:name="dvrapporteur" w:val="Relatrice: "/>
    <w:docVar w:name="dvtitre" w:val="Decisione del Parlamento europeo del xx aprile 2026 sulla richiesta di revoca dell'immunità di Daniel Obajtek(2025/217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E5A50D"/>
  <w15:chartTrackingRefBased/>
  <w15:docId w15:val="{0B510E0C-7DB3-4220-96DC-9412A3A9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E443B"/>
    <w:pPr>
      <w:spacing w:after="240"/>
      <w:ind w:left="567" w:hanging="567"/>
    </w:pPr>
  </w:style>
  <w:style w:type="paragraph" w:customStyle="1" w:styleId="EPComma">
    <w:name w:val="EPComma"/>
    <w:basedOn w:val="Normal"/>
    <w:rsid w:val="00DE443B"/>
    <w:pPr>
      <w:spacing w:before="480" w:after="240"/>
    </w:pPr>
  </w:style>
  <w:style w:type="paragraph" w:styleId="Revision">
    <w:name w:val="Revision"/>
    <w:hidden/>
    <w:uiPriority w:val="99"/>
    <w:semiHidden/>
    <w:rsid w:val="00AA1647"/>
    <w:rPr>
      <w:sz w:val="24"/>
      <w:lang w:val="it-IT"/>
    </w:rPr>
  </w:style>
  <w:style w:type="character" w:styleId="CommentReference">
    <w:name w:val="annotation reference"/>
    <w:basedOn w:val="DefaultParagraphFont"/>
    <w:rsid w:val="00676C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C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CA8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676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6CA8"/>
    <w:rPr>
      <w:b/>
      <w:bCs/>
      <w:lang w:val="it-IT"/>
    </w:rPr>
  </w:style>
  <w:style w:type="character" w:styleId="Hyperlink">
    <w:name w:val="Hyperlink"/>
    <w:basedOn w:val="DefaultParagraphFont"/>
    <w:rsid w:val="001263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1015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19</cp:revision>
  <cp:lastPrinted>2004-11-19T15:42:00Z</cp:lastPrinted>
  <dcterms:created xsi:type="dcterms:W3CDTF">2026-04-24T13:10:00Z</dcterms:created>
  <dcterms:modified xsi:type="dcterms:W3CDTF">2026-04-28T11:16:00Z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A10-0115/2026</vt:lpwstr>
  </property>
  <property fmtid="{D5CDD505-2E9C-101B-9397-08002B2CF9AE}" pid="4" name="&lt;Type&gt;">
    <vt:lpwstr>RR</vt:lpwstr>
  </property>
</Properties>
</file>