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A12DE2" w14:textId="77777777" w:rsidTr="0010095E">
        <w:tblPrEx>
          <w:tblW w:w="9072" w:type="dxa"/>
          <w:tblLook w:val="01E0"/>
        </w:tblPrEx>
        <w:trPr>
          <w:trHeight w:hRule="exact" w:val="1418"/>
        </w:trPr>
        <w:tc>
          <w:tcPr>
            <w:tcW w:w="6804" w:type="dxa"/>
            <w:shd w:val="clear" w:color="auto" w:fill="auto"/>
            <w:vAlign w:val="center"/>
          </w:tcPr>
          <w:p w:rsidR="00751A4A" w:rsidRPr="00F35818" w:rsidP="0010095E" w14:paraId="40375F8A" w14:textId="022D6D88">
            <w:pPr>
              <w:pStyle w:val="EPName"/>
            </w:pPr>
            <w:r w:rsidRPr="00F35818">
              <w:t>Eiropas Parlaments</w:t>
            </w:r>
          </w:p>
          <w:p w:rsidR="00751A4A" w:rsidRPr="00F35818" w:rsidP="005F1B17" w14:paraId="275916F6" w14:textId="77777777">
            <w:pPr>
              <w:pStyle w:val="EPTerm"/>
              <w:rPr>
                <w:rStyle w:val="HideTWBExt"/>
                <w:noProof w:val="0"/>
                <w:vanish w:val="0"/>
                <w:color w:val="auto"/>
              </w:rPr>
            </w:pPr>
            <w:r w:rsidRPr="00F35818">
              <w:t>2024</w:t>
            </w:r>
            <w:r w:rsidRPr="00F35818" w:rsidR="00817416">
              <w:t>-202</w:t>
            </w:r>
            <w:r w:rsidRPr="00F35818">
              <w:t>9</w:t>
            </w:r>
          </w:p>
        </w:tc>
        <w:tc>
          <w:tcPr>
            <w:tcW w:w="2268" w:type="dxa"/>
            <w:shd w:val="clear" w:color="auto" w:fill="auto"/>
          </w:tcPr>
          <w:p w:rsidR="00751A4A" w:rsidRPr="00F35818" w:rsidP="0010095E" w14:paraId="1FD2AF70" w14:textId="77777777">
            <w:pPr>
              <w:pStyle w:val="EPLogo"/>
            </w:pPr>
            <w:r w:rsidRPr="00F3581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35818" w:rsidP="004C5D52" w14:paraId="726A1AE7" w14:textId="77777777">
      <w:pPr>
        <w:pStyle w:val="LineTop"/>
      </w:pPr>
    </w:p>
    <w:p w:rsidR="00680577" w:rsidRPr="00F35818" w:rsidP="00680577" w14:paraId="6B970E05" w14:textId="77777777">
      <w:pPr>
        <w:pStyle w:val="EPBodyTA1"/>
      </w:pPr>
      <w:r w:rsidRPr="00F35818">
        <w:t>PIEŅEMTIE TEKSTI</w:t>
      </w:r>
    </w:p>
    <w:p w:rsidR="00D058B8" w:rsidRPr="00F35818" w:rsidP="00D058B8" w14:paraId="1D01CAA2" w14:textId="77777777">
      <w:pPr>
        <w:pStyle w:val="LineBottom"/>
      </w:pPr>
    </w:p>
    <w:p w:rsidR="007A3B8D" w:rsidRPr="00F35818" w:rsidP="007A3B8D" w14:paraId="68C76338" w14:textId="424A1BA3">
      <w:pPr>
        <w:pStyle w:val="ATHeading1"/>
      </w:pPr>
      <w:bookmarkStart w:id="0" w:name="TANumber"/>
      <w:r w:rsidRPr="00F35818">
        <w:t>P10_TA(2026)0</w:t>
      </w:r>
      <w:bookmarkEnd w:id="0"/>
      <w:r w:rsidRPr="00F35818" w:rsidR="00F35818">
        <w:t>106</w:t>
      </w:r>
    </w:p>
    <w:p w:rsidR="007A3B8D" w:rsidRPr="00F35818" w:rsidP="007A3B8D" w14:paraId="4436484A" w14:textId="6B57734B">
      <w:pPr>
        <w:pStyle w:val="ATHeading2"/>
      </w:pPr>
      <w:r w:rsidRPr="00F35818">
        <w:t xml:space="preserve">Pieprasījums atcelt </w:t>
      </w:r>
      <w:r w:rsidRPr="00F35818">
        <w:rPr>
          <w:i/>
          <w:iCs/>
        </w:rPr>
        <w:t xml:space="preserve">Daniel </w:t>
      </w:r>
      <w:r w:rsidRPr="00F35818">
        <w:rPr>
          <w:i/>
          <w:iCs/>
        </w:rPr>
        <w:t>Obajtek</w:t>
      </w:r>
      <w:r w:rsidRPr="00F35818">
        <w:rPr>
          <w:i/>
          <w:iCs/>
        </w:rPr>
        <w:t xml:space="preserve"> </w:t>
      </w:r>
      <w:r w:rsidRPr="00F35818">
        <w:t>imunitāti</w:t>
      </w:r>
    </w:p>
    <w:p w:rsidR="007A3B8D" w:rsidRPr="00F35818" w:rsidP="007A3B8D" w14:paraId="71801CC4" w14:textId="2CF0B893">
      <w:pPr>
        <w:rPr>
          <w:i/>
          <w:vanish/>
        </w:rPr>
      </w:pPr>
      <w:r>
        <w:rPr>
          <w:i/>
        </w:rPr>
        <w:fldChar w:fldCharType="begin"/>
      </w:r>
      <w:r w:rsidRPr="00F35818">
        <w:rPr>
          <w:i/>
        </w:rPr>
        <w:instrText xml:space="preserve"> TC"(</w:instrText>
      </w:r>
      <w:bookmarkStart w:id="1" w:name="DocNumber"/>
      <w:r w:rsidRPr="00F35818">
        <w:rPr>
          <w:i/>
        </w:rPr>
        <w:instrText>A10-0115/2026</w:instrText>
      </w:r>
      <w:bookmarkEnd w:id="1"/>
      <w:r w:rsidRPr="00F35818">
        <w:rPr>
          <w:i/>
        </w:rPr>
        <w:instrText xml:space="preserve"> - Referent</w:instrText>
      </w:r>
      <w:r w:rsidRPr="00F35818" w:rsidR="00A84DFA">
        <w:rPr>
          <w:i/>
        </w:rPr>
        <w:instrText>e</w:instrText>
      </w:r>
      <w:r w:rsidRPr="00F35818">
        <w:rPr>
          <w:i/>
        </w:rPr>
        <w:instrText xml:space="preserve">: </w:instrText>
      </w:r>
      <w:r w:rsidRPr="00F35818">
        <w:rPr>
          <w:i/>
        </w:rPr>
        <w:instrText>Pascale</w:instrText>
      </w:r>
      <w:r w:rsidRPr="00F35818">
        <w:rPr>
          <w:i/>
        </w:rPr>
        <w:instrText xml:space="preserve"> </w:instrText>
      </w:r>
      <w:r w:rsidRPr="00F35818">
        <w:rPr>
          <w:i/>
        </w:rPr>
        <w:instrText>Piera</w:instrText>
      </w:r>
      <w:r w:rsidRPr="00F35818">
        <w:rPr>
          <w:i/>
        </w:rPr>
        <w:instrText xml:space="preserve">)"\l3 \n&gt; \* MERGEFORMAT </w:instrText>
      </w:r>
      <w:r>
        <w:rPr>
          <w:i/>
        </w:rPr>
        <w:fldChar w:fldCharType="end"/>
      </w:r>
    </w:p>
    <w:p w:rsidR="007A3B8D" w:rsidRPr="00F35818" w:rsidP="007A3B8D" w14:paraId="5ADC7BE5" w14:textId="77777777">
      <w:pPr>
        <w:rPr>
          <w:vanish/>
        </w:rPr>
      </w:pPr>
      <w:bookmarkStart w:id="2" w:name="Commission"/>
      <w:r w:rsidRPr="00F35818">
        <w:rPr>
          <w:vanish/>
        </w:rPr>
        <w:t>Juridiskā komiteja</w:t>
      </w:r>
      <w:bookmarkEnd w:id="2"/>
    </w:p>
    <w:p w:rsidR="007A3B8D" w:rsidRPr="00F35818" w:rsidP="007A3B8D" w14:paraId="5789E139" w14:textId="77777777">
      <w:pPr>
        <w:rPr>
          <w:vanish/>
        </w:rPr>
      </w:pPr>
      <w:bookmarkStart w:id="3" w:name="PE"/>
      <w:r w:rsidRPr="00F35818">
        <w:rPr>
          <w:vanish/>
        </w:rPr>
        <w:t>PE786.910</w:t>
      </w:r>
      <w:bookmarkEnd w:id="3"/>
    </w:p>
    <w:p w:rsidR="007A3B8D" w:rsidRPr="00F35818" w:rsidP="007A3B8D" w14:paraId="5F922A29" w14:textId="38A0236B">
      <w:pPr>
        <w:pStyle w:val="ATHeading3"/>
      </w:pPr>
      <w:bookmarkStart w:id="4" w:name="Sujet"/>
      <w:r w:rsidRPr="00F35818">
        <w:t xml:space="preserve">Eiropas Parlamenta 2026. gada </w:t>
      </w:r>
      <w:r w:rsidRPr="00F35818" w:rsidR="00B15BCD">
        <w:t>28</w:t>
      </w:r>
      <w:r w:rsidRPr="00F35818">
        <w:t xml:space="preserve">. </w:t>
      </w:r>
      <w:r w:rsidRPr="00F35818" w:rsidR="00B15BCD">
        <w:t>aprīļa</w:t>
      </w:r>
      <w:r w:rsidRPr="00F35818">
        <w:t xml:space="preserve"> </w:t>
      </w:r>
      <w:r w:rsidRPr="00F35818" w:rsidR="00B15BCD">
        <w:t>lēmums</w:t>
      </w:r>
      <w:r w:rsidRPr="00F35818">
        <w:t xml:space="preserve"> par pieprasījumu atcelt </w:t>
      </w:r>
      <w:r w:rsidRPr="00F35818">
        <w:rPr>
          <w:i/>
          <w:iCs/>
        </w:rPr>
        <w:t xml:space="preserve">Daniel </w:t>
      </w:r>
      <w:r w:rsidRPr="00F35818">
        <w:rPr>
          <w:i/>
          <w:iCs/>
        </w:rPr>
        <w:t>Obajtek</w:t>
      </w:r>
      <w:r w:rsidRPr="00F35818">
        <w:t xml:space="preserve"> imunitāti</w:t>
      </w:r>
      <w:bookmarkEnd w:id="4"/>
      <w:r w:rsidRPr="00F35818">
        <w:t xml:space="preserve"> </w:t>
      </w:r>
      <w:bookmarkStart w:id="5" w:name="References"/>
      <w:r w:rsidRPr="00F35818">
        <w:t>(2025/2172(IMM))</w:t>
      </w:r>
      <w:bookmarkEnd w:id="5"/>
    </w:p>
    <w:p w:rsidR="003960F6" w:rsidRPr="00F35818" w:rsidP="003960F6" w14:paraId="47F49750" w14:textId="77777777">
      <w:pPr>
        <w:pStyle w:val="EPComma"/>
        <w:widowControl/>
      </w:pPr>
      <w:bookmarkStart w:id="6" w:name="TextBodyBegin"/>
      <w:bookmarkEnd w:id="6"/>
      <w:r w:rsidRPr="00F35818">
        <w:rPr>
          <w:i/>
        </w:rPr>
        <w:t>Eiropas Parlaments,</w:t>
      </w:r>
    </w:p>
    <w:p w:rsidR="003960F6" w:rsidRPr="00F35818" w:rsidP="00A84DFA" w14:paraId="0D5DBC8B" w14:textId="7D3E5159">
      <w:pPr>
        <w:pStyle w:val="NormalHanging12a"/>
        <w:widowControl/>
      </w:pPr>
      <w:r w:rsidRPr="00F35818">
        <w:t>–</w:t>
      </w:r>
      <w:r w:rsidRPr="00F35818">
        <w:tab/>
        <w:t xml:space="preserve">ņemot vērā pieprasījumu atcelt </w:t>
      </w:r>
      <w:r w:rsidRPr="00F35818">
        <w:rPr>
          <w:i/>
        </w:rPr>
        <w:t xml:space="preserve">Daniel </w:t>
      </w:r>
      <w:r w:rsidRPr="00F35818">
        <w:rPr>
          <w:i/>
        </w:rPr>
        <w:t>Obajtek</w:t>
      </w:r>
      <w:r w:rsidRPr="00F35818">
        <w:t xml:space="preserve"> imunitāti, </w:t>
      </w:r>
      <w:r w:rsidRPr="00F35818" w:rsidR="00B15BCD">
        <w:t xml:space="preserve">kas saņemts ar Polijas ģenerālprokurora 2025. gada 21. jūlija vēstuli, ar kuru tika </w:t>
      </w:r>
      <w:r w:rsidRPr="00F35818" w:rsidR="005A12E5">
        <w:t>nosūtīts Varšavas reģionālās prokuratūras</w:t>
      </w:r>
      <w:r w:rsidRPr="00F35818" w:rsidR="00B15BCD">
        <w:t xml:space="preserve"> iesniegtais pieprasījums saistībā ar kriminālvajāšanu, kas ir uzsākta pret </w:t>
      </w:r>
      <w:r w:rsidRPr="00F35818" w:rsidR="005A12E5">
        <w:rPr>
          <w:i/>
        </w:rPr>
        <w:t xml:space="preserve">Daniel </w:t>
      </w:r>
      <w:r w:rsidRPr="00F35818" w:rsidR="005A12E5">
        <w:rPr>
          <w:i/>
        </w:rPr>
        <w:t>Obajtek</w:t>
      </w:r>
      <w:r w:rsidRPr="00F35818" w:rsidR="00B15BCD">
        <w:t>,</w:t>
      </w:r>
      <w:r w:rsidRPr="00F35818">
        <w:t xml:space="preserve"> un par kuru paziņots Parlamentā 2025. gada 8. septembrī,</w:t>
      </w:r>
    </w:p>
    <w:p w:rsidR="003960F6" w:rsidRPr="00F35818" w:rsidP="00F35818" w14:paraId="6016EA39" w14:textId="77777777">
      <w:pPr>
        <w:pStyle w:val="NormalHanging12a"/>
        <w:widowControl/>
      </w:pPr>
      <w:r w:rsidRPr="00F35818">
        <w:t>–</w:t>
      </w:r>
      <w:r w:rsidRPr="00F35818">
        <w:tab/>
        <w:t xml:space="preserve">pēc </w:t>
      </w:r>
      <w:r w:rsidRPr="00F35818">
        <w:rPr>
          <w:i/>
        </w:rPr>
        <w:t xml:space="preserve">Daniel </w:t>
      </w:r>
      <w:r w:rsidRPr="00F35818">
        <w:rPr>
          <w:i/>
        </w:rPr>
        <w:t>Obajtek</w:t>
      </w:r>
      <w:r w:rsidRPr="00F35818">
        <w:t xml:space="preserve"> uzklausīšanas 2026. gada 12. februārī saskaņā ar Reglamenta 9. panta 6. punktu,</w:t>
      </w:r>
    </w:p>
    <w:p w:rsidR="003960F6" w:rsidRPr="00F35818" w:rsidP="00F35818" w14:paraId="6A2482B8" w14:textId="77777777">
      <w:pPr>
        <w:pStyle w:val="NormalHanging12a"/>
        <w:widowControl/>
      </w:pPr>
      <w:r w:rsidRPr="00F35818">
        <w:t>–</w:t>
      </w:r>
      <w:r w:rsidRPr="00F35818">
        <w:tab/>
        <w:t>ņemot vērā Protokola Nr. 7 par privilēģijām un imunitāti Eiropas Savienībā 8. un 9. pantu, kā arī 1976. gada 20. septembra Akta par Eiropas Parlamenta deputātu ievēlēšanu tiešās vispārējās vēlēšanās 6. panta 2. punktu,</w:t>
      </w:r>
    </w:p>
    <w:p w:rsidR="003960F6" w:rsidRPr="00F35818" w:rsidP="00F35818" w14:paraId="15B7A9E8" w14:textId="77777777">
      <w:pPr>
        <w:pStyle w:val="NormalHanging12a"/>
        <w:widowControl/>
      </w:pPr>
      <w:r w:rsidRPr="00F35818">
        <w:t>–</w:t>
      </w:r>
      <w:r w:rsidRPr="00F35818">
        <w:tab/>
        <w:t>ņemot vērā Eiropas Savienības Tiesas 2008. gada 21. oktobra, 2010. gada 19. marta, 2011. gada 6. septembra, 2013. gada 17. janvāra un 2019. gada 19. decembra spriedumu</w:t>
      </w:r>
      <w:r>
        <w:rPr>
          <w:rStyle w:val="FootnoteReference"/>
          <w:color w:val="000000"/>
        </w:rPr>
        <w:footnoteReference w:id="2"/>
      </w:r>
      <w:r w:rsidRPr="00F35818">
        <w:t>,</w:t>
      </w:r>
    </w:p>
    <w:p w:rsidR="003960F6" w:rsidRPr="00F35818" w:rsidP="00A84DFA" w14:paraId="41FDF3AF" w14:textId="77777777">
      <w:pPr>
        <w:pStyle w:val="NormalHanging12a"/>
        <w:widowControl/>
      </w:pPr>
      <w:r w:rsidRPr="00F35818">
        <w:t>–</w:t>
      </w:r>
      <w:r w:rsidRPr="00F35818">
        <w:tab/>
        <w:t>ņemot vērā Polijas Republikas Konstitūcijas 105. panta 2. punktu un 5. punktu,</w:t>
      </w:r>
    </w:p>
    <w:p w:rsidR="003960F6" w:rsidRPr="00F35818" w:rsidP="00F35818" w14:paraId="467A6893" w14:textId="77777777">
      <w:pPr>
        <w:pStyle w:val="NormalHanging12a"/>
        <w:widowControl/>
      </w:pPr>
      <w:r w:rsidRPr="00F35818">
        <w:t>–</w:t>
      </w:r>
      <w:r w:rsidRPr="00F35818">
        <w:tab/>
        <w:t>ņemot vērā Reglamenta 5. panta 2. punktu, 6. panta 1. punktu un 9. pantu,</w:t>
      </w:r>
    </w:p>
    <w:p w:rsidR="003960F6" w:rsidRPr="00F35818" w:rsidP="00A84DFA" w14:paraId="610AADBC" w14:textId="77777777">
      <w:pPr>
        <w:pStyle w:val="NormalHanging12a"/>
        <w:widowControl/>
      </w:pPr>
      <w:r w:rsidRPr="00F35818">
        <w:t>–</w:t>
      </w:r>
      <w:r w:rsidRPr="00F35818">
        <w:tab/>
        <w:t>ņemot vērā Ārlietu komitejas ziņojumu (A10</w:t>
      </w:r>
      <w:r w:rsidRPr="00F35818">
        <w:noBreakHyphen/>
        <w:t>0115/2026),</w:t>
      </w:r>
    </w:p>
    <w:p w:rsidR="003960F6" w:rsidRPr="00F35818" w:rsidP="00F35818" w14:paraId="71B7F96F" w14:textId="3993DDD5">
      <w:pPr>
        <w:pStyle w:val="NormalHanging12a"/>
        <w:widowControl/>
      </w:pPr>
      <w:r w:rsidRPr="00F35818">
        <w:t>A.</w:t>
      </w:r>
      <w:r w:rsidRPr="00F35818">
        <w:tab/>
      </w:r>
      <w:r w:rsidRPr="00F35818">
        <w:t xml:space="preserve">tā kā </w:t>
      </w:r>
      <w:r w:rsidRPr="00F35818" w:rsidR="005A12E5">
        <w:t>ar 202</w:t>
      </w:r>
      <w:r w:rsidRPr="00F35818" w:rsidR="00542D73">
        <w:t>5</w:t>
      </w:r>
      <w:r w:rsidRPr="00F35818" w:rsidR="005A12E5">
        <w:t xml:space="preserve">. gada </w:t>
      </w:r>
      <w:r w:rsidRPr="00F35818" w:rsidR="00542D73">
        <w:t>21</w:t>
      </w:r>
      <w:r w:rsidRPr="00F35818" w:rsidR="005A12E5">
        <w:t>.</w:t>
      </w:r>
      <w:r w:rsidRPr="00F35818" w:rsidR="00542D73">
        <w:t xml:space="preserve"> jūlija</w:t>
      </w:r>
      <w:r w:rsidRPr="00F35818" w:rsidR="005A12E5">
        <w:t xml:space="preserve"> decembra vēstuli </w:t>
      </w:r>
      <w:r w:rsidRPr="00F35818">
        <w:t xml:space="preserve">Polijas Republikas ģenerālprokurors nosūtīja Varšavas </w:t>
      </w:r>
      <w:r w:rsidRPr="00F35818" w:rsidR="005A12E5">
        <w:t xml:space="preserve">reģionālās </w:t>
      </w:r>
      <w:r w:rsidRPr="00F35818">
        <w:t xml:space="preserve">prokuratūras iesniegto pieprasījumu atcelt </w:t>
      </w:r>
      <w:r w:rsidRPr="00F35818" w:rsidR="005A12E5">
        <w:t xml:space="preserve">Polijā ievēlētā Eiropas Parlamenta deputāta </w:t>
      </w:r>
      <w:r w:rsidRPr="00F35818">
        <w:rPr>
          <w:i/>
        </w:rPr>
        <w:t xml:space="preserve">Daniel </w:t>
      </w:r>
      <w:r w:rsidRPr="00F35818">
        <w:rPr>
          <w:i/>
        </w:rPr>
        <w:t>Obajtek</w:t>
      </w:r>
      <w:r w:rsidRPr="00F35818">
        <w:t xml:space="preserve"> imunitāti saistībā ar iespējamo noziedzīgo nodarījumu, kas ir paredzēts Polijas Kriminālkodeksa 233. panta 1. punktā un 1984. gada 26. janvāra Preses likuma 49. pantā kopsakarā ar tā 3. pantu;</w:t>
      </w:r>
    </w:p>
    <w:p w:rsidR="003960F6" w:rsidRPr="00F35818" w:rsidP="00F35818" w14:paraId="39E905FE" w14:textId="78B1F51D">
      <w:pPr>
        <w:pStyle w:val="NormalHanging12a"/>
        <w:widowControl/>
      </w:pPr>
      <w:r w:rsidRPr="00F35818">
        <w:t>B.</w:t>
      </w:r>
      <w:r w:rsidRPr="00F35818">
        <w:tab/>
        <w:t>tā kā saskaņā ar pieprasījumu atcelt imunitāti Varšavas Apgabala prokuratūra 2024.</w:t>
      </w:r>
      <w:r w:rsidRPr="00F35818" w:rsidR="0044764A">
        <w:t> </w:t>
      </w:r>
      <w:r w:rsidRPr="00F35818">
        <w:t xml:space="preserve">gada 15. maijā ierosināja kriminālprocesu par iespējami nepatiesu liecību sniegšanu; tā kā saskaņā ar pieprasījumu atcelt imunitāti šo iespējamo nepatieso liecību 2023. gada 11. maijā tiesvedībā Varšavas Centra apgabaltiesā Varšavā esot sniegušas divas personas, tostarp liecinieka statusā </w:t>
      </w:r>
      <w:r w:rsidRPr="00F35818">
        <w:rPr>
          <w:i/>
        </w:rPr>
        <w:t xml:space="preserve">Daniel </w:t>
      </w:r>
      <w:r w:rsidRPr="00F35818">
        <w:rPr>
          <w:i/>
        </w:rPr>
        <w:t>Obajtek</w:t>
      </w:r>
      <w:r w:rsidRPr="00F35818">
        <w:t>, kurš bija informēts par kriminālatbildību, kas iestājas nepatiesas liecības sniegšanas gadījumā, tādas civilprasības ietvaros, ko prasītājs bija cēlis pret atbildētāju par Polijas Kriminālkodeksa 212. panta 2. punktā minēto nodarījumu – neslavas celšanu;</w:t>
      </w:r>
    </w:p>
    <w:p w:rsidR="003960F6" w:rsidRPr="00F35818" w:rsidP="00F35818" w14:paraId="3B97C60D" w14:textId="6119DCD4">
      <w:pPr>
        <w:pStyle w:val="NormalHanging12a"/>
        <w:widowControl/>
      </w:pPr>
      <w:r w:rsidRPr="00F35818">
        <w:rPr>
          <w:color w:val="000000"/>
        </w:rPr>
        <w:t>C.</w:t>
      </w:r>
      <w:r w:rsidRPr="00F35818">
        <w:rPr>
          <w:color w:val="000000"/>
        </w:rPr>
        <w:tab/>
      </w:r>
      <w:r w:rsidRPr="00F35818">
        <w:t xml:space="preserve">tā kā </w:t>
      </w:r>
      <w:r w:rsidRPr="00F35818" w:rsidR="00B36F68">
        <w:t xml:space="preserve">saskaņā ar </w:t>
      </w:r>
      <w:r w:rsidRPr="00F35818" w:rsidR="0044764A">
        <w:t xml:space="preserve">minēto </w:t>
      </w:r>
      <w:r w:rsidRPr="00F35818" w:rsidR="00B36F68">
        <w:t xml:space="preserve">pieprasījumu, </w:t>
      </w:r>
      <w:r w:rsidRPr="00F35818">
        <w:rPr>
          <w:i/>
        </w:rPr>
        <w:t xml:space="preserve">Polski Koncern </w:t>
      </w:r>
      <w:r w:rsidRPr="00F35818">
        <w:rPr>
          <w:i/>
        </w:rPr>
        <w:t>Naftowy</w:t>
      </w:r>
      <w:r w:rsidRPr="00F35818">
        <w:rPr>
          <w:i/>
        </w:rPr>
        <w:t xml:space="preserve"> ORLEN </w:t>
      </w:r>
      <w:r w:rsidRPr="00F35818">
        <w:rPr>
          <w:i/>
        </w:rPr>
        <w:t>Spółka</w:t>
      </w:r>
      <w:r w:rsidRPr="00F35818">
        <w:rPr>
          <w:i/>
        </w:rPr>
        <w:t xml:space="preserve"> </w:t>
      </w:r>
      <w:r w:rsidRPr="00F35818">
        <w:rPr>
          <w:i/>
        </w:rPr>
        <w:t>Akcyjna</w:t>
      </w:r>
      <w:r w:rsidRPr="00F35818">
        <w:t xml:space="preserve"> noslēdza līgumu par tāda iknedēļas žurnāla “</w:t>
      </w:r>
      <w:r w:rsidRPr="00F35818">
        <w:rPr>
          <w:i/>
        </w:rPr>
        <w:t>NIE</w:t>
      </w:r>
      <w:r w:rsidRPr="00F35818">
        <w:t xml:space="preserve">” izplatīšanu visās </w:t>
      </w:r>
      <w:r w:rsidRPr="00F35818">
        <w:rPr>
          <w:i/>
        </w:rPr>
        <w:t>ORLEN</w:t>
      </w:r>
      <w:r w:rsidRPr="00F35818">
        <w:t xml:space="preserve"> degvielas </w:t>
      </w:r>
      <w:r w:rsidRPr="00F35818">
        <w:t>uzpildes</w:t>
      </w:r>
      <w:r w:rsidRPr="00F35818">
        <w:t xml:space="preserve"> staciju pārdošanās vietās, ko izdod sabiedrība ar ierobežotu atbildību </w:t>
      </w:r>
      <w:r w:rsidRPr="00F35818">
        <w:rPr>
          <w:i/>
        </w:rPr>
        <w:t>URMA</w:t>
      </w:r>
      <w:r w:rsidRPr="00F35818">
        <w:t>;</w:t>
      </w:r>
      <w:r w:rsidRPr="00F35818">
        <w:rPr>
          <w:color w:val="000000"/>
        </w:rPr>
        <w:t xml:space="preserve"> </w:t>
      </w:r>
      <w:r w:rsidRPr="00F35818">
        <w:t xml:space="preserve">tā kā 2023. gada 10. martā tika izplatīts iknedēļas izdevuma 10. izlaidums; tā kā 2023. gada 14. martā Varšavā, būdams </w:t>
      </w:r>
      <w:r w:rsidRPr="00F35818">
        <w:rPr>
          <w:i/>
        </w:rPr>
        <w:t xml:space="preserve">Polski Koncern </w:t>
      </w:r>
      <w:r w:rsidRPr="00F35818">
        <w:rPr>
          <w:i/>
        </w:rPr>
        <w:t>Naftowy</w:t>
      </w:r>
      <w:r w:rsidRPr="00F35818">
        <w:rPr>
          <w:i/>
        </w:rPr>
        <w:t xml:space="preserve"> ORLEN </w:t>
      </w:r>
      <w:r w:rsidRPr="00F35818">
        <w:rPr>
          <w:i/>
        </w:rPr>
        <w:t>Spółka</w:t>
      </w:r>
      <w:r w:rsidRPr="00F35818">
        <w:rPr>
          <w:i/>
        </w:rPr>
        <w:t xml:space="preserve"> </w:t>
      </w:r>
      <w:r w:rsidRPr="00F35818">
        <w:rPr>
          <w:i/>
        </w:rPr>
        <w:t>Akcyjna</w:t>
      </w:r>
      <w:r w:rsidRPr="00F35818">
        <w:t xml:space="preserve"> valdes priekšsēdētājs, </w:t>
      </w:r>
      <w:r w:rsidRPr="00F35818">
        <w:rPr>
          <w:i/>
        </w:rPr>
        <w:t xml:space="preserve">Daniel </w:t>
      </w:r>
      <w:r w:rsidRPr="00F35818">
        <w:rPr>
          <w:i/>
        </w:rPr>
        <w:t>Obajtek</w:t>
      </w:r>
      <w:r w:rsidRPr="00F35818">
        <w:t>, ņemot vērā to, ka šajā iknedēļas žurnāla izlaidumā uz vāka bija attēlots pāvests Jāņa Pāvila II, kurš tur rokās krucifiksu, uz kura Jēzus vietā ir piestiprināta kaila lelle, un ņemot vērā žurnāla saturu, kurā bija pausts negatīvs viedoklis par pasākumiem, kurus pāvests Jānis Pāvils II veica, reaģējot uz nepilngadīgo seksuālo izmantošanu no garīdznieku puses, esot pieprasījis iknedēļas žurnāla “</w:t>
      </w:r>
      <w:r w:rsidRPr="00F35818">
        <w:rPr>
          <w:i/>
        </w:rPr>
        <w:t>NIE</w:t>
      </w:r>
      <w:r w:rsidRPr="00F35818">
        <w:t xml:space="preserve">” 10/2023 izlaidumu no visu </w:t>
      </w:r>
      <w:r w:rsidRPr="00F35818">
        <w:rPr>
          <w:i/>
        </w:rPr>
        <w:t xml:space="preserve">Polski Koncern </w:t>
      </w:r>
      <w:r w:rsidRPr="00F35818">
        <w:rPr>
          <w:i/>
        </w:rPr>
        <w:t>Naftowy</w:t>
      </w:r>
      <w:r w:rsidRPr="00F35818">
        <w:rPr>
          <w:i/>
        </w:rPr>
        <w:t xml:space="preserve"> ORLEN </w:t>
      </w:r>
      <w:r w:rsidRPr="00F35818">
        <w:rPr>
          <w:i/>
        </w:rPr>
        <w:t>Spółka</w:t>
      </w:r>
      <w:r w:rsidRPr="00F35818">
        <w:rPr>
          <w:i/>
        </w:rPr>
        <w:t xml:space="preserve"> </w:t>
      </w:r>
      <w:r w:rsidRPr="00F35818">
        <w:rPr>
          <w:i/>
        </w:rPr>
        <w:t>Akcyjna</w:t>
      </w:r>
      <w:r w:rsidRPr="00F35818">
        <w:t xml:space="preserve"> pārdošanas vietu plauktiem steidzami izņemt un lai tas vairs pārdošanai piedāvāts netiktu, kā rezultātā tika ierobežota tāda žurnāla iegāde, ko </w:t>
      </w:r>
      <w:r w:rsidRPr="00F35818">
        <w:rPr>
          <w:i/>
        </w:rPr>
        <w:t xml:space="preserve">Polski Koncern </w:t>
      </w:r>
      <w:r w:rsidRPr="00F35818">
        <w:rPr>
          <w:i/>
        </w:rPr>
        <w:t>Naftowy</w:t>
      </w:r>
      <w:r w:rsidRPr="00F35818">
        <w:rPr>
          <w:i/>
        </w:rPr>
        <w:t xml:space="preserve"> ORLEN </w:t>
      </w:r>
      <w:r w:rsidRPr="00F35818">
        <w:rPr>
          <w:i/>
        </w:rPr>
        <w:t>Spółka</w:t>
      </w:r>
      <w:r w:rsidRPr="00F35818">
        <w:rPr>
          <w:i/>
        </w:rPr>
        <w:t xml:space="preserve"> </w:t>
      </w:r>
      <w:r w:rsidRPr="00F35818">
        <w:rPr>
          <w:i/>
        </w:rPr>
        <w:t>Akcyjna</w:t>
      </w:r>
      <w:r w:rsidRPr="00F35818">
        <w:t xml:space="preserve"> apņēmās izplatīt, kas ir uzskatāms par pārkāpumu, uz kuru attiecas 49. pants kopsakarā ar 1984. gada 26. janvāra Preses likuma 3. pantu;</w:t>
      </w:r>
    </w:p>
    <w:p w:rsidR="003960F6" w:rsidRPr="00F35818" w:rsidP="00F35818" w14:paraId="4895C653" w14:textId="77777777">
      <w:pPr>
        <w:pStyle w:val="NormalHanging12a"/>
        <w:widowControl/>
        <w:rPr>
          <w:shd w:val="clear" w:color="auto" w:fill="FFFFFF"/>
        </w:rPr>
      </w:pPr>
      <w:r w:rsidRPr="00F35818">
        <w:rPr>
          <w:color w:val="000000"/>
        </w:rPr>
        <w:t>D.</w:t>
      </w:r>
      <w:r w:rsidRPr="00F35818">
        <w:rPr>
          <w:color w:val="000000"/>
        </w:rPr>
        <w:tab/>
      </w:r>
      <w:r w:rsidRPr="00F35818">
        <w:t xml:space="preserve">tā </w:t>
      </w:r>
      <w:r w:rsidRPr="00F35818">
        <w:rPr>
          <w:shd w:val="clear" w:color="auto" w:fill="FFFFFF"/>
        </w:rPr>
        <w:t>kā</w:t>
      </w:r>
      <w:r w:rsidRPr="00F35818">
        <w:t xml:space="preserve"> 2024. gada jūnija </w:t>
      </w:r>
      <w:r w:rsidRPr="00F35818">
        <w:rPr>
          <w:shd w:val="clear" w:color="auto" w:fill="FFFFFF"/>
        </w:rPr>
        <w:t xml:space="preserve">Eiropas vēlēšanās </w:t>
      </w:r>
      <w:r w:rsidRPr="00F35818">
        <w:rPr>
          <w:i/>
          <w:shd w:val="clear" w:color="auto" w:fill="FFFFFF"/>
        </w:rPr>
        <w:t xml:space="preserve">Daniel </w:t>
      </w:r>
      <w:r w:rsidRPr="00F35818">
        <w:rPr>
          <w:i/>
          <w:shd w:val="clear" w:color="auto" w:fill="FFFFFF"/>
        </w:rPr>
        <w:t>Obajtek</w:t>
      </w:r>
      <w:r w:rsidRPr="00F35818">
        <w:rPr>
          <w:shd w:val="clear" w:color="auto" w:fill="FFFFFF"/>
        </w:rPr>
        <w:t xml:space="preserve"> tika ievēlēts Eiropas Parlamentā</w:t>
      </w:r>
      <w:r w:rsidRPr="00F35818">
        <w:t xml:space="preserve"> un </w:t>
      </w:r>
      <w:r w:rsidRPr="00F35818">
        <w:rPr>
          <w:shd w:val="clear" w:color="auto" w:fill="FFFFFF"/>
        </w:rPr>
        <w:t>tā kā nedz iespējamā noziedzīgā nodarījuma izdarīšanas laikā, nedz kriminālprocesa par inkriminētajiem pārkāpumiem ierosināšanas laikā viņš Eiropas Parlamenta deputāts nebija</w:t>
      </w:r>
      <w:r w:rsidRPr="00F35818">
        <w:t>;</w:t>
      </w:r>
    </w:p>
    <w:p w:rsidR="003960F6" w:rsidRPr="00F35818" w:rsidP="00F35818" w14:paraId="34E643AE" w14:textId="77777777">
      <w:pPr>
        <w:pStyle w:val="NormalHanging12a"/>
        <w:widowControl/>
      </w:pPr>
      <w:r w:rsidRPr="00F35818">
        <w:t>E.</w:t>
      </w:r>
      <w:r w:rsidRPr="00F35818">
        <w:tab/>
        <w:t xml:space="preserve">tā kā noziedzīgie nodarījumi, par kuru izdarīšanu </w:t>
      </w:r>
      <w:r w:rsidRPr="00F35818">
        <w:rPr>
          <w:i/>
        </w:rPr>
        <w:t>Daniel </w:t>
      </w:r>
      <w:r w:rsidRPr="00F35818">
        <w:rPr>
          <w:i/>
        </w:rPr>
        <w:t>Obajtek</w:t>
      </w:r>
      <w:r w:rsidRPr="00F35818">
        <w:t xml:space="preserve"> tiek turēts aizdomās, un no tiem izrietošais pieprasījums atcelt viņa imunitāti nedz ar viņa viedokli, nedz balsojumu, kas ir attiecīgi pausti un veikti, viņam pildot savus pienākumus Protokola Nr. 7 par privilēģijām un imunitāti Eiropas Savienībā 8. nozīmē, saistīti nav;</w:t>
      </w:r>
    </w:p>
    <w:p w:rsidR="00B36F68" w:rsidRPr="00F35818" w:rsidP="00F35818" w14:paraId="0639BA8D" w14:textId="02605277">
      <w:pPr>
        <w:pStyle w:val="NormalHanging12a"/>
        <w:widowControl/>
      </w:pPr>
      <w:r w:rsidRPr="00F35818">
        <w:t>F.</w:t>
      </w:r>
      <w:r w:rsidRPr="00F35818">
        <w:tab/>
        <w:t xml:space="preserve">tā kā saskaņā ar Protokola Nr. 7 par privilēģijām un imunitāti Eiropas Savienībā 9. panta pirmās daļas a) punktu </w:t>
      </w:r>
      <w:r w:rsidRPr="00F35818" w:rsidR="009365C2">
        <w:t xml:space="preserve">Eiropas Parlamenta sesijās </w:t>
      </w:r>
      <w:r w:rsidRPr="00F35818">
        <w:t xml:space="preserve">Eiropas Parlamenta locekļiem savā valstī ir imunitāte, ko piešķir attiecīgās </w:t>
      </w:r>
      <w:r w:rsidRPr="00F35818" w:rsidR="00F04DE2">
        <w:t>dalīb</w:t>
      </w:r>
      <w:r w:rsidRPr="00F35818">
        <w:t>valsts parlamenta locekļiem;</w:t>
      </w:r>
    </w:p>
    <w:p w:rsidR="003960F6" w:rsidRPr="00F35818" w:rsidP="00F35818" w14:paraId="4557903F" w14:textId="77777777">
      <w:pPr>
        <w:pStyle w:val="NormalHanging12a"/>
        <w:widowControl/>
      </w:pPr>
      <w:r w:rsidRPr="00F35818">
        <w:t>G.</w:t>
      </w:r>
      <w:r w:rsidRPr="00F35818">
        <w:tab/>
        <w:t xml:space="preserve">tā kā saskaņā ar Polijas Konstitūcijas 105. panta 2. un 5. punktu, sākot ar vēlēšanu rezultātu pasludināšanas dienu un līdz attiecīgā deputāta mandāta termiņa beigām, viņu bez Polijas Republikas </w:t>
      </w:r>
      <w:r w:rsidRPr="00F35818">
        <w:t>Sejma</w:t>
      </w:r>
      <w:r w:rsidRPr="00F35818">
        <w:t xml:space="preserve"> piekrišanas saukt pie kriminālatbildības nedrīkst un bez minētās piekrišanas nedrīkst nedz aizturēt, nedz apcietināt, izņemot gadījumus, kuros viņš tiek pieķerts noziedzīga nodarījuma izdarīšanas brīdī un kuros viņa aizturēšana ir nepieciešama, lai nodrošinātu procesuālo darbību pienācīgu veikšanu;</w:t>
      </w:r>
    </w:p>
    <w:p w:rsidR="003960F6" w:rsidRPr="00F35818" w:rsidP="00F35818" w14:paraId="4B45A332" w14:textId="77777777">
      <w:pPr>
        <w:pStyle w:val="NormalHanging12a"/>
        <w:widowControl/>
      </w:pPr>
      <w:r w:rsidRPr="00F35818">
        <w:t>H.</w:t>
      </w:r>
      <w:r w:rsidRPr="00F35818">
        <w:tab/>
        <w:t>tā kā saskaņā ar Parlamenta Reglamenta 5. panta 2. punktu deputāta imunitāte nav deputāta personiska privilēģija, bet gan visa Parlamenta un tā deputātu neatkarības garantija;</w:t>
      </w:r>
    </w:p>
    <w:p w:rsidR="003960F6" w:rsidRPr="00F35818" w:rsidP="00F35818" w14:paraId="49928018" w14:textId="0434C124">
      <w:pPr>
        <w:pStyle w:val="NormalHanging12a"/>
        <w:widowControl/>
      </w:pPr>
      <w:r w:rsidRPr="00F35818">
        <w:t>I.</w:t>
      </w:r>
      <w:r w:rsidRPr="00F35818">
        <w:tab/>
        <w:t xml:space="preserve">tā kā Protokola Nr. 7 par imunitāti un privilēģijām Eiropas Savienībā paredzētās imunitātes mērķis ir aizsargāt Parlamentu un tā deputātus pret </w:t>
      </w:r>
      <w:r w:rsidRPr="00F35818" w:rsidR="00CE63CD">
        <w:t>tiesvedību</w:t>
      </w:r>
      <w:r w:rsidRPr="00F35818">
        <w:t xml:space="preserve">, kas tiek </w:t>
      </w:r>
      <w:r w:rsidRPr="00F35818" w:rsidR="00CE63CD">
        <w:t>uzsākta</w:t>
      </w:r>
      <w:r w:rsidRPr="00F35818">
        <w:t xml:space="preserve"> par darbībām, kuras ir veiktas, pildot parlamentāros pienākumus, un kur</w:t>
      </w:r>
      <w:r w:rsidRPr="00F35818" w:rsidR="00CE63CD">
        <w:t>u</w:t>
      </w:r>
      <w:r w:rsidRPr="00F35818">
        <w:t xml:space="preserve"> atrauti no </w:t>
      </w:r>
      <w:r w:rsidRPr="00F35818" w:rsidR="00F04DE2">
        <w:t>minētaj</w:t>
      </w:r>
      <w:r w:rsidRPr="00F35818">
        <w:t>iem pienākumiem skatīt nevar;</w:t>
      </w:r>
    </w:p>
    <w:p w:rsidR="003960F6" w:rsidRPr="00F35818" w:rsidP="00F35818" w14:paraId="1448E4C6" w14:textId="5C6A3A12">
      <w:pPr>
        <w:pStyle w:val="NormalHanging12a"/>
        <w:widowControl/>
      </w:pPr>
      <w:r w:rsidRPr="00F35818">
        <w:t>J.</w:t>
      </w:r>
      <w:r w:rsidRPr="00F35818">
        <w:tab/>
        <w:t xml:space="preserve">tā kā šajā lietā Parlamentam nav pierādījumu par </w:t>
      </w:r>
      <w:r w:rsidRPr="00F35818">
        <w:rPr>
          <w:i/>
        </w:rPr>
        <w:t>fumus</w:t>
      </w:r>
      <w:r w:rsidRPr="00F35818">
        <w:rPr>
          <w:i/>
        </w:rPr>
        <w:t xml:space="preserve"> </w:t>
      </w:r>
      <w:r w:rsidRPr="00F35818">
        <w:rPr>
          <w:i/>
        </w:rPr>
        <w:t>persecutionis</w:t>
      </w:r>
      <w:r w:rsidRPr="00F35818">
        <w:t xml:space="preserve">, proti, </w:t>
      </w:r>
      <w:r w:rsidRPr="00F35818" w:rsidR="00CE63CD">
        <w:t>nešķiet, ka attiecīgās tiesvedības pamatā ir nodoms nodarīt</w:t>
      </w:r>
      <w:r w:rsidRPr="00F35818">
        <w:t xml:space="preserve"> kaitē</w:t>
      </w:r>
      <w:r w:rsidRPr="00F35818" w:rsidR="00CE63CD">
        <w:t>jumu</w:t>
      </w:r>
      <w:r w:rsidRPr="00F35818">
        <w:t xml:space="preserve"> </w:t>
      </w:r>
      <w:r w:rsidRPr="00F35818">
        <w:rPr>
          <w:i/>
        </w:rPr>
        <w:t xml:space="preserve">Daniel </w:t>
      </w:r>
      <w:r w:rsidRPr="00F35818">
        <w:rPr>
          <w:i/>
        </w:rPr>
        <w:t>Obajtek</w:t>
      </w:r>
      <w:r w:rsidRPr="00F35818">
        <w:t xml:space="preserve"> kā Eiropas Parlamenta deputāta politiskajai darbībai</w:t>
      </w:r>
      <w:r w:rsidRPr="00F35818" w:rsidR="00CE63CD">
        <w:t xml:space="preserve"> un tādējādi Parlamenta neatkarībai</w:t>
      </w:r>
      <w:r w:rsidRPr="00F35818">
        <w:t>;</w:t>
      </w:r>
    </w:p>
    <w:p w:rsidR="003960F6" w:rsidRPr="00F35818" w:rsidP="00F35818" w14:paraId="4B7D416B" w14:textId="77777777">
      <w:pPr>
        <w:pStyle w:val="NormalHanging12a"/>
        <w:widowControl/>
      </w:pPr>
      <w:r w:rsidRPr="00F35818">
        <w:t>K.</w:t>
      </w:r>
      <w:r w:rsidRPr="00F35818">
        <w:tab/>
        <w:t>tā kā, no vienas puses, Parlaments nevar tikt pielīdzināts tiesai un, no otras puses, deputāts imunitātes atcelšanas procedūras kontekstā nevar tikt uzskatīts par apsūdzēto</w:t>
      </w:r>
      <w:r>
        <w:rPr>
          <w:rStyle w:val="FootnoteReference"/>
        </w:rPr>
        <w:footnoteReference w:id="3"/>
      </w:r>
      <w:r w:rsidRPr="00F35818">
        <w:t>,</w:t>
      </w:r>
    </w:p>
    <w:p w:rsidR="003960F6" w:rsidRPr="00F35818" w:rsidP="00A84DFA" w14:paraId="1F437645" w14:textId="77777777">
      <w:pPr>
        <w:pStyle w:val="NormalHanging12a"/>
        <w:widowControl/>
      </w:pPr>
      <w:r w:rsidRPr="00F35818">
        <w:t>1.</w:t>
      </w:r>
      <w:r w:rsidRPr="00F35818">
        <w:tab/>
        <w:t xml:space="preserve">nolemj atcelt </w:t>
      </w:r>
      <w:r w:rsidRPr="00F35818">
        <w:rPr>
          <w:i/>
        </w:rPr>
        <w:t xml:space="preserve">Daniel </w:t>
      </w:r>
      <w:r w:rsidRPr="00F35818">
        <w:rPr>
          <w:i/>
        </w:rPr>
        <w:t>Obajtek</w:t>
      </w:r>
      <w:r w:rsidRPr="00F35818">
        <w:t xml:space="preserve"> imunitāti;</w:t>
      </w:r>
    </w:p>
    <w:p w:rsidR="00C729E2" w:rsidRPr="00F35818" w:rsidP="00A84DFA" w14:paraId="7A1D0B15" w14:textId="7242AE43">
      <w:pPr>
        <w:ind w:left="567" w:hanging="567"/>
      </w:pPr>
      <w:r w:rsidRPr="00F35818">
        <w:t>2.</w:t>
      </w:r>
      <w:r w:rsidRPr="00F35818">
        <w:tab/>
        <w:t xml:space="preserve">uzdod priekšsēdētājai šo lēmumu un atbildīgās komitejas ziņojumu nekavējoties nosūtīt Polijas Republikas kompetentajai iestādei un </w:t>
      </w:r>
      <w:r w:rsidRPr="00F35818">
        <w:rPr>
          <w:i/>
        </w:rPr>
        <w:t xml:space="preserve">Daniel </w:t>
      </w:r>
      <w:r w:rsidRPr="00F35818">
        <w:rPr>
          <w:i/>
        </w:rPr>
        <w:t>Obajtek</w:t>
      </w:r>
      <w:r w:rsidRPr="00F35818">
        <w:t xml:space="preserve">. </w:t>
      </w:r>
    </w:p>
    <w:p w:rsidR="00E365E1" w:rsidRPr="00F35818" w:rsidP="00A84DFA" w14:paraId="0FE94AA8" w14:textId="3C17EF10"/>
    <w:sectPr w:rsidSect="00C729E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11B2E00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2BD7BE0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1B8C530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3B8D" w:rsidRPr="00C729E2" w14:paraId="1208B3E4" w14:textId="77777777">
      <w:r w:rsidRPr="00C729E2">
        <w:separator/>
      </w:r>
    </w:p>
  </w:footnote>
  <w:footnote w:type="continuationSeparator" w:id="1">
    <w:p w:rsidR="007A3B8D" w:rsidRPr="00C729E2" w14:paraId="14227B16" w14:textId="77777777">
      <w:r w:rsidRPr="00C729E2">
        <w:continuationSeparator/>
      </w:r>
    </w:p>
  </w:footnote>
  <w:footnote w:id="2">
    <w:p w:rsidR="003960F6" w:rsidRPr="00C729E2" w:rsidP="00C729E2" w14:paraId="6D6AABA9" w14:textId="1CBF3502">
      <w:pPr>
        <w:pStyle w:val="FootnoteText"/>
        <w:ind w:left="567" w:hanging="567"/>
        <w:rPr>
          <w:sz w:val="24"/>
          <w:lang w:val="lv-LV"/>
        </w:rPr>
      </w:pPr>
      <w:r w:rsidRPr="00C729E2">
        <w:rPr>
          <w:rStyle w:val="FootnoteReference"/>
          <w:sz w:val="24"/>
          <w:lang w:val="lv-LV"/>
        </w:rPr>
        <w:footnoteRef/>
      </w:r>
      <w:r w:rsidRPr="00C729E2" w:rsidR="00C729E2">
        <w:rPr>
          <w:sz w:val="24"/>
          <w:lang w:val="lv-LV"/>
        </w:rPr>
        <w:t xml:space="preserve"> </w:t>
      </w:r>
      <w:r w:rsidRPr="00C729E2" w:rsidR="00C729E2">
        <w:rPr>
          <w:sz w:val="24"/>
          <w:lang w:val="lv-LV"/>
        </w:rPr>
        <w:tab/>
      </w:r>
      <w:r w:rsidRPr="00C729E2">
        <w:rPr>
          <w:sz w:val="24"/>
          <w:lang w:val="lv-LV"/>
        </w:rPr>
        <w:t xml:space="preserve">Tiesas 2008. gada 21. oktobra spriedums, </w:t>
      </w:r>
      <w:r w:rsidRPr="00C729E2">
        <w:rPr>
          <w:i/>
          <w:sz w:val="24"/>
          <w:lang w:val="lv-LV"/>
        </w:rPr>
        <w:t>Marra</w:t>
      </w:r>
      <w:r w:rsidRPr="00C729E2">
        <w:rPr>
          <w:i/>
          <w:sz w:val="24"/>
          <w:lang w:val="lv-LV"/>
        </w:rPr>
        <w:t>/</w:t>
      </w:r>
      <w:r w:rsidRPr="00C729E2">
        <w:rPr>
          <w:i/>
          <w:sz w:val="24"/>
          <w:lang w:val="lv-LV"/>
        </w:rPr>
        <w:t>De</w:t>
      </w:r>
      <w:r w:rsidRPr="00C729E2">
        <w:rPr>
          <w:i/>
          <w:sz w:val="24"/>
          <w:lang w:val="lv-LV"/>
        </w:rPr>
        <w:t xml:space="preserve"> Gregorio</w:t>
      </w:r>
      <w:r w:rsidRPr="00C729E2">
        <w:rPr>
          <w:sz w:val="24"/>
          <w:lang w:val="lv-LV"/>
        </w:rPr>
        <w:t xml:space="preserve"> un </w:t>
      </w:r>
      <w:r w:rsidRPr="00C729E2">
        <w:rPr>
          <w:i/>
          <w:sz w:val="24"/>
          <w:lang w:val="lv-LV"/>
        </w:rPr>
        <w:t>Clemente</w:t>
      </w:r>
      <w:r w:rsidRPr="00C729E2">
        <w:rPr>
          <w:sz w:val="24"/>
          <w:lang w:val="lv-LV"/>
        </w:rPr>
        <w:t xml:space="preserve">, C-200/07 un C-201/07, ECLI:EU:C:2008:579; Vispārējās tiesas 2010. gada 19. marta spriedums, </w:t>
      </w:r>
      <w:r w:rsidRPr="00C729E2">
        <w:rPr>
          <w:i/>
          <w:sz w:val="24"/>
          <w:lang w:val="lv-LV"/>
        </w:rPr>
        <w:t>Gollnisch</w:t>
      </w:r>
      <w:r w:rsidRPr="00C729E2">
        <w:rPr>
          <w:sz w:val="24"/>
          <w:lang w:val="lv-LV"/>
        </w:rPr>
        <w:t xml:space="preserve">/Parlaments, T-42/06, ECLI:EU:T:2010:102; Tiesas 2011. gada 6. septembra spriedums, </w:t>
      </w:r>
      <w:r w:rsidRPr="00C729E2">
        <w:rPr>
          <w:i/>
          <w:sz w:val="24"/>
          <w:lang w:val="lv-LV"/>
        </w:rPr>
        <w:t>Patriciello</w:t>
      </w:r>
      <w:r w:rsidRPr="00C729E2">
        <w:rPr>
          <w:sz w:val="24"/>
          <w:lang w:val="lv-LV"/>
        </w:rPr>
        <w:t xml:space="preserve">, C-163/10, ECLI: EU:C:2011:543; Vispārējās tiesas 2013. gada 17. janvāra spriedums, </w:t>
      </w:r>
      <w:r w:rsidRPr="00C729E2">
        <w:rPr>
          <w:i/>
          <w:sz w:val="24"/>
          <w:lang w:val="lv-LV"/>
        </w:rPr>
        <w:t>Gollnisch</w:t>
      </w:r>
      <w:r w:rsidRPr="00C729E2">
        <w:rPr>
          <w:sz w:val="24"/>
          <w:lang w:val="lv-LV"/>
        </w:rPr>
        <w:t xml:space="preserve">/Parlaments, T-346/11 un T-347/11, ECLI:EU:T:2013:23. Tiesas 2019. gada 19. decembra spriedums, </w:t>
      </w:r>
      <w:r w:rsidRPr="00C729E2">
        <w:rPr>
          <w:i/>
          <w:sz w:val="24"/>
          <w:lang w:val="lv-LV"/>
        </w:rPr>
        <w:t>Junqueras</w:t>
      </w:r>
      <w:r w:rsidRPr="00C729E2">
        <w:rPr>
          <w:i/>
          <w:sz w:val="24"/>
          <w:lang w:val="lv-LV"/>
        </w:rPr>
        <w:t xml:space="preserve"> Vies</w:t>
      </w:r>
      <w:r w:rsidRPr="00C729E2">
        <w:rPr>
          <w:sz w:val="24"/>
          <w:lang w:val="lv-LV"/>
        </w:rPr>
        <w:t>, C-502/19, ECLI:EU:C:2019:1115.</w:t>
      </w:r>
    </w:p>
  </w:footnote>
  <w:footnote w:id="3">
    <w:p w:rsidR="003960F6" w:rsidRPr="00C729E2" w:rsidP="00C729E2" w14:paraId="3048542D" w14:textId="2AD8AC73">
      <w:pPr>
        <w:pStyle w:val="FootnoteText"/>
        <w:ind w:left="567" w:hanging="567"/>
        <w:rPr>
          <w:sz w:val="24"/>
          <w:lang w:val="lv-LV"/>
        </w:rPr>
      </w:pPr>
      <w:r w:rsidRPr="00C729E2">
        <w:rPr>
          <w:rStyle w:val="FootnoteReference"/>
          <w:sz w:val="24"/>
          <w:lang w:val="lv-LV"/>
        </w:rPr>
        <w:footnoteRef/>
      </w:r>
      <w:r w:rsidRPr="00C729E2" w:rsidR="00C729E2">
        <w:rPr>
          <w:sz w:val="24"/>
          <w:lang w:val="lv-LV"/>
        </w:rPr>
        <w:t xml:space="preserve"> </w:t>
      </w:r>
      <w:r w:rsidRPr="00C729E2" w:rsidR="00C729E2">
        <w:rPr>
          <w:sz w:val="24"/>
          <w:lang w:val="lv-LV"/>
        </w:rPr>
        <w:tab/>
      </w:r>
      <w:r w:rsidRPr="00C729E2">
        <w:rPr>
          <w:sz w:val="24"/>
          <w:lang w:val="lv-LV"/>
        </w:rPr>
        <w:t xml:space="preserve">Vispārējās tiesas 2019. gada 30. aprīļa spriedums, </w:t>
      </w:r>
      <w:r w:rsidRPr="00C729E2">
        <w:rPr>
          <w:i/>
          <w:sz w:val="24"/>
          <w:lang w:val="lv-LV"/>
        </w:rPr>
        <w:t>Briois</w:t>
      </w:r>
      <w:r w:rsidRPr="00C729E2">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209D487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15AC84F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29E2" w14:paraId="584027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D9B6E56"/>
    <w:multiLevelType w:val="hybridMultilevel"/>
    <w:tmpl w:val="4112E5D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4D27DE8"/>
    <w:multiLevelType w:val="hybridMultilevel"/>
    <w:tmpl w:val="4CA84E96"/>
    <w:lvl w:ilvl="0">
      <w:start w:val="1"/>
      <w:numFmt w:val="upperLetter"/>
      <w:lvlText w:val="%1."/>
      <w:lvlJc w:val="left"/>
      <w:pPr>
        <w:ind w:left="924" w:hanging="564"/>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68185536">
    <w:abstractNumId w:val="9"/>
  </w:num>
  <w:num w:numId="2" w16cid:durableId="1391230966">
    <w:abstractNumId w:val="9"/>
  </w:num>
  <w:num w:numId="3" w16cid:durableId="1551575250">
    <w:abstractNumId w:val="7"/>
  </w:num>
  <w:num w:numId="4" w16cid:durableId="1363437342">
    <w:abstractNumId w:val="7"/>
  </w:num>
  <w:num w:numId="5" w16cid:durableId="2088841241">
    <w:abstractNumId w:val="6"/>
  </w:num>
  <w:num w:numId="6" w16cid:durableId="1769890986">
    <w:abstractNumId w:val="6"/>
  </w:num>
  <w:num w:numId="7" w16cid:durableId="673145549">
    <w:abstractNumId w:val="5"/>
  </w:num>
  <w:num w:numId="8" w16cid:durableId="1472822462">
    <w:abstractNumId w:val="5"/>
  </w:num>
  <w:num w:numId="9" w16cid:durableId="1438677551">
    <w:abstractNumId w:val="4"/>
  </w:num>
  <w:num w:numId="10" w16cid:durableId="1007366342">
    <w:abstractNumId w:val="4"/>
  </w:num>
  <w:num w:numId="11" w16cid:durableId="1613174243">
    <w:abstractNumId w:val="8"/>
  </w:num>
  <w:num w:numId="12" w16cid:durableId="1897424045">
    <w:abstractNumId w:val="8"/>
  </w:num>
  <w:num w:numId="13" w16cid:durableId="1736320432">
    <w:abstractNumId w:val="3"/>
  </w:num>
  <w:num w:numId="14" w16cid:durableId="366686762">
    <w:abstractNumId w:val="3"/>
  </w:num>
  <w:num w:numId="15" w16cid:durableId="153422918">
    <w:abstractNumId w:val="2"/>
  </w:num>
  <w:num w:numId="16" w16cid:durableId="2017734058">
    <w:abstractNumId w:val="2"/>
  </w:num>
  <w:num w:numId="17" w16cid:durableId="975453223">
    <w:abstractNumId w:val="1"/>
  </w:num>
  <w:num w:numId="18" w16cid:durableId="445807922">
    <w:abstractNumId w:val="1"/>
  </w:num>
  <w:num w:numId="19" w16cid:durableId="1801877997">
    <w:abstractNumId w:val="0"/>
  </w:num>
  <w:num w:numId="20" w16cid:durableId="713968264">
    <w:abstractNumId w:val="0"/>
  </w:num>
  <w:num w:numId="21" w16cid:durableId="1616599402">
    <w:abstractNumId w:val="9"/>
  </w:num>
  <w:num w:numId="22" w16cid:durableId="207650248">
    <w:abstractNumId w:val="7"/>
  </w:num>
  <w:num w:numId="23" w16cid:durableId="1090154860">
    <w:abstractNumId w:val="6"/>
  </w:num>
  <w:num w:numId="24" w16cid:durableId="1209339512">
    <w:abstractNumId w:val="5"/>
  </w:num>
  <w:num w:numId="25" w16cid:durableId="532813541">
    <w:abstractNumId w:val="4"/>
  </w:num>
  <w:num w:numId="26" w16cid:durableId="2127306172">
    <w:abstractNumId w:val="8"/>
  </w:num>
  <w:num w:numId="27" w16cid:durableId="14119454">
    <w:abstractNumId w:val="3"/>
  </w:num>
  <w:num w:numId="28" w16cid:durableId="329842966">
    <w:abstractNumId w:val="2"/>
  </w:num>
  <w:num w:numId="29" w16cid:durableId="153381480">
    <w:abstractNumId w:val="1"/>
  </w:num>
  <w:num w:numId="30" w16cid:durableId="850605580">
    <w:abstractNumId w:val="0"/>
  </w:num>
  <w:num w:numId="31" w16cid:durableId="1206867459">
    <w:abstractNumId w:val="9"/>
  </w:num>
  <w:num w:numId="32" w16cid:durableId="336805964">
    <w:abstractNumId w:val="7"/>
  </w:num>
  <w:num w:numId="33" w16cid:durableId="1380666032">
    <w:abstractNumId w:val="6"/>
  </w:num>
  <w:num w:numId="34" w16cid:durableId="1413429579">
    <w:abstractNumId w:val="5"/>
  </w:num>
  <w:num w:numId="35" w16cid:durableId="667831336">
    <w:abstractNumId w:val="4"/>
  </w:num>
  <w:num w:numId="36" w16cid:durableId="1119955404">
    <w:abstractNumId w:val="8"/>
  </w:num>
  <w:num w:numId="37" w16cid:durableId="888229910">
    <w:abstractNumId w:val="3"/>
  </w:num>
  <w:num w:numId="38" w16cid:durableId="824319594">
    <w:abstractNumId w:val="2"/>
  </w:num>
  <w:num w:numId="39" w16cid:durableId="1533836486">
    <w:abstractNumId w:val="1"/>
  </w:num>
  <w:num w:numId="40" w16cid:durableId="1595434265">
    <w:abstractNumId w:val="0"/>
  </w:num>
  <w:num w:numId="41" w16cid:durableId="1225801543">
    <w:abstractNumId w:val="10"/>
  </w:num>
  <w:num w:numId="42" w16cid:durableId="2047485862">
    <w:abstractNumId w:val="10"/>
  </w:num>
  <w:num w:numId="43" w16cid:durableId="2133283497">
    <w:abstractNumId w:val="10"/>
  </w:num>
  <w:num w:numId="44" w16cid:durableId="878207135">
    <w:abstractNumId w:val="12"/>
  </w:num>
  <w:num w:numId="45" w16cid:durableId="1909265475">
    <w:abstractNumId w:val="13"/>
  </w:num>
  <w:num w:numId="46" w16cid:durableId="1681153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8D"/>
    <w:rsid w:val="00002272"/>
    <w:rsid w:val="00064002"/>
    <w:rsid w:val="000677B9"/>
    <w:rsid w:val="000831BA"/>
    <w:rsid w:val="000A42CC"/>
    <w:rsid w:val="000D4495"/>
    <w:rsid w:val="000E7DD9"/>
    <w:rsid w:val="0010095E"/>
    <w:rsid w:val="00125B37"/>
    <w:rsid w:val="00187494"/>
    <w:rsid w:val="001F32AE"/>
    <w:rsid w:val="00246093"/>
    <w:rsid w:val="002767FF"/>
    <w:rsid w:val="002B18FE"/>
    <w:rsid w:val="002B5493"/>
    <w:rsid w:val="00343214"/>
    <w:rsid w:val="00361C00"/>
    <w:rsid w:val="00395FA1"/>
    <w:rsid w:val="003960F6"/>
    <w:rsid w:val="003E15D4"/>
    <w:rsid w:val="00411CCE"/>
    <w:rsid w:val="0041666E"/>
    <w:rsid w:val="00421060"/>
    <w:rsid w:val="0044764A"/>
    <w:rsid w:val="00471C19"/>
    <w:rsid w:val="004867E3"/>
    <w:rsid w:val="00494A28"/>
    <w:rsid w:val="004C0004"/>
    <w:rsid w:val="004C5D52"/>
    <w:rsid w:val="0050519A"/>
    <w:rsid w:val="005072A1"/>
    <w:rsid w:val="00514517"/>
    <w:rsid w:val="00542D73"/>
    <w:rsid w:val="00545827"/>
    <w:rsid w:val="00560270"/>
    <w:rsid w:val="005A12E5"/>
    <w:rsid w:val="005C2568"/>
    <w:rsid w:val="005D7217"/>
    <w:rsid w:val="005F1B17"/>
    <w:rsid w:val="006037C0"/>
    <w:rsid w:val="006631B6"/>
    <w:rsid w:val="00680577"/>
    <w:rsid w:val="006F74FA"/>
    <w:rsid w:val="0070086E"/>
    <w:rsid w:val="00731ADD"/>
    <w:rsid w:val="00734777"/>
    <w:rsid w:val="00747932"/>
    <w:rsid w:val="00751A4A"/>
    <w:rsid w:val="00756632"/>
    <w:rsid w:val="00762C74"/>
    <w:rsid w:val="00786EC0"/>
    <w:rsid w:val="007A3B8D"/>
    <w:rsid w:val="007D1690"/>
    <w:rsid w:val="007E22AD"/>
    <w:rsid w:val="00817416"/>
    <w:rsid w:val="00842779"/>
    <w:rsid w:val="00865F67"/>
    <w:rsid w:val="0086696C"/>
    <w:rsid w:val="00881A7B"/>
    <w:rsid w:val="008840E5"/>
    <w:rsid w:val="00887B3E"/>
    <w:rsid w:val="008C2AC6"/>
    <w:rsid w:val="00930C23"/>
    <w:rsid w:val="0093193B"/>
    <w:rsid w:val="009365C2"/>
    <w:rsid w:val="009509D8"/>
    <w:rsid w:val="00950B64"/>
    <w:rsid w:val="00981893"/>
    <w:rsid w:val="00A1687D"/>
    <w:rsid w:val="00A43E52"/>
    <w:rsid w:val="00A4678D"/>
    <w:rsid w:val="00A778C7"/>
    <w:rsid w:val="00A84DFA"/>
    <w:rsid w:val="00AB441E"/>
    <w:rsid w:val="00AB6293"/>
    <w:rsid w:val="00AE0928"/>
    <w:rsid w:val="00AF3B82"/>
    <w:rsid w:val="00B12E95"/>
    <w:rsid w:val="00B15BCD"/>
    <w:rsid w:val="00B22876"/>
    <w:rsid w:val="00B36F68"/>
    <w:rsid w:val="00B558F0"/>
    <w:rsid w:val="00BD48FE"/>
    <w:rsid w:val="00BD7BD8"/>
    <w:rsid w:val="00BE6ADC"/>
    <w:rsid w:val="00C05BFE"/>
    <w:rsid w:val="00C23CD4"/>
    <w:rsid w:val="00C61C0C"/>
    <w:rsid w:val="00C729E2"/>
    <w:rsid w:val="00C941CB"/>
    <w:rsid w:val="00CC2357"/>
    <w:rsid w:val="00CE63C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DE2"/>
    <w:rsid w:val="00F075DC"/>
    <w:rsid w:val="00F149E9"/>
    <w:rsid w:val="00F35818"/>
    <w:rsid w:val="00F5134D"/>
    <w:rsid w:val="00F62DB1"/>
    <w:rsid w:val="00F74202"/>
    <w:rsid w:val="00F87713"/>
    <w:rsid w:val="00FB4360"/>
    <w:rsid w:val="00FB6BEB"/>
    <w:rsid w:val="00FD0C70"/>
  </w:rsids>
  <w:docVars>
    <w:docVar w:name="dvdocse" w:val="A10-0115/2026"/>
    <w:docVar w:name="dvlangue" w:val="LV"/>
    <w:docVar w:name="dvnumam" w:val="0"/>
    <w:docVar w:name="dvpe" w:val="786.910"/>
    <w:docVar w:name="dvrapporteur" w:val="Referents: "/>
    <w:docVar w:name="dvtitre" w:val="Eiropas Parlamenta 2026. gada XX. XXX  rezolūcija par pieprasījumu atcelt Daniel Obajtek imunitāti(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3C83EE6"/>
  <w15:chartTrackingRefBased/>
  <w15:docId w15:val="{31B8ACE2-56B8-46F7-8DFE-461A9623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960F6"/>
    <w:rPr>
      <w:b/>
    </w:rPr>
  </w:style>
  <w:style w:type="paragraph" w:customStyle="1" w:styleId="NormalHanging12a">
    <w:name w:val="NormalHanging12a"/>
    <w:basedOn w:val="Normal"/>
    <w:rsid w:val="003960F6"/>
    <w:pPr>
      <w:spacing w:after="240"/>
      <w:ind w:left="567" w:hanging="567"/>
    </w:pPr>
  </w:style>
  <w:style w:type="paragraph" w:customStyle="1" w:styleId="EPComma">
    <w:name w:val="EPComma"/>
    <w:basedOn w:val="Normal"/>
    <w:rsid w:val="003960F6"/>
    <w:pPr>
      <w:spacing w:before="480" w:after="240"/>
    </w:pPr>
  </w:style>
  <w:style w:type="paragraph" w:styleId="Revision">
    <w:name w:val="Revision"/>
    <w:hidden/>
    <w:uiPriority w:val="99"/>
    <w:semiHidden/>
    <w:rsid w:val="00B15BC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2026-06-05T08:49:00Z</dcterms:created>
  <dcterms:modified xsi:type="dcterms:W3CDTF">2026-06-05T08:49:00Z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A10-0115/2026</vt:lpwstr>
  </property>
  <property fmtid="{D5CDD505-2E9C-101B-9397-08002B2CF9AE}" pid="4" name="&lt;Type&gt;">
    <vt:lpwstr>RR</vt:lpwstr>
  </property>
</Properties>
</file>