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F88080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424F" w:rsidP="0010095E" w14:paraId="7AB74931" w14:textId="77777777">
            <w:pPr>
              <w:pStyle w:val="EPName"/>
            </w:pPr>
            <w:r w:rsidRPr="0006424F">
              <w:t>Parlament Ewropew</w:t>
            </w:r>
          </w:p>
          <w:p w:rsidR="00751A4A" w:rsidRPr="0006424F" w:rsidP="005F1B17" w14:paraId="647FCC3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424F">
              <w:t>2024</w:t>
            </w:r>
            <w:r w:rsidRPr="0006424F" w:rsidR="00817416">
              <w:t>-202</w:t>
            </w:r>
            <w:r w:rsidRPr="0006424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6424F" w:rsidP="0010095E" w14:paraId="15CA5E15" w14:textId="77777777">
            <w:pPr>
              <w:pStyle w:val="EPLogo"/>
            </w:pPr>
            <w:r w:rsidRPr="0006424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424F" w:rsidP="004C5D52" w14:paraId="70A89117" w14:textId="77777777">
      <w:pPr>
        <w:pStyle w:val="LineTop"/>
      </w:pPr>
    </w:p>
    <w:p w:rsidR="00680577" w:rsidRPr="0006424F" w:rsidP="00680577" w14:paraId="0DD30111" w14:textId="77777777">
      <w:pPr>
        <w:pStyle w:val="EPBodyTA1"/>
      </w:pPr>
      <w:r w:rsidRPr="0006424F">
        <w:t>TESTI ADOTTATI</w:t>
      </w:r>
    </w:p>
    <w:p w:rsidR="00D058B8" w:rsidRPr="0006424F" w:rsidP="00D058B8" w14:paraId="72DC9741" w14:textId="77777777">
      <w:pPr>
        <w:pStyle w:val="LineBottom"/>
      </w:pPr>
    </w:p>
    <w:p w:rsidR="001D109A" w:rsidRPr="0006424F" w:rsidP="001D109A" w14:paraId="13A38DA8" w14:textId="3FAD369D">
      <w:pPr>
        <w:pStyle w:val="ATHeading1"/>
      </w:pPr>
      <w:bookmarkStart w:id="0" w:name="TANumber"/>
      <w:r w:rsidRPr="0006424F">
        <w:t>P10_TA(2026)0</w:t>
      </w:r>
      <w:bookmarkEnd w:id="0"/>
      <w:r w:rsidR="00974B20">
        <w:t>106</w:t>
      </w:r>
    </w:p>
    <w:p w:rsidR="001D109A" w:rsidRPr="0006424F" w:rsidP="001D109A" w14:paraId="047E0F05" w14:textId="6977BB57">
      <w:pPr>
        <w:pStyle w:val="ATHeading2"/>
      </w:pPr>
      <w:r>
        <w:t>T</w:t>
      </w:r>
      <w:r w:rsidRPr="0006424F">
        <w:t xml:space="preserve">alba għat-tneħħija tal-immunità ta’ Daniel </w:t>
      </w:r>
      <w:r w:rsidRPr="0006424F">
        <w:t>Obajtek</w:t>
      </w:r>
    </w:p>
    <w:p w:rsidR="001D109A" w:rsidRPr="0006424F" w:rsidP="001D109A" w14:paraId="7312F400" w14:textId="77777777">
      <w:pPr>
        <w:rPr>
          <w:i/>
          <w:vanish/>
        </w:rPr>
      </w:pPr>
      <w:r>
        <w:rPr>
          <w:i/>
        </w:rPr>
        <w:fldChar w:fldCharType="begin"/>
      </w:r>
      <w:r w:rsidRPr="0006424F">
        <w:rPr>
          <w:i/>
        </w:rPr>
        <w:instrText xml:space="preserve"> TC"(</w:instrText>
      </w:r>
      <w:bookmarkStart w:id="1" w:name="DocNumber"/>
      <w:r w:rsidRPr="0006424F">
        <w:rPr>
          <w:i/>
        </w:rPr>
        <w:instrText>A10-0115/2026</w:instrText>
      </w:r>
      <w:bookmarkEnd w:id="1"/>
      <w:r w:rsidRPr="0006424F">
        <w:rPr>
          <w:i/>
        </w:rPr>
        <w:instrText xml:space="preserve"> - Rapporteur: </w:instrText>
      </w:r>
      <w:r w:rsidRPr="0006424F">
        <w:rPr>
          <w:i/>
        </w:rPr>
        <w:instrText>Pascale</w:instrText>
      </w:r>
      <w:r w:rsidRPr="0006424F">
        <w:rPr>
          <w:i/>
        </w:rPr>
        <w:instrText xml:space="preserve"> </w:instrText>
      </w:r>
      <w:r w:rsidRPr="0006424F">
        <w:rPr>
          <w:i/>
        </w:rPr>
        <w:instrText>Piera</w:instrText>
      </w:r>
      <w:r w:rsidRPr="0006424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D109A" w:rsidRPr="0006424F" w:rsidP="001D109A" w14:paraId="3927A541" w14:textId="77777777">
      <w:pPr>
        <w:rPr>
          <w:vanish/>
        </w:rPr>
      </w:pPr>
      <w:bookmarkStart w:id="2" w:name="Commission"/>
      <w:r w:rsidRPr="0006424F">
        <w:rPr>
          <w:vanish/>
        </w:rPr>
        <w:t>Kumitat għall-Affarijiet Legali</w:t>
      </w:r>
      <w:bookmarkEnd w:id="2"/>
    </w:p>
    <w:p w:rsidR="001D109A" w:rsidRPr="0006424F" w:rsidP="001D109A" w14:paraId="40FB6ED4" w14:textId="77777777">
      <w:pPr>
        <w:rPr>
          <w:vanish/>
        </w:rPr>
      </w:pPr>
      <w:bookmarkStart w:id="3" w:name="PE"/>
      <w:r w:rsidRPr="0006424F">
        <w:rPr>
          <w:vanish/>
        </w:rPr>
        <w:t>PE786.910</w:t>
      </w:r>
      <w:bookmarkEnd w:id="3"/>
    </w:p>
    <w:p w:rsidR="001D109A" w:rsidRPr="0006424F" w:rsidP="001D109A" w14:paraId="08D7880C" w14:textId="099D5045">
      <w:pPr>
        <w:pStyle w:val="ATHeading3"/>
      </w:pPr>
      <w:bookmarkStart w:id="4" w:name="Sujet"/>
      <w:r>
        <w:t>Deċiżjoni</w:t>
      </w:r>
      <w:r w:rsidRPr="0006424F">
        <w:t xml:space="preserve"> tal-Parlament Ewropew </w:t>
      </w:r>
      <w:r>
        <w:t xml:space="preserve">tat-28 ta’ April </w:t>
      </w:r>
      <w:r w:rsidRPr="0006424F">
        <w:t xml:space="preserve">2026 dwar it-talba għat-tneħħija tal-immunità ta’ Daniel </w:t>
      </w:r>
      <w:r w:rsidRPr="0006424F">
        <w:t>Obajtek</w:t>
      </w:r>
      <w:bookmarkEnd w:id="4"/>
      <w:r w:rsidRPr="0006424F">
        <w:t xml:space="preserve"> </w:t>
      </w:r>
      <w:bookmarkStart w:id="5" w:name="References"/>
      <w:r w:rsidRPr="0006424F">
        <w:t>(2025/2172(IMM))</w:t>
      </w:r>
      <w:bookmarkEnd w:id="5"/>
    </w:p>
    <w:p w:rsidR="00A816C7" w:rsidRPr="0006424F" w:rsidP="00A816C7" w14:paraId="44ACE668" w14:textId="77777777">
      <w:pPr>
        <w:pStyle w:val="EPComma"/>
        <w:widowControl/>
      </w:pPr>
      <w:bookmarkStart w:id="6" w:name="TextBodyBegin"/>
      <w:bookmarkEnd w:id="6"/>
      <w:r w:rsidRPr="0006424F">
        <w:rPr>
          <w:i/>
          <w:iCs/>
        </w:rPr>
        <w:t>Il-Parlament Ewropew,</w:t>
      </w:r>
    </w:p>
    <w:p w:rsidR="00A816C7" w:rsidRPr="0006424F" w:rsidP="00A816C7" w14:paraId="381004BD" w14:textId="17C91157">
      <w:pPr>
        <w:pStyle w:val="NormalHanging12a"/>
        <w:widowControl/>
        <w:jc w:val="both"/>
      </w:pPr>
      <w:r w:rsidRPr="0006424F">
        <w:t>–</w:t>
      </w:r>
      <w:r w:rsidRPr="0006424F">
        <w:tab/>
        <w:t xml:space="preserve">wara li kkunsidra t-talba għat-tneħħija tal-immunità ta’ Daniel </w:t>
      </w:r>
      <w:r w:rsidRPr="0006424F">
        <w:t>Obajtek</w:t>
      </w:r>
      <w:r w:rsidRPr="0006424F">
        <w:t xml:space="preserve">, </w:t>
      </w:r>
      <w:r w:rsidR="00D573A4">
        <w:t xml:space="preserve">li waslet </w:t>
      </w:r>
      <w:r w:rsidRPr="004844BF" w:rsidR="004844BF">
        <w:t>permezz ta</w:t>
      </w:r>
      <w:r w:rsidR="00D573A4">
        <w:t>l-</w:t>
      </w:r>
      <w:r w:rsidRPr="004844BF" w:rsidR="004844BF">
        <w:t xml:space="preserve">ittra </w:t>
      </w:r>
      <w:r w:rsidR="00D573A4">
        <w:t>tal</w:t>
      </w:r>
      <w:r w:rsidRPr="004844BF" w:rsidR="004844BF">
        <w:t xml:space="preserve">-21 ta' Lulju 2025 mingħand </w:t>
      </w:r>
      <w:r w:rsidR="004844BF">
        <w:t>i</w:t>
      </w:r>
      <w:r w:rsidRPr="0006424F">
        <w:t xml:space="preserve">l-Prosekutur Ġenerali tar-Repubblika tal-Polonja li </w:t>
      </w:r>
      <w:r w:rsidR="00D573A4">
        <w:t>bagħat</w:t>
      </w:r>
      <w:r w:rsidRPr="0006424F">
        <w:t xml:space="preserve"> talba mill-Uffiċċju tal-Prosekutur </w:t>
      </w:r>
      <w:r w:rsidR="004844BF">
        <w:t xml:space="preserve">Pubbliku </w:t>
      </w:r>
      <w:r w:rsidRPr="0006424F">
        <w:t xml:space="preserve">Reġjonali ta’ Varsavja b’rabta mal-proċedimenti kriminali li għandhom jitressqu kontra Daniel </w:t>
      </w:r>
      <w:r w:rsidRPr="0006424F">
        <w:t>Obajtek</w:t>
      </w:r>
      <w:r w:rsidRPr="0006424F">
        <w:t>, u mħabbra fi</w:t>
      </w:r>
      <w:r w:rsidR="004844BF">
        <w:t>l-Parlament</w:t>
      </w:r>
      <w:r w:rsidRPr="0006424F">
        <w:t xml:space="preserve"> fit-8 ta’ Settembru 2025,</w:t>
      </w:r>
    </w:p>
    <w:p w:rsidR="00A816C7" w:rsidRPr="0006424F" w:rsidP="00A816C7" w14:paraId="5992A225" w14:textId="77777777">
      <w:pPr>
        <w:pStyle w:val="NormalHanging12a"/>
        <w:widowControl/>
        <w:jc w:val="both"/>
      </w:pPr>
      <w:r w:rsidRPr="0006424F">
        <w:t>–</w:t>
      </w:r>
      <w:r w:rsidRPr="0006424F">
        <w:tab/>
        <w:t xml:space="preserve">wara li sema’ lil Daniel </w:t>
      </w:r>
      <w:r w:rsidRPr="0006424F">
        <w:t>Obajtek</w:t>
      </w:r>
      <w:r w:rsidRPr="0006424F">
        <w:t xml:space="preserve"> fit-12 ta’ Frar 2026, skont l-Artikolu 9(6) tar-Regoli ta’ Proċedura tiegħu,</w:t>
      </w:r>
    </w:p>
    <w:p w:rsidR="00A816C7" w:rsidRPr="0006424F" w:rsidP="00A816C7" w14:paraId="69635D53" w14:textId="77777777">
      <w:pPr>
        <w:pStyle w:val="NormalHanging12a"/>
        <w:widowControl/>
        <w:jc w:val="both"/>
      </w:pPr>
      <w:r w:rsidRPr="0006424F">
        <w:t>–</w:t>
      </w:r>
      <w:r w:rsidRPr="0006424F">
        <w:tab/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:rsidR="00A816C7" w:rsidRPr="0006424F" w:rsidP="00A816C7" w14:paraId="24002AF8" w14:textId="77777777">
      <w:pPr>
        <w:pStyle w:val="NormalHanging12a"/>
        <w:widowControl/>
        <w:jc w:val="both"/>
      </w:pPr>
      <w:r w:rsidRPr="0006424F">
        <w:t>–</w:t>
      </w:r>
      <w:r w:rsidRPr="0006424F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>
        <w:rPr>
          <w:rStyle w:val="FootnoteReference"/>
          <w:color w:val="000000"/>
        </w:rPr>
        <w:footnoteReference w:id="2"/>
      </w:r>
      <w:r w:rsidRPr="0006424F">
        <w:t>,</w:t>
      </w:r>
    </w:p>
    <w:p w:rsidR="00A816C7" w:rsidRPr="0006424F" w:rsidP="00A816C7" w14:paraId="357D4290" w14:textId="77777777">
      <w:pPr>
        <w:pStyle w:val="NormalHanging12a"/>
        <w:widowControl/>
      </w:pPr>
      <w:r w:rsidRPr="0006424F">
        <w:t>–</w:t>
      </w:r>
      <w:r w:rsidRPr="0006424F">
        <w:tab/>
        <w:t>wara li kkunsidra l-Artikolu 105(2) u (5) tal-Kostituzzjoni tar-Repubblika tal-Polonja,</w:t>
      </w:r>
    </w:p>
    <w:p w:rsidR="00A816C7" w:rsidRPr="0006424F" w:rsidP="00A816C7" w14:paraId="216F5951" w14:textId="77777777">
      <w:pPr>
        <w:pStyle w:val="NormalHanging12a"/>
        <w:widowControl/>
        <w:jc w:val="both"/>
      </w:pPr>
      <w:r w:rsidRPr="0006424F">
        <w:t>–</w:t>
      </w:r>
      <w:r w:rsidRPr="0006424F">
        <w:tab/>
        <w:t>wara li kkunsidra l-Artikolu 5(2), l-Artikolu 6(1) u l-Artikolu 9 tar-Regoli ta’ Proċedura tiegħu,</w:t>
      </w:r>
    </w:p>
    <w:p w:rsidR="00A816C7" w:rsidRPr="0006424F" w:rsidP="00A816C7" w14:paraId="47C24B72" w14:textId="77777777">
      <w:pPr>
        <w:pStyle w:val="NormalHanging12a"/>
        <w:widowControl/>
      </w:pPr>
      <w:r w:rsidRPr="0006424F">
        <w:t>–</w:t>
      </w:r>
      <w:r w:rsidRPr="0006424F">
        <w:tab/>
        <w:t>wara li kkunsidra r-rapport tal-Kumitat għall-Affarijiet Legali (A10-0115/2026),</w:t>
      </w:r>
    </w:p>
    <w:p w:rsidR="00A816C7" w:rsidRPr="0006424F" w:rsidP="00A816C7" w14:paraId="03D53826" w14:textId="3C27E615">
      <w:pPr>
        <w:pStyle w:val="NormalHanging12a"/>
        <w:widowControl/>
        <w:jc w:val="both"/>
      </w:pPr>
      <w:r w:rsidRPr="0006424F">
        <w:t>A.</w:t>
      </w:r>
      <w:r w:rsidRPr="0006424F">
        <w:tab/>
        <w:t xml:space="preserve">billi, permezz ta’ ittra tal-21 ta’ Lulju 2025, il-Prosekutur Ġenerali tar-Repubblika tal-Polonja bagħat talba </w:t>
      </w:r>
      <w:r w:rsidRPr="005E593D" w:rsidR="005E593D">
        <w:t xml:space="preserve">mill-Uffiċċju tal-Prosekutur Pubbliku Reġjonali ta' Varsavja </w:t>
      </w:r>
      <w:r w:rsidRPr="0006424F">
        <w:t xml:space="preserve">għat-tneħħija tal-immunità ta’ Daniel </w:t>
      </w:r>
      <w:r w:rsidRPr="0006424F">
        <w:t>Obajtek</w:t>
      </w:r>
      <w:r w:rsidRPr="0006424F">
        <w:t xml:space="preserve">, </w:t>
      </w:r>
      <w:r w:rsidRPr="005E593D" w:rsidR="005E593D">
        <w:t>Membru tal-Parlament Ewropew elett fil-Polonja</w:t>
      </w:r>
      <w:r w:rsidRPr="0006424F">
        <w:t>, fir-rigward tal-allegat reat skont l-Artikolu 233(1) tal-Kodiċi Kriminali Pollakk u l-Artikolu 49 flimkien mal-Artikolu 3(1) tal-Liġi dwar l-Istampa tas-26 ta’ Jannar 1984;</w:t>
      </w:r>
    </w:p>
    <w:p w:rsidR="00A816C7" w:rsidRPr="0006424F" w:rsidP="00A816C7" w14:paraId="25D7B437" w14:textId="77777777">
      <w:pPr>
        <w:pStyle w:val="NormalHanging12a"/>
        <w:widowControl/>
        <w:jc w:val="both"/>
      </w:pPr>
      <w:r w:rsidRPr="0006424F">
        <w:t>B.</w:t>
      </w:r>
      <w:r w:rsidRPr="0006424F">
        <w:tab/>
        <w:t xml:space="preserve">billi, skont it-talba għat-tneħħija tal-immunità, fil-15 ta’ Mejju 2024 l-Uffiċċju tal-Prosekutur Reġjonali ta’ Varsavja fetaħ investigazzjoni dwar allegata xhieda falza; billi, skont it-talba msemmija, l-allegata xhieda falza ġiet ippreżentata fil-11 ta’ Mejju 2023 minn żewġ persuni, inkluż Daniel </w:t>
      </w:r>
      <w:r w:rsidRPr="0006424F">
        <w:t>Obajtek</w:t>
      </w:r>
      <w:r w:rsidRPr="0006424F">
        <w:t xml:space="preserve"> fil-kapaċità tiegħu bħala xhud u wara li ġie infurmat dwar ir-responsabbiltà kriminali f’każ ta’ xhieda falza, fl-ambitu tal-proċedimenti quddiem il-Qorti Reġjonali ta’ Varsavja-</w:t>
      </w:r>
      <w:r w:rsidRPr="0006424F">
        <w:t>Śródmieście</w:t>
      </w:r>
      <w:r w:rsidRPr="0006424F">
        <w:t xml:space="preserve"> f’Varsavja fir-rigward tal-azzjoni ċivili mressqa mill-applikant kontra l-imputat għal reat imsemmi fl-Artikolu 212(2) tal-Kodiċi Kriminali Pollakk dwar il-malafama;</w:t>
      </w:r>
    </w:p>
    <w:p w:rsidR="00A816C7" w:rsidRPr="0006424F" w:rsidP="00A816C7" w14:paraId="5F29747A" w14:textId="26EFE8B0">
      <w:pPr>
        <w:pStyle w:val="NormalHanging12a"/>
        <w:widowControl/>
        <w:jc w:val="both"/>
      </w:pPr>
      <w:r w:rsidRPr="0006424F">
        <w:rPr>
          <w:color w:val="000000"/>
        </w:rPr>
        <w:t>C.</w:t>
      </w:r>
      <w:r w:rsidRPr="0006424F">
        <w:rPr>
          <w:color w:val="000000"/>
        </w:rPr>
        <w:tab/>
      </w:r>
      <w:r w:rsidRPr="0006424F">
        <w:t>billi</w:t>
      </w:r>
      <w:r w:rsidR="00452360">
        <w:t>, skont it-talba,</w:t>
      </w:r>
      <w:r w:rsidRPr="0006424F">
        <w:t xml:space="preserve"> </w:t>
      </w:r>
      <w:r w:rsidRPr="0006424F">
        <w:t>Polski</w:t>
      </w:r>
      <w:r w:rsidRPr="0006424F">
        <w:t xml:space="preserve"> </w:t>
      </w:r>
      <w:r w:rsidRPr="0006424F">
        <w:t>Koncern</w:t>
      </w:r>
      <w:r w:rsidRPr="0006424F">
        <w:t xml:space="preserve"> </w:t>
      </w:r>
      <w:r w:rsidRPr="0006424F">
        <w:t>Naftowy</w:t>
      </w:r>
      <w:r w:rsidRPr="0006424F">
        <w:t xml:space="preserve"> ORLEN </w:t>
      </w:r>
      <w:r w:rsidRPr="0006424F">
        <w:t>Spółka</w:t>
      </w:r>
      <w:r w:rsidRPr="0006424F">
        <w:t xml:space="preserve"> </w:t>
      </w:r>
      <w:r w:rsidRPr="0006424F">
        <w:t>Akcyjna</w:t>
      </w:r>
      <w:r w:rsidRPr="0006424F">
        <w:t xml:space="preserve"> kkonkludiet kuntratt għad-distribuzzjoni tar-rivista ta’ kull ġimgħa “NIE”, ippubblikata mill-kumpanija b’responsabbiltà limitata URMA fil-punti kollha tal-bejgħ tal-pompi tal-petrol ORLEN;</w:t>
      </w:r>
      <w:r w:rsidRPr="0006424F">
        <w:rPr>
          <w:color w:val="000000"/>
        </w:rPr>
        <w:t xml:space="preserve"> </w:t>
      </w:r>
      <w:r w:rsidRPr="0006424F">
        <w:t xml:space="preserve">billi fl-10 ta’ Marzu 2023 tqassmet il-ħarġa Nru 10 tar-rivista ta’ kull ġimgħa; billi fl-14 ta’ Marzu 2023, f’Varsavja, fil-kapaċità tiegħu bħala President tal-Bord tad-Diretturi ta’ </w:t>
      </w:r>
      <w:r w:rsidRPr="0006424F">
        <w:t>Polski</w:t>
      </w:r>
      <w:r w:rsidRPr="0006424F">
        <w:t xml:space="preserve"> </w:t>
      </w:r>
      <w:r w:rsidRPr="0006424F">
        <w:t>Koncern</w:t>
      </w:r>
      <w:r w:rsidRPr="0006424F">
        <w:t xml:space="preserve"> </w:t>
      </w:r>
      <w:r w:rsidRPr="0006424F">
        <w:t>Naftowy</w:t>
      </w:r>
      <w:r w:rsidRPr="0006424F">
        <w:t xml:space="preserve"> ORLEN </w:t>
      </w:r>
      <w:r w:rsidRPr="0006424F">
        <w:t>Spółka</w:t>
      </w:r>
      <w:r w:rsidRPr="0006424F">
        <w:t xml:space="preserve"> </w:t>
      </w:r>
      <w:r w:rsidRPr="0006424F">
        <w:t>Akcyjna</w:t>
      </w:r>
      <w:r w:rsidRPr="0006424F">
        <w:t xml:space="preserve">, Daniel </w:t>
      </w:r>
      <w:r w:rsidRPr="0006424F">
        <w:t>Obajtek</w:t>
      </w:r>
      <w:r w:rsidRPr="0006424F">
        <w:t xml:space="preserve"> allegatament talab – minħabba l-fatt li dik il-ħarġa tar-rivista ta’ kull ġimgħa kellha fuq il-qoxra ritratt tal-Papa Ġwanni Pawlu II qed iżomm kruċifiss b’pupa </w:t>
      </w:r>
      <w:r w:rsidRPr="0006424F">
        <w:t>għerja</w:t>
      </w:r>
      <w:r w:rsidRPr="0006424F">
        <w:t xml:space="preserve"> mdendla miegħu minflok Ġesù u minħabba l-kontenut tar-rivista li esprimiet opinjoni negattiva dwar il-miżuri li ħa l-Papa Ġwanni Pawlu II fir-rigward tal-kwistjoni tal-isfruttament sesswali ta’ minorenni minn membri tal-kleru – li l-ħarġa Nru 10/2023 tar-rivista ta’ kull ġimgħa “NIE” titneħħa b’urġenza mill-</w:t>
      </w:r>
      <w:r w:rsidRPr="0006424F">
        <w:t>ixkafef</w:t>
      </w:r>
      <w:r w:rsidRPr="0006424F">
        <w:t xml:space="preserve"> tal-ħwienet tal-bejgħ kollha li jappartjenu lil </w:t>
      </w:r>
      <w:r w:rsidRPr="0006424F">
        <w:t>Polski</w:t>
      </w:r>
      <w:r w:rsidRPr="0006424F">
        <w:t xml:space="preserve"> </w:t>
      </w:r>
      <w:r w:rsidRPr="0006424F">
        <w:t>Koncern</w:t>
      </w:r>
      <w:r w:rsidRPr="0006424F">
        <w:t xml:space="preserve"> </w:t>
      </w:r>
      <w:r w:rsidRPr="0006424F">
        <w:t>Naftowy</w:t>
      </w:r>
      <w:r w:rsidRPr="0006424F">
        <w:t xml:space="preserve"> ORLEN </w:t>
      </w:r>
      <w:r w:rsidRPr="0006424F">
        <w:t>Spółka</w:t>
      </w:r>
      <w:r w:rsidRPr="0006424F">
        <w:t xml:space="preserve"> </w:t>
      </w:r>
      <w:r w:rsidRPr="0006424F">
        <w:t>Akcyjna</w:t>
      </w:r>
      <w:r w:rsidRPr="0006424F">
        <w:t xml:space="preserve">, u li din ma tibqax </w:t>
      </w:r>
      <w:r w:rsidRPr="0006424F">
        <w:t>tinbigħ</w:t>
      </w:r>
      <w:r w:rsidRPr="0006424F">
        <w:t xml:space="preserve">, u b’hekk huwa illimita x-xiri tar-rivista li </w:t>
      </w:r>
      <w:r w:rsidRPr="0006424F">
        <w:t>Polski</w:t>
      </w:r>
      <w:r w:rsidRPr="0006424F">
        <w:t xml:space="preserve"> </w:t>
      </w:r>
      <w:r w:rsidRPr="0006424F">
        <w:t>Koncern</w:t>
      </w:r>
      <w:r w:rsidRPr="0006424F">
        <w:t xml:space="preserve"> </w:t>
      </w:r>
      <w:r w:rsidRPr="0006424F">
        <w:t>Naftowy</w:t>
      </w:r>
      <w:r w:rsidRPr="0006424F">
        <w:t xml:space="preserve"> ORLEN </w:t>
      </w:r>
      <w:r w:rsidRPr="0006424F">
        <w:t>Spółka</w:t>
      </w:r>
      <w:r w:rsidRPr="0006424F">
        <w:t xml:space="preserve"> </w:t>
      </w:r>
      <w:r w:rsidRPr="0006424F">
        <w:t>Akcyjna</w:t>
      </w:r>
      <w:r w:rsidRPr="0006424F">
        <w:t xml:space="preserve"> kienet intrabtet li </w:t>
      </w:r>
      <w:r w:rsidRPr="0006424F">
        <w:t>tiddistribwixxi</w:t>
      </w:r>
      <w:r w:rsidRPr="0006424F">
        <w:t xml:space="preserve">, li jikkostitwixxi ksur li </w:t>
      </w:r>
      <w:r w:rsidRPr="0006424F">
        <w:t>jaqa</w:t>
      </w:r>
      <w:r w:rsidRPr="0006424F">
        <w:t>’ fil-kamp ta’ applikazzjoni tal-Artikolu 49, flimkien mal-Artikolu 3 tal-Liġi dwar l-Istampa tas-26 ta’ Jannar 1984;</w:t>
      </w:r>
    </w:p>
    <w:p w:rsidR="00A816C7" w:rsidRPr="0006424F" w:rsidP="00A816C7" w14:paraId="546645A2" w14:textId="6D9891F7">
      <w:pPr>
        <w:pStyle w:val="NormalHanging12a"/>
        <w:widowControl/>
        <w:jc w:val="both"/>
        <w:rPr>
          <w:shd w:val="clear" w:color="auto" w:fill="FFFFFF"/>
        </w:rPr>
      </w:pPr>
      <w:r w:rsidRPr="0006424F">
        <w:rPr>
          <w:color w:val="000000"/>
        </w:rPr>
        <w:t>D.</w:t>
      </w:r>
      <w:r w:rsidRPr="0006424F">
        <w:rPr>
          <w:color w:val="000000"/>
        </w:rPr>
        <w:tab/>
      </w:r>
      <w:r w:rsidRPr="0006424F">
        <w:rPr>
          <w:shd w:val="clear" w:color="auto" w:fill="FFFFFF"/>
        </w:rPr>
        <w:t>billi</w:t>
      </w:r>
      <w:r w:rsidRPr="0006424F">
        <w:t xml:space="preserve"> Daniel </w:t>
      </w:r>
      <w:r w:rsidRPr="0006424F">
        <w:t>Obajtek</w:t>
      </w:r>
      <w:r w:rsidRPr="0006424F">
        <w:t xml:space="preserve"> </w:t>
      </w:r>
      <w:r w:rsidRPr="0006424F">
        <w:rPr>
          <w:shd w:val="clear" w:color="auto" w:fill="FFFFFF"/>
        </w:rPr>
        <w:t>ġie elett fil-Parlament Ewropew fl-elezzjonijiet Ewropej ta’ Ġunju 2024 u</w:t>
      </w:r>
      <w:r w:rsidR="00452360">
        <w:rPr>
          <w:shd w:val="clear" w:color="auto" w:fill="FFFFFF"/>
        </w:rPr>
        <w:t xml:space="preserve">, </w:t>
      </w:r>
      <w:r w:rsidRPr="0006424F">
        <w:t>għalhekk</w:t>
      </w:r>
      <w:r w:rsidR="00452360">
        <w:t>,</w:t>
      </w:r>
      <w:r w:rsidRPr="0006424F">
        <w:t xml:space="preserve"> </w:t>
      </w:r>
      <w:r w:rsidRPr="0006424F">
        <w:rPr>
          <w:shd w:val="clear" w:color="auto" w:fill="FFFFFF"/>
        </w:rPr>
        <w:t>ma kienx Membru tal-Parlament Ewropew fiż-żmien tal-allegati reati, u lanqas meta nfetħet l-investigazzjoni kriminali dwar l-allegati reati;</w:t>
      </w:r>
    </w:p>
    <w:p w:rsidR="00A816C7" w:rsidRPr="0006424F" w:rsidP="00A816C7" w14:paraId="728A4578" w14:textId="241FCB23">
      <w:pPr>
        <w:pStyle w:val="NormalHanging12a"/>
        <w:widowControl/>
        <w:jc w:val="both"/>
      </w:pPr>
      <w:r w:rsidRPr="0006424F">
        <w:t>E.</w:t>
      </w:r>
      <w:r w:rsidRPr="0006424F">
        <w:tab/>
        <w:t xml:space="preserve">billi l-allegati reati </w:t>
      </w:r>
      <w:r w:rsidRPr="00452360" w:rsidR="00452360">
        <w:t xml:space="preserve">ma </w:t>
      </w:r>
      <w:r w:rsidRPr="00452360" w:rsidR="00452360">
        <w:t>jikkostitwixxux</w:t>
      </w:r>
      <w:r w:rsidRPr="00452360" w:rsidR="00452360">
        <w:t xml:space="preserve">, </w:t>
      </w:r>
      <w:r w:rsidRPr="0006424F">
        <w:t xml:space="preserve">u t-talba sussegwenti għat-tneħħija tal-immunità </w:t>
      </w:r>
      <w:r w:rsidRPr="00452360" w:rsidR="00452360">
        <w:t xml:space="preserve">ta' Daniel </w:t>
      </w:r>
      <w:r w:rsidRPr="00452360" w:rsidR="00452360">
        <w:t>Obajtek</w:t>
      </w:r>
      <w:r w:rsidRPr="00452360" w:rsidR="00452360">
        <w:t xml:space="preserve"> mhijiex </w:t>
      </w:r>
      <w:r w:rsidRPr="0006424F">
        <w:t>relatat</w:t>
      </w:r>
      <w:r w:rsidR="00AB4F63">
        <w:t>a</w:t>
      </w:r>
      <w:r w:rsidRPr="0006424F">
        <w:t xml:space="preserve"> ma’</w:t>
      </w:r>
      <w:r w:rsidR="00452360">
        <w:t>,</w:t>
      </w:r>
      <w:r w:rsidRPr="0006424F">
        <w:t xml:space="preserve"> opinjoni</w:t>
      </w:r>
      <w:r w:rsidR="00452360">
        <w:t xml:space="preserve"> espressa</w:t>
      </w:r>
      <w:r w:rsidRPr="0006424F">
        <w:t xml:space="preserve"> jew vot mitfugħ minn</w:t>
      </w:r>
      <w:r w:rsidR="00452360">
        <w:t>u</w:t>
      </w:r>
      <w:r w:rsidRPr="0006424F">
        <w:t xml:space="preserve"> fil-qadi ta’ dmirijietu skont it-tifsira tal-Artikolu 8 tal-Protokoll Nru 7 dwar il-Privileġġi u l-Immunitajiet tal-Unjoni Ewropea;</w:t>
      </w:r>
    </w:p>
    <w:p w:rsidR="00A816C7" w:rsidRPr="0006424F" w:rsidP="00A816C7" w14:paraId="3D9802D5" w14:textId="5E4BACD2">
      <w:pPr>
        <w:pStyle w:val="NormalHanging12a"/>
        <w:widowControl/>
        <w:jc w:val="both"/>
      </w:pPr>
      <w:r w:rsidRPr="0006424F">
        <w:t>F.</w:t>
      </w:r>
      <w:r w:rsidRPr="0006424F">
        <w:tab/>
        <w:t>billi l-Artikolu 9, l-ewwel paragrafu, il-punt (a)</w:t>
      </w:r>
      <w:r w:rsidR="00164D1E">
        <w:t>,</w:t>
      </w:r>
      <w:r w:rsidRPr="0006424F">
        <w:t xml:space="preserve"> tal-Protokoll Nru 7 dwar il-Privileġġi u l-Immunitajiet tal-Unjoni Ewropea jipprevedi li</w:t>
      </w:r>
      <w:r w:rsidR="001758A0">
        <w:t>,</w:t>
      </w:r>
      <w:r w:rsidRPr="0006424F">
        <w:t xml:space="preserve"> </w:t>
      </w:r>
      <w:r w:rsidRPr="00164D1E" w:rsidR="00164D1E">
        <w:t>matul is-sessjonijiet</w:t>
      </w:r>
      <w:r w:rsidR="001758A0">
        <w:t xml:space="preserve"> tal-Parlament Ewropew</w:t>
      </w:r>
      <w:r w:rsidR="00164D1E">
        <w:t>, i</w:t>
      </w:r>
      <w:r w:rsidRPr="0006424F">
        <w:t>l-Membri t</w:t>
      </w:r>
      <w:r w:rsidR="001758A0">
        <w:t>iegħu</w:t>
      </w:r>
      <w:r w:rsidRPr="0006424F">
        <w:t xml:space="preserve"> </w:t>
      </w:r>
      <w:r w:rsidRPr="00164D1E" w:rsidR="00164D1E">
        <w:t xml:space="preserve">għandhom </w:t>
      </w:r>
      <w:r w:rsidRPr="0006424F">
        <w:t xml:space="preserve">igawdu, fit-territorju tal-Istat </w:t>
      </w:r>
      <w:r w:rsidR="00164D1E">
        <w:t xml:space="preserve">Membru </w:t>
      </w:r>
      <w:r w:rsidRPr="0006424F">
        <w:t>tagħhom stess, l-</w:t>
      </w:r>
      <w:r w:rsidRPr="0006424F">
        <w:t>immunitajiet</w:t>
      </w:r>
      <w:r w:rsidRPr="0006424F">
        <w:t xml:space="preserve"> mogħtija lill-</w:t>
      </w:r>
      <w:r w:rsidR="00164D1E">
        <w:t>m</w:t>
      </w:r>
      <w:r w:rsidRPr="0006424F">
        <w:t>embri tal-</w:t>
      </w:r>
      <w:r w:rsidR="00164D1E">
        <w:t>p</w:t>
      </w:r>
      <w:r w:rsidRPr="0006424F">
        <w:t xml:space="preserve">arlament </w:t>
      </w:r>
      <w:r w:rsidRPr="00164D1E" w:rsidR="00164D1E">
        <w:t>tal-Istat Membru tagħhom</w:t>
      </w:r>
      <w:r w:rsidR="00164D1E">
        <w:t>;</w:t>
      </w:r>
      <w:r w:rsidRPr="0006424F">
        <w:t xml:space="preserve"> </w:t>
      </w:r>
    </w:p>
    <w:p w:rsidR="00A816C7" w:rsidRPr="0006424F" w:rsidP="00A816C7" w14:paraId="0BB17123" w14:textId="77777777">
      <w:pPr>
        <w:pStyle w:val="NormalHanging12a"/>
        <w:widowControl/>
        <w:jc w:val="both"/>
      </w:pPr>
      <w:r w:rsidRPr="0006424F">
        <w:t>G.</w:t>
      </w:r>
      <w:r w:rsidRPr="0006424F">
        <w:tab/>
        <w:t>billi, skont l-Artikolu 105(2) u (5) tal-Kostituzzjoni tar-Repubblika tal-Polonja, mill-jum li fih jitħabbru r-riżultati tal-elezzjonijiet sal-jum tal-iskadenza tal-mandat tiegħu, deputat ma jistax ikun soġġett għal responsabbiltà kriminali mingħajr l-approvazzjoni tas-</w:t>
      </w:r>
      <w:r w:rsidRPr="0006424F">
        <w:t>Sejm</w:t>
      </w:r>
      <w:r w:rsidRPr="0006424F">
        <w:t>, u la jista’ jiġi detenut u lanqas arrestat mingħajr l-approvazzjoni tas-</w:t>
      </w:r>
      <w:r w:rsidRPr="0006424F">
        <w:t>Sejm</w:t>
      </w:r>
      <w:r w:rsidRPr="0006424F">
        <w:t>, għajr f’każijiet meta jkun inqabad iwettaq reat jew meta d-detenzjoni tiegħu tkun meħtieġa biex jiġi żgurat l-andament xieraq tal-proċedimenti;</w:t>
      </w:r>
    </w:p>
    <w:p w:rsidR="00A816C7" w:rsidRPr="0006424F" w:rsidP="00A816C7" w14:paraId="314DF154" w14:textId="77777777">
      <w:pPr>
        <w:pStyle w:val="NormalHanging12a"/>
        <w:widowControl/>
        <w:jc w:val="both"/>
      </w:pPr>
      <w:r w:rsidRPr="0006424F">
        <w:t>H.</w:t>
      </w:r>
      <w:r w:rsidRPr="0006424F"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:rsidR="00A816C7" w:rsidRPr="0006424F" w:rsidP="00A816C7" w14:paraId="16300467" w14:textId="77777777">
      <w:pPr>
        <w:pStyle w:val="NormalHanging12a"/>
        <w:widowControl/>
        <w:jc w:val="both"/>
      </w:pPr>
      <w:r w:rsidRPr="0006424F">
        <w:t>I.</w:t>
      </w:r>
      <w:r w:rsidRPr="0006424F">
        <w:tab/>
        <w:t xml:space="preserve">billi l-għan tal-immunità prevista fil-Protokoll Nru 7 dwar il-Privileġġi u l-Immunitajiet tal-Unjoni Ewropea huwa li tipproteġi lill-Parlament u lill-Membri tiegħu minn proċedimenti ġudizzjarji relatati ma’ attivitajiet imwettqa fil-qadi tad-dmirijiet parlamentari u li huma </w:t>
      </w:r>
      <w:r w:rsidRPr="0006424F">
        <w:t>inseparabbli</w:t>
      </w:r>
      <w:r w:rsidRPr="0006424F">
        <w:t xml:space="preserve"> minn dawk id-dmirijiet;</w:t>
      </w:r>
    </w:p>
    <w:p w:rsidR="00A816C7" w:rsidRPr="0006424F" w:rsidP="00A816C7" w14:paraId="4B259193" w14:textId="03C9DB62">
      <w:pPr>
        <w:pStyle w:val="NormalHanging12a"/>
        <w:widowControl/>
        <w:jc w:val="both"/>
      </w:pPr>
      <w:r w:rsidRPr="0006424F">
        <w:t>J.</w:t>
      </w:r>
      <w:r w:rsidRPr="0006424F">
        <w:tab/>
        <w:t xml:space="preserve">billi, f’dan il-każ, il-Parlament ma sab l-ebda evidenza ta’ </w:t>
      </w:r>
      <w:r w:rsidRPr="0006424F">
        <w:rPr>
          <w:i/>
          <w:iCs/>
        </w:rPr>
        <w:t>fumus</w:t>
      </w:r>
      <w:r w:rsidRPr="0006424F">
        <w:rPr>
          <w:i/>
          <w:iCs/>
        </w:rPr>
        <w:t xml:space="preserve"> </w:t>
      </w:r>
      <w:r w:rsidRPr="0006424F">
        <w:rPr>
          <w:i/>
          <w:iCs/>
        </w:rPr>
        <w:t>persecutionis</w:t>
      </w:r>
      <w:r w:rsidRPr="0006424F">
        <w:t xml:space="preserve">, jiġifieri </w:t>
      </w:r>
      <w:r w:rsidRPr="00AB4F63" w:rsidR="00AB4F63">
        <w:t xml:space="preserve">ma jidhirx li l-intenzjoni </w:t>
      </w:r>
      <w:r w:rsidR="00AB4F63">
        <w:t>li jimminaw</w:t>
      </w:r>
      <w:r w:rsidRPr="00AB4F63" w:rsidR="00AB4F63">
        <w:t xml:space="preserve"> l-proċedimenti legali inkwistjoni hija li ssir ħsara lill-attività politika ta' Daniel </w:t>
      </w:r>
      <w:r w:rsidRPr="00AB4F63" w:rsidR="00AB4F63">
        <w:t>Obajtek</w:t>
      </w:r>
      <w:r w:rsidRPr="00AB4F63" w:rsidR="00AB4F63">
        <w:t xml:space="preserve"> bħala Membru tal-Parlament Ewropew u b'hekk lill-indipendenza tal-Parlament</w:t>
      </w:r>
      <w:r w:rsidR="00AB4F63">
        <w:t>;</w:t>
      </w:r>
    </w:p>
    <w:p w:rsidR="00A816C7" w:rsidRPr="0006424F" w:rsidP="00A816C7" w14:paraId="7B4E8A0B" w14:textId="6FC18B4F">
      <w:pPr>
        <w:pStyle w:val="NormalHanging12a"/>
        <w:widowControl/>
        <w:jc w:val="both"/>
      </w:pPr>
      <w:r w:rsidRPr="0006424F">
        <w:t>K.</w:t>
      </w:r>
      <w:r w:rsidRPr="0006424F">
        <w:tab/>
        <w:t>billi</w:t>
      </w:r>
      <w:r w:rsidR="00AB4F63">
        <w:t xml:space="preserve"> </w:t>
      </w:r>
      <w:r w:rsidRPr="0006424F">
        <w:t xml:space="preserve">il-Parlament ma jistax jitqies bħala qorti u, </w:t>
      </w:r>
      <w:r w:rsidRPr="0006424F" w:rsidR="00AB4F63">
        <w:t xml:space="preserve">fil-kuntest ta’ proċedura għat-tneħħija tal-immunità, </w:t>
      </w:r>
      <w:r w:rsidRPr="0006424F">
        <w:t>Membru ma jistax jitqies bħala “akkużat”</w:t>
      </w:r>
      <w:r>
        <w:rPr>
          <w:rStyle w:val="FootnoteReference"/>
        </w:rPr>
        <w:footnoteReference w:id="3"/>
      </w:r>
      <w:r w:rsidRPr="0006424F">
        <w:t>;</w:t>
      </w:r>
    </w:p>
    <w:p w:rsidR="00A816C7" w:rsidRPr="0006424F" w:rsidP="00A816C7" w14:paraId="0F12B971" w14:textId="77777777">
      <w:pPr>
        <w:pStyle w:val="NormalHanging12a"/>
        <w:widowControl/>
      </w:pPr>
      <w:r w:rsidRPr="0006424F">
        <w:t>1.</w:t>
      </w:r>
      <w:r w:rsidRPr="0006424F">
        <w:tab/>
        <w:t xml:space="preserve">Jiddeċiedi li jneħħi l-immunità ta’ Daniel </w:t>
      </w:r>
      <w:r w:rsidRPr="0006424F">
        <w:t>Obajtek</w:t>
      </w:r>
      <w:r w:rsidRPr="0006424F">
        <w:t>;</w:t>
      </w:r>
    </w:p>
    <w:p w:rsidR="00E365E1" w:rsidRPr="0006424F" w:rsidP="00C07B15" w14:paraId="2F35A935" w14:textId="7F119F78">
      <w:pPr>
        <w:ind w:left="567" w:hanging="567"/>
      </w:pPr>
      <w:r w:rsidRPr="0006424F">
        <w:t xml:space="preserve">2. </w:t>
      </w:r>
      <w:r w:rsidRPr="0006424F">
        <w:tab/>
        <w:t xml:space="preserve">Jagħti istruzzjonijiet lill-President tiegħu biex tgħaddi minnufih din id-deċiżjoni u r-rapport tal-kumitat responsabbli tiegħu lill-awtorità kompetenti tar-Repubblika tal-Polonja u lil Daniel </w:t>
      </w:r>
      <w:r w:rsidRPr="0006424F">
        <w:t>Obajtek</w:t>
      </w:r>
      <w:r w:rsidRPr="0006424F">
        <w:t xml:space="preserve">. </w:t>
      </w:r>
    </w:p>
    <w:sectPr w:rsidSect="000642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6424F" w14:paraId="36B0A07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6424F" w14:paraId="6088DB3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6424F" w14:paraId="6E2AFA6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D109A" w:rsidRPr="0006424F" w14:paraId="5D8DB3E9" w14:textId="77777777">
      <w:r w:rsidRPr="0006424F">
        <w:separator/>
      </w:r>
    </w:p>
  </w:footnote>
  <w:footnote w:type="continuationSeparator" w:id="1">
    <w:p w:rsidR="001D109A" w:rsidRPr="0006424F" w14:paraId="34A8FB4D" w14:textId="77777777">
      <w:r w:rsidRPr="0006424F">
        <w:continuationSeparator/>
      </w:r>
    </w:p>
  </w:footnote>
  <w:footnote w:id="2">
    <w:p w:rsidR="00A816C7" w:rsidRPr="0006424F" w:rsidP="0006424F" w14:paraId="0A44A733" w14:textId="41CD2976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06424F">
        <w:rPr>
          <w:rStyle w:val="FootnoteReference"/>
          <w:sz w:val="24"/>
          <w:lang w:val="mt-MT"/>
        </w:rPr>
        <w:footnoteRef/>
      </w:r>
      <w:r w:rsidRPr="0006424F" w:rsidR="0006424F">
        <w:rPr>
          <w:sz w:val="24"/>
          <w:lang w:val="mt-MT"/>
        </w:rPr>
        <w:t xml:space="preserve"> </w:t>
      </w:r>
      <w:r w:rsidRPr="0006424F" w:rsidR="0006424F">
        <w:rPr>
          <w:sz w:val="24"/>
          <w:lang w:val="mt-MT"/>
        </w:rPr>
        <w:tab/>
      </w:r>
      <w:r w:rsidRPr="0006424F">
        <w:rPr>
          <w:sz w:val="24"/>
          <w:lang w:val="mt-MT"/>
        </w:rPr>
        <w:t xml:space="preserve">Is-sentenza tal-Qorti tal-Ġustizzja tal-21 ta’ Ottubru 2008, </w:t>
      </w:r>
      <w:r w:rsidRPr="0006424F">
        <w:rPr>
          <w:sz w:val="24"/>
          <w:lang w:val="mt-MT"/>
        </w:rPr>
        <w:t>Marra</w:t>
      </w:r>
      <w:r w:rsidRPr="0006424F">
        <w:rPr>
          <w:sz w:val="24"/>
          <w:lang w:val="mt-MT"/>
        </w:rPr>
        <w:t xml:space="preserve"> </w:t>
      </w:r>
      <w:r w:rsidRPr="0006424F">
        <w:rPr>
          <w:sz w:val="24"/>
          <w:lang w:val="mt-MT"/>
        </w:rPr>
        <w:t>vs</w:t>
      </w:r>
      <w:r w:rsidRPr="0006424F">
        <w:rPr>
          <w:sz w:val="24"/>
          <w:lang w:val="mt-MT"/>
        </w:rPr>
        <w:t xml:space="preserve"> De </w:t>
      </w:r>
      <w:r w:rsidRPr="0006424F">
        <w:rPr>
          <w:sz w:val="24"/>
          <w:lang w:val="mt-MT"/>
        </w:rPr>
        <w:t>Gregorio</w:t>
      </w:r>
      <w:r w:rsidRPr="0006424F">
        <w:rPr>
          <w:sz w:val="24"/>
          <w:lang w:val="mt-MT"/>
        </w:rPr>
        <w:t xml:space="preserve"> u </w:t>
      </w:r>
      <w:r w:rsidRPr="0006424F">
        <w:rPr>
          <w:sz w:val="24"/>
          <w:lang w:val="mt-MT"/>
        </w:rPr>
        <w:t>Clemente</w:t>
      </w:r>
      <w:r w:rsidRPr="0006424F">
        <w:rPr>
          <w:sz w:val="24"/>
          <w:lang w:val="mt-MT"/>
        </w:rPr>
        <w:t xml:space="preserve">, C-200/07 u C-201/07, ECLI:EU:C:2008:579; is-sentenza tal-Qorti Ġenerali tad-19 ta’ Marzu 2010, </w:t>
      </w:r>
      <w:r w:rsidRPr="0006424F">
        <w:rPr>
          <w:sz w:val="24"/>
          <w:lang w:val="mt-MT"/>
        </w:rPr>
        <w:t>Gollnisch</w:t>
      </w:r>
      <w:r w:rsidRPr="0006424F">
        <w:rPr>
          <w:sz w:val="24"/>
          <w:lang w:val="mt-MT"/>
        </w:rPr>
        <w:t xml:space="preserve"> </w:t>
      </w:r>
      <w:r w:rsidRPr="0006424F">
        <w:rPr>
          <w:sz w:val="24"/>
          <w:lang w:val="mt-MT"/>
        </w:rPr>
        <w:t>vs</w:t>
      </w:r>
      <w:r w:rsidRPr="0006424F">
        <w:rPr>
          <w:sz w:val="24"/>
          <w:lang w:val="mt-MT"/>
        </w:rPr>
        <w:t xml:space="preserve"> Il-Parlament, T-42/06, ECLI:EU:T:2010:102; is-sentenza tal-Qorti tal-Ġustizzja tas-6 ta’ Settembru 2011, </w:t>
      </w:r>
      <w:r w:rsidRPr="0006424F">
        <w:rPr>
          <w:sz w:val="24"/>
          <w:lang w:val="mt-MT"/>
        </w:rPr>
        <w:t>Patriciello</w:t>
      </w:r>
      <w:r w:rsidRPr="0006424F">
        <w:rPr>
          <w:sz w:val="24"/>
          <w:lang w:val="mt-MT"/>
        </w:rPr>
        <w:t xml:space="preserve">, C-163/10, ECLI: EU:C:2011:543; is-sentenza tal-Qorti Ġenerali tas-17 ta’ Jannar 2013, </w:t>
      </w:r>
      <w:r w:rsidRPr="0006424F">
        <w:rPr>
          <w:sz w:val="24"/>
          <w:lang w:val="mt-MT"/>
        </w:rPr>
        <w:t>Gollnisch</w:t>
      </w:r>
      <w:r w:rsidRPr="0006424F">
        <w:rPr>
          <w:sz w:val="24"/>
          <w:lang w:val="mt-MT"/>
        </w:rPr>
        <w:t xml:space="preserve"> </w:t>
      </w:r>
      <w:r w:rsidRPr="0006424F">
        <w:rPr>
          <w:sz w:val="24"/>
          <w:lang w:val="mt-MT"/>
        </w:rPr>
        <w:t>vs</w:t>
      </w:r>
      <w:r w:rsidRPr="0006424F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r w:rsidRPr="0006424F">
        <w:rPr>
          <w:sz w:val="24"/>
          <w:lang w:val="mt-MT"/>
        </w:rPr>
        <w:t>Junqueras</w:t>
      </w:r>
      <w:r w:rsidRPr="0006424F">
        <w:rPr>
          <w:sz w:val="24"/>
          <w:lang w:val="mt-MT"/>
        </w:rPr>
        <w:t xml:space="preserve"> </w:t>
      </w:r>
      <w:r w:rsidRPr="0006424F">
        <w:rPr>
          <w:sz w:val="24"/>
          <w:lang w:val="mt-MT"/>
        </w:rPr>
        <w:t>Vies</w:t>
      </w:r>
      <w:r w:rsidRPr="0006424F">
        <w:rPr>
          <w:sz w:val="24"/>
          <w:lang w:val="mt-MT"/>
        </w:rPr>
        <w:t>, C-502/19, ECLI:EU:C:2019:1115.</w:t>
      </w:r>
    </w:p>
    <w:p w:rsidR="00A816C7" w:rsidRPr="0006424F" w:rsidP="0006424F" w14:paraId="06CF1870" w14:textId="6F0A4F01">
      <w:pPr>
        <w:pStyle w:val="FootnoteText"/>
        <w:ind w:left="567" w:hanging="567"/>
        <w:rPr>
          <w:sz w:val="24"/>
          <w:lang w:val="mt-MT"/>
        </w:rPr>
      </w:pPr>
    </w:p>
  </w:footnote>
  <w:footnote w:id="3">
    <w:p w:rsidR="00A816C7" w:rsidRPr="0006424F" w:rsidP="0006424F" w14:paraId="51E92A0C" w14:textId="3CE50EB5">
      <w:pPr>
        <w:pStyle w:val="FootnoteText"/>
        <w:ind w:left="567" w:hanging="567"/>
        <w:rPr>
          <w:sz w:val="24"/>
          <w:lang w:val="mt-MT"/>
        </w:rPr>
      </w:pPr>
      <w:r w:rsidRPr="0006424F">
        <w:rPr>
          <w:rStyle w:val="FootnoteReference"/>
          <w:sz w:val="24"/>
          <w:lang w:val="mt-MT"/>
        </w:rPr>
        <w:footnoteRef/>
      </w:r>
      <w:r w:rsidRPr="0006424F" w:rsidR="0006424F">
        <w:rPr>
          <w:sz w:val="24"/>
          <w:lang w:val="mt-MT"/>
        </w:rPr>
        <w:t xml:space="preserve"> </w:t>
      </w:r>
      <w:r w:rsidRPr="0006424F" w:rsidR="0006424F">
        <w:rPr>
          <w:sz w:val="24"/>
          <w:lang w:val="mt-MT"/>
        </w:rPr>
        <w:tab/>
      </w:r>
      <w:r w:rsidRPr="0006424F">
        <w:rPr>
          <w:sz w:val="24"/>
          <w:lang w:val="mt-MT"/>
        </w:rPr>
        <w:t xml:space="preserve">Is-sentenza tal-Qorti Ġenerali tat-30 ta’ April 2019, </w:t>
      </w:r>
      <w:r w:rsidRPr="0006424F">
        <w:rPr>
          <w:sz w:val="24"/>
          <w:lang w:val="mt-MT"/>
        </w:rPr>
        <w:t>Briois</w:t>
      </w:r>
      <w:r w:rsidRPr="0006424F">
        <w:rPr>
          <w:sz w:val="24"/>
          <w:lang w:val="mt-MT"/>
        </w:rPr>
        <w:t xml:space="preserve"> </w:t>
      </w:r>
      <w:r w:rsidRPr="0006424F">
        <w:rPr>
          <w:sz w:val="24"/>
          <w:lang w:val="mt-MT"/>
        </w:rPr>
        <w:t>vs</w:t>
      </w:r>
      <w:r w:rsidRPr="0006424F">
        <w:rPr>
          <w:sz w:val="24"/>
          <w:lang w:val="mt-MT"/>
        </w:rPr>
        <w:t xml:space="preserve">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6424F" w14:paraId="26FF1B4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6424F" w14:paraId="5BB5238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6424F" w14:paraId="6B54DF0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0232717">
    <w:abstractNumId w:val="9"/>
  </w:num>
  <w:num w:numId="2" w16cid:durableId="1183126898">
    <w:abstractNumId w:val="9"/>
  </w:num>
  <w:num w:numId="3" w16cid:durableId="1075084967">
    <w:abstractNumId w:val="7"/>
  </w:num>
  <w:num w:numId="4" w16cid:durableId="1115561668">
    <w:abstractNumId w:val="7"/>
  </w:num>
  <w:num w:numId="5" w16cid:durableId="181404274">
    <w:abstractNumId w:val="6"/>
  </w:num>
  <w:num w:numId="6" w16cid:durableId="1979066841">
    <w:abstractNumId w:val="6"/>
  </w:num>
  <w:num w:numId="7" w16cid:durableId="1329863193">
    <w:abstractNumId w:val="5"/>
  </w:num>
  <w:num w:numId="8" w16cid:durableId="734280033">
    <w:abstractNumId w:val="5"/>
  </w:num>
  <w:num w:numId="9" w16cid:durableId="876311872">
    <w:abstractNumId w:val="4"/>
  </w:num>
  <w:num w:numId="10" w16cid:durableId="1525554680">
    <w:abstractNumId w:val="4"/>
  </w:num>
  <w:num w:numId="11" w16cid:durableId="1518621501">
    <w:abstractNumId w:val="8"/>
  </w:num>
  <w:num w:numId="12" w16cid:durableId="489520651">
    <w:abstractNumId w:val="8"/>
  </w:num>
  <w:num w:numId="13" w16cid:durableId="581911460">
    <w:abstractNumId w:val="3"/>
  </w:num>
  <w:num w:numId="14" w16cid:durableId="1963538645">
    <w:abstractNumId w:val="3"/>
  </w:num>
  <w:num w:numId="15" w16cid:durableId="441994400">
    <w:abstractNumId w:val="2"/>
  </w:num>
  <w:num w:numId="16" w16cid:durableId="392192763">
    <w:abstractNumId w:val="2"/>
  </w:num>
  <w:num w:numId="17" w16cid:durableId="1358655371">
    <w:abstractNumId w:val="1"/>
  </w:num>
  <w:num w:numId="18" w16cid:durableId="1638028402">
    <w:abstractNumId w:val="1"/>
  </w:num>
  <w:num w:numId="19" w16cid:durableId="1349790524">
    <w:abstractNumId w:val="0"/>
  </w:num>
  <w:num w:numId="20" w16cid:durableId="1336954534">
    <w:abstractNumId w:val="0"/>
  </w:num>
  <w:num w:numId="21" w16cid:durableId="2034064278">
    <w:abstractNumId w:val="9"/>
  </w:num>
  <w:num w:numId="22" w16cid:durableId="1883440126">
    <w:abstractNumId w:val="7"/>
  </w:num>
  <w:num w:numId="23" w16cid:durableId="1028333304">
    <w:abstractNumId w:val="6"/>
  </w:num>
  <w:num w:numId="24" w16cid:durableId="642078237">
    <w:abstractNumId w:val="5"/>
  </w:num>
  <w:num w:numId="25" w16cid:durableId="666714097">
    <w:abstractNumId w:val="4"/>
  </w:num>
  <w:num w:numId="26" w16cid:durableId="1580360825">
    <w:abstractNumId w:val="8"/>
  </w:num>
  <w:num w:numId="27" w16cid:durableId="388043071">
    <w:abstractNumId w:val="3"/>
  </w:num>
  <w:num w:numId="28" w16cid:durableId="433282253">
    <w:abstractNumId w:val="2"/>
  </w:num>
  <w:num w:numId="29" w16cid:durableId="219101308">
    <w:abstractNumId w:val="1"/>
  </w:num>
  <w:num w:numId="30" w16cid:durableId="1122386255">
    <w:abstractNumId w:val="0"/>
  </w:num>
  <w:num w:numId="31" w16cid:durableId="952437204">
    <w:abstractNumId w:val="9"/>
  </w:num>
  <w:num w:numId="32" w16cid:durableId="1035618352">
    <w:abstractNumId w:val="7"/>
  </w:num>
  <w:num w:numId="33" w16cid:durableId="645549705">
    <w:abstractNumId w:val="6"/>
  </w:num>
  <w:num w:numId="34" w16cid:durableId="1579948319">
    <w:abstractNumId w:val="5"/>
  </w:num>
  <w:num w:numId="35" w16cid:durableId="484322468">
    <w:abstractNumId w:val="4"/>
  </w:num>
  <w:num w:numId="36" w16cid:durableId="1048797360">
    <w:abstractNumId w:val="8"/>
  </w:num>
  <w:num w:numId="37" w16cid:durableId="379090528">
    <w:abstractNumId w:val="3"/>
  </w:num>
  <w:num w:numId="38" w16cid:durableId="581722666">
    <w:abstractNumId w:val="2"/>
  </w:num>
  <w:num w:numId="39" w16cid:durableId="1904950975">
    <w:abstractNumId w:val="1"/>
  </w:num>
  <w:num w:numId="40" w16cid:durableId="1770348272">
    <w:abstractNumId w:val="0"/>
  </w:num>
  <w:num w:numId="41" w16cid:durableId="52583579">
    <w:abstractNumId w:val="10"/>
  </w:num>
  <w:num w:numId="42" w16cid:durableId="1480607231">
    <w:abstractNumId w:val="10"/>
  </w:num>
  <w:num w:numId="43" w16cid:durableId="675772712">
    <w:abstractNumId w:val="10"/>
  </w:num>
  <w:num w:numId="44" w16cid:durableId="20778984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9A"/>
    <w:rsid w:val="00002272"/>
    <w:rsid w:val="00064002"/>
    <w:rsid w:val="0006424F"/>
    <w:rsid w:val="000677B9"/>
    <w:rsid w:val="000831BA"/>
    <w:rsid w:val="000A42CC"/>
    <w:rsid w:val="000E7DD9"/>
    <w:rsid w:val="0010095E"/>
    <w:rsid w:val="00105BBE"/>
    <w:rsid w:val="00125B37"/>
    <w:rsid w:val="00164D1E"/>
    <w:rsid w:val="001758A0"/>
    <w:rsid w:val="00187494"/>
    <w:rsid w:val="001D109A"/>
    <w:rsid w:val="001F32AE"/>
    <w:rsid w:val="002767FF"/>
    <w:rsid w:val="002B18FE"/>
    <w:rsid w:val="002B5493"/>
    <w:rsid w:val="00343214"/>
    <w:rsid w:val="003518C2"/>
    <w:rsid w:val="00361C00"/>
    <w:rsid w:val="00395FA1"/>
    <w:rsid w:val="003E15D4"/>
    <w:rsid w:val="00411CCE"/>
    <w:rsid w:val="0041666E"/>
    <w:rsid w:val="00421060"/>
    <w:rsid w:val="00452360"/>
    <w:rsid w:val="00471C19"/>
    <w:rsid w:val="004844B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93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7B7"/>
    <w:rsid w:val="00930C23"/>
    <w:rsid w:val="0093193B"/>
    <w:rsid w:val="009509D8"/>
    <w:rsid w:val="00950B64"/>
    <w:rsid w:val="00974B20"/>
    <w:rsid w:val="00981893"/>
    <w:rsid w:val="00A1687D"/>
    <w:rsid w:val="00A43E52"/>
    <w:rsid w:val="00A4678D"/>
    <w:rsid w:val="00A778C7"/>
    <w:rsid w:val="00A816C7"/>
    <w:rsid w:val="00AB441E"/>
    <w:rsid w:val="00AB4F63"/>
    <w:rsid w:val="00AB6293"/>
    <w:rsid w:val="00AE0928"/>
    <w:rsid w:val="00AF3B82"/>
    <w:rsid w:val="00B12E95"/>
    <w:rsid w:val="00B22876"/>
    <w:rsid w:val="00B558F0"/>
    <w:rsid w:val="00B9537B"/>
    <w:rsid w:val="00BD48FE"/>
    <w:rsid w:val="00BD7BD8"/>
    <w:rsid w:val="00BE6ADC"/>
    <w:rsid w:val="00C05BFE"/>
    <w:rsid w:val="00C07B15"/>
    <w:rsid w:val="00C23CD4"/>
    <w:rsid w:val="00C61C0C"/>
    <w:rsid w:val="00C941CB"/>
    <w:rsid w:val="00CC2357"/>
    <w:rsid w:val="00CF071A"/>
    <w:rsid w:val="00D058B8"/>
    <w:rsid w:val="00D56C11"/>
    <w:rsid w:val="00D573A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5/2026"/>
    <w:docVar w:name="dvlangue" w:val="MT"/>
    <w:docVar w:name="dvnumam" w:val="0"/>
    <w:docVar w:name="dvpe" w:val="786.910"/>
    <w:docVar w:name="dvrapporteur" w:val="Rapporteur: "/>
    <w:docVar w:name="dvtitre" w:val="Riżoluzzjoni tal-Parlament Ewropew xx xx xxxx 2026 dwar it-talba għat-tneħħija tal-immunità ta’ Daniel Obajtek(2025/217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D0004B1"/>
  <w15:chartTrackingRefBased/>
  <w15:docId w15:val="{C3C8108D-C1B2-4E09-8502-F63AEE5B0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816C7"/>
    <w:pPr>
      <w:spacing w:after="240"/>
      <w:ind w:left="567" w:hanging="567"/>
    </w:pPr>
  </w:style>
  <w:style w:type="paragraph" w:customStyle="1" w:styleId="EPComma">
    <w:name w:val="EPComma"/>
    <w:basedOn w:val="Normal"/>
    <w:rsid w:val="00A816C7"/>
    <w:pPr>
      <w:spacing w:before="480" w:after="240"/>
    </w:pPr>
  </w:style>
  <w:style w:type="paragraph" w:styleId="Revision">
    <w:name w:val="Revision"/>
    <w:hidden/>
    <w:uiPriority w:val="99"/>
    <w:semiHidden/>
    <w:rsid w:val="004844BF"/>
    <w:rPr>
      <w:sz w:val="24"/>
      <w:lang w:val="mt-MT"/>
    </w:rPr>
  </w:style>
  <w:style w:type="paragraph" w:styleId="HTMLPreformatted">
    <w:name w:val="HTML Preformatted"/>
    <w:basedOn w:val="Normal"/>
    <w:link w:val="HTMLPreformattedChar"/>
    <w:rsid w:val="005E593D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5E593D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831</Words>
  <Characters>5932</Characters>
  <Application>Microsoft Office Word</Application>
  <DocSecurity>0</DocSecurity>
  <Lines>204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2026-04-28T10:40:00Z</dcterms:created>
  <dcterms:modified xsi:type="dcterms:W3CDTF">2026-04-28T10:40:00Z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A10-0115/2026</vt:lpwstr>
  </property>
  <property fmtid="{D5CDD505-2E9C-101B-9397-08002B2CF9AE}" pid="4" name="&lt;Type&gt;">
    <vt:lpwstr>RR</vt:lpwstr>
  </property>
</Properties>
</file>