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FD1439" w14:textId="77777777" w:rsidTr="0010095E">
        <w:tblPrEx>
          <w:tblW w:w="9072" w:type="dxa"/>
          <w:tblLook w:val="01E0"/>
        </w:tblPrEx>
        <w:trPr>
          <w:trHeight w:hRule="exact" w:val="1418"/>
        </w:trPr>
        <w:tc>
          <w:tcPr>
            <w:tcW w:w="6804" w:type="dxa"/>
            <w:shd w:val="clear" w:color="auto" w:fill="auto"/>
            <w:vAlign w:val="center"/>
          </w:tcPr>
          <w:p w:rsidR="00751A4A" w:rsidRPr="00817AB6" w:rsidP="0010095E" w14:paraId="03766AC6" w14:textId="77777777">
            <w:pPr>
              <w:pStyle w:val="EPName"/>
            </w:pPr>
            <w:r w:rsidRPr="00817AB6">
              <w:t>Parlamentul European</w:t>
            </w:r>
          </w:p>
          <w:p w:rsidR="00751A4A" w:rsidRPr="00817AB6" w:rsidP="005F1B17" w14:paraId="70EAED51" w14:textId="77777777">
            <w:pPr>
              <w:pStyle w:val="EPTerm"/>
              <w:rPr>
                <w:rStyle w:val="HideTWBExt"/>
                <w:noProof w:val="0"/>
                <w:vanish w:val="0"/>
                <w:color w:val="auto"/>
              </w:rPr>
            </w:pPr>
            <w:r w:rsidRPr="00817AB6">
              <w:t>2024</w:t>
            </w:r>
            <w:r w:rsidRPr="00817AB6" w:rsidR="00817416">
              <w:t>-202</w:t>
            </w:r>
            <w:r w:rsidRPr="00817AB6">
              <w:t>9</w:t>
            </w:r>
          </w:p>
        </w:tc>
        <w:tc>
          <w:tcPr>
            <w:tcW w:w="2268" w:type="dxa"/>
            <w:shd w:val="clear" w:color="auto" w:fill="auto"/>
          </w:tcPr>
          <w:p w:rsidR="00751A4A" w:rsidRPr="00817AB6" w:rsidP="0010095E" w14:paraId="7F9F2FE3" w14:textId="77777777">
            <w:pPr>
              <w:pStyle w:val="EPLogo"/>
            </w:pPr>
            <w:r w:rsidRPr="00817AB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17AB6" w:rsidP="004C5D52" w14:paraId="3FFD92D1" w14:textId="77777777">
      <w:pPr>
        <w:pStyle w:val="LineTop"/>
      </w:pPr>
    </w:p>
    <w:p w:rsidR="00680577" w:rsidRPr="00817AB6" w:rsidP="00680577" w14:paraId="7DF63A08" w14:textId="77777777">
      <w:pPr>
        <w:pStyle w:val="EPBodyTA1"/>
      </w:pPr>
      <w:r w:rsidRPr="00817AB6">
        <w:t>TEXTE ADOPTATE</w:t>
      </w:r>
    </w:p>
    <w:p w:rsidR="00D058B8" w:rsidRPr="00817AB6" w:rsidP="00D058B8" w14:paraId="6A1D4A80" w14:textId="77777777">
      <w:pPr>
        <w:pStyle w:val="LineBottom"/>
      </w:pPr>
    </w:p>
    <w:p w:rsidR="003E3962" w:rsidRPr="00817AB6" w:rsidP="003E3962" w14:paraId="00C00B9D" w14:textId="3F8BB713">
      <w:pPr>
        <w:pStyle w:val="ATHeading1"/>
      </w:pPr>
      <w:bookmarkStart w:id="0" w:name="TANumber"/>
      <w:r w:rsidRPr="00817AB6">
        <w:t>P10_TA(2026)0</w:t>
      </w:r>
      <w:bookmarkEnd w:id="0"/>
      <w:r w:rsidRPr="00817AB6" w:rsidR="00F31E5E">
        <w:t>106</w:t>
      </w:r>
    </w:p>
    <w:p w:rsidR="003E3962" w:rsidRPr="00817AB6" w:rsidP="003E3962" w14:paraId="628A23DB" w14:textId="6C52438B">
      <w:pPr>
        <w:pStyle w:val="ATHeading2"/>
      </w:pPr>
      <w:bookmarkStart w:id="1" w:name="title"/>
      <w:r w:rsidRPr="00817AB6">
        <w:t xml:space="preserve">Cererea de ridicare a imunității deputatului Daniel </w:t>
      </w:r>
      <w:r w:rsidRPr="00817AB6">
        <w:t>Obajtek</w:t>
      </w:r>
      <w:r w:rsidRPr="00817AB6">
        <w:t xml:space="preserve"> </w:t>
      </w:r>
      <w:bookmarkEnd w:id="1"/>
    </w:p>
    <w:p w:rsidR="003E3962" w:rsidRPr="00817AB6" w:rsidP="003E3962" w14:paraId="688E6DA3" w14:textId="77777777">
      <w:pPr>
        <w:rPr>
          <w:i/>
          <w:vanish/>
        </w:rPr>
      </w:pPr>
      <w:r>
        <w:rPr>
          <w:i/>
        </w:rPr>
        <w:fldChar w:fldCharType="begin"/>
      </w:r>
      <w:r w:rsidRPr="00817AB6">
        <w:rPr>
          <w:i/>
        </w:rPr>
        <w:instrText xml:space="preserve"> TC"(</w:instrText>
      </w:r>
      <w:bookmarkStart w:id="2" w:name="DocNumber"/>
      <w:r w:rsidRPr="00817AB6">
        <w:rPr>
          <w:i/>
        </w:rPr>
        <w:instrText>A10-0115/2026</w:instrText>
      </w:r>
      <w:bookmarkEnd w:id="2"/>
      <w:r w:rsidRPr="00817AB6">
        <w:rPr>
          <w:i/>
        </w:rPr>
        <w:instrText xml:space="preserve"> - Raportor: Pascale Piera)"\l3 \n&gt; \* MERGEFORMAT </w:instrText>
      </w:r>
      <w:r>
        <w:rPr>
          <w:i/>
        </w:rPr>
        <w:fldChar w:fldCharType="end"/>
      </w:r>
    </w:p>
    <w:p w:rsidR="003E3962" w:rsidRPr="00817AB6" w:rsidP="003E3962" w14:paraId="3B10ECCB" w14:textId="77777777">
      <w:pPr>
        <w:rPr>
          <w:vanish/>
        </w:rPr>
      </w:pPr>
      <w:bookmarkStart w:id="3" w:name="Commission"/>
      <w:r w:rsidRPr="00817AB6">
        <w:rPr>
          <w:vanish/>
        </w:rPr>
        <w:t>Comisia pentru afaceri juridice</w:t>
      </w:r>
      <w:bookmarkEnd w:id="3"/>
    </w:p>
    <w:p w:rsidR="003E3962" w:rsidRPr="00817AB6" w:rsidP="003E3962" w14:paraId="1358F4C7" w14:textId="77777777">
      <w:pPr>
        <w:rPr>
          <w:vanish/>
        </w:rPr>
      </w:pPr>
      <w:bookmarkStart w:id="4" w:name="PE"/>
      <w:r w:rsidRPr="00817AB6">
        <w:rPr>
          <w:vanish/>
        </w:rPr>
        <w:t>PE786.910</w:t>
      </w:r>
      <w:bookmarkEnd w:id="4"/>
    </w:p>
    <w:p w:rsidR="003E3962" w:rsidRPr="00817AB6" w:rsidP="003E3962" w14:paraId="56B31F47" w14:textId="77777777">
      <w:pPr>
        <w:pStyle w:val="ATHeading3"/>
      </w:pPr>
      <w:bookmarkStart w:id="5" w:name="Sujet"/>
      <w:r w:rsidRPr="00817AB6">
        <w:t xml:space="preserve">Decizia Parlamentului European din 28 aprilie 2026 privind cererea de ridicare a imunității deputatului Daniel </w:t>
      </w:r>
      <w:r w:rsidRPr="00817AB6">
        <w:t>Obajtek</w:t>
      </w:r>
      <w:bookmarkEnd w:id="5"/>
      <w:r w:rsidRPr="00817AB6">
        <w:t xml:space="preserve"> </w:t>
      </w:r>
      <w:bookmarkStart w:id="6" w:name="References"/>
      <w:r w:rsidRPr="00817AB6">
        <w:t>(2025/2172(IMM))</w:t>
      </w:r>
      <w:bookmarkEnd w:id="6"/>
    </w:p>
    <w:p w:rsidR="00B7189E" w:rsidRPr="00817AB6" w:rsidP="008168B3" w14:paraId="130A1B06" w14:textId="77777777">
      <w:pPr>
        <w:pStyle w:val="EPComma"/>
        <w:widowControl/>
      </w:pPr>
      <w:bookmarkStart w:id="7" w:name="TextBodyBegin"/>
      <w:bookmarkEnd w:id="7"/>
      <w:r w:rsidRPr="00817AB6">
        <w:rPr>
          <w:i/>
          <w:iCs/>
        </w:rPr>
        <w:t>Parlamentul European</w:t>
      </w:r>
      <w:r w:rsidRPr="00817AB6">
        <w:t>,</w:t>
      </w:r>
    </w:p>
    <w:p w:rsidR="00B7189E" w:rsidRPr="00817AB6" w:rsidP="00F31E5E" w14:paraId="05BB60B8" w14:textId="3C6E18FA">
      <w:pPr>
        <w:pStyle w:val="NormalHanging12a"/>
        <w:widowControl/>
      </w:pPr>
      <w:r w:rsidRPr="00817AB6">
        <w:t>–</w:t>
      </w:r>
      <w:r w:rsidRPr="00817AB6">
        <w:tab/>
        <w:t xml:space="preserve">având în vedere cererea de ridicare a imunității deputatului Daniel </w:t>
      </w:r>
      <w:r w:rsidRPr="00817AB6">
        <w:t>Obajtek</w:t>
      </w:r>
      <w:r w:rsidRPr="00817AB6">
        <w:t xml:space="preserve"> </w:t>
      </w:r>
      <w:r w:rsidRPr="00817AB6" w:rsidR="008168B3">
        <w:t>depusă de</w:t>
      </w:r>
      <w:r w:rsidRPr="00817AB6" w:rsidR="00CC12D5">
        <w:t xml:space="preserve"> </w:t>
      </w:r>
      <w:r w:rsidRPr="00817AB6">
        <w:t>Procurorul General al Republicii Polone</w:t>
      </w:r>
      <w:r w:rsidRPr="00817AB6" w:rsidR="008168B3">
        <w:t xml:space="preserve"> prin scrisoarea din data de 21 iulie 2025</w:t>
      </w:r>
      <w:r w:rsidRPr="00817AB6">
        <w:t>, transmi</w:t>
      </w:r>
      <w:r w:rsidRPr="00817AB6" w:rsidR="00CC12D5">
        <w:t>țând</w:t>
      </w:r>
      <w:r w:rsidRPr="00817AB6">
        <w:t xml:space="preserve"> o cerere </w:t>
      </w:r>
      <w:r w:rsidRPr="00817AB6" w:rsidR="00CC12D5">
        <w:t>a</w:t>
      </w:r>
      <w:r w:rsidRPr="00817AB6">
        <w:t xml:space="preserve"> Parchetul</w:t>
      </w:r>
      <w:r w:rsidRPr="00817AB6" w:rsidR="00CC12D5">
        <w:t>ui</w:t>
      </w:r>
      <w:r w:rsidRPr="00817AB6">
        <w:t xml:space="preserve"> Regional din Varșovia în </w:t>
      </w:r>
      <w:r w:rsidRPr="00817AB6" w:rsidR="00E07F13">
        <w:t>legătură cu</w:t>
      </w:r>
      <w:r w:rsidRPr="00817AB6">
        <w:t xml:space="preserve"> procedur</w:t>
      </w:r>
      <w:r w:rsidRPr="00817AB6" w:rsidR="00E07F13">
        <w:t>a</w:t>
      </w:r>
      <w:r w:rsidRPr="00817AB6">
        <w:t xml:space="preserve"> penal</w:t>
      </w:r>
      <w:r w:rsidRPr="00817AB6" w:rsidR="00E07F13">
        <w:t>ă</w:t>
      </w:r>
      <w:r w:rsidRPr="00817AB6">
        <w:t xml:space="preserve"> împotriva deputatului Daniel </w:t>
      </w:r>
      <w:r w:rsidRPr="00817AB6">
        <w:t>Obajtek</w:t>
      </w:r>
      <w:r w:rsidRPr="00817AB6">
        <w:t xml:space="preserve">, și comunicată în </w:t>
      </w:r>
      <w:r w:rsidRPr="00817AB6" w:rsidR="00CC12D5">
        <w:t>Parlament</w:t>
      </w:r>
      <w:r w:rsidRPr="00817AB6">
        <w:t xml:space="preserve"> la 8 septembrie 2025,</w:t>
      </w:r>
    </w:p>
    <w:p w:rsidR="00B7189E" w:rsidRPr="00817AB6" w:rsidP="00F31E5E" w14:paraId="007A146A" w14:textId="77777777">
      <w:pPr>
        <w:pStyle w:val="NormalHanging12a"/>
        <w:widowControl/>
      </w:pPr>
      <w:r w:rsidRPr="00817AB6">
        <w:t>–</w:t>
      </w:r>
      <w:r w:rsidRPr="00817AB6">
        <w:tab/>
        <w:t xml:space="preserve">în urma audierii deputatului Daniel </w:t>
      </w:r>
      <w:r w:rsidRPr="00817AB6">
        <w:t>Obajtek</w:t>
      </w:r>
      <w:r w:rsidRPr="00817AB6">
        <w:t xml:space="preserve"> la 12 februarie 2026, în conformitate cu articolul 9 alineatul (6) din Regulamentul său de procedură,</w:t>
      </w:r>
    </w:p>
    <w:p w:rsidR="00B7189E" w:rsidRPr="00817AB6" w:rsidP="00F31E5E" w14:paraId="666DE85E" w14:textId="77777777">
      <w:pPr>
        <w:pStyle w:val="NormalHanging12a"/>
        <w:widowControl/>
      </w:pPr>
      <w:r w:rsidRPr="00817AB6">
        <w:t>–</w:t>
      </w:r>
      <w:r w:rsidRPr="00817AB6">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B7189E" w:rsidRPr="00817AB6" w:rsidP="00F31E5E" w14:paraId="21785164" w14:textId="77777777">
      <w:pPr>
        <w:pStyle w:val="NormalHanging12a"/>
        <w:widowControl/>
      </w:pPr>
      <w:r w:rsidRPr="00817AB6">
        <w:t>–</w:t>
      </w:r>
      <w:r w:rsidRPr="00817AB6">
        <w:tab/>
        <w:t>având în vedere hotărârile Curții de Justiție a Uniunii Europene din 21 octombrie 2008, 19 martie 2010, 6 septembrie 2011, 17 ianuarie 2013 și 19 decembrie 2019</w:t>
      </w:r>
      <w:r>
        <w:rPr>
          <w:rStyle w:val="FootnoteReference"/>
          <w:color w:val="000000"/>
        </w:rPr>
        <w:footnoteReference w:id="2"/>
      </w:r>
      <w:r w:rsidRPr="00817AB6">
        <w:t>,</w:t>
      </w:r>
    </w:p>
    <w:p w:rsidR="00B7189E" w:rsidRPr="00817AB6" w:rsidP="008168B3" w14:paraId="1FD73635" w14:textId="77777777">
      <w:pPr>
        <w:pStyle w:val="NormalHanging12a"/>
        <w:widowControl/>
      </w:pPr>
      <w:r w:rsidRPr="00817AB6">
        <w:t>–</w:t>
      </w:r>
      <w:r w:rsidRPr="00817AB6">
        <w:tab/>
        <w:t>având în vedere articolul 105 alineatele (2) și (5) din Constituția Republicii Polone,</w:t>
      </w:r>
    </w:p>
    <w:p w:rsidR="00B7189E" w:rsidRPr="00817AB6" w:rsidP="00F31E5E" w14:paraId="1E4750AB" w14:textId="77777777">
      <w:pPr>
        <w:pStyle w:val="NormalHanging12a"/>
        <w:widowControl/>
      </w:pPr>
      <w:r w:rsidRPr="00817AB6">
        <w:t>–</w:t>
      </w:r>
      <w:r w:rsidRPr="00817AB6">
        <w:tab/>
        <w:t>având în vedere articolul 5 alineatul (2), articolul 6 alineatul (1) și articolul 9 din Regulamentul său de procedură,</w:t>
      </w:r>
    </w:p>
    <w:p w:rsidR="00B7189E" w:rsidRPr="00817AB6" w:rsidP="008168B3" w14:paraId="30EE798D" w14:textId="77777777">
      <w:pPr>
        <w:pStyle w:val="NormalHanging12a"/>
        <w:widowControl/>
      </w:pPr>
      <w:r w:rsidRPr="00817AB6">
        <w:t>–</w:t>
      </w:r>
      <w:r w:rsidRPr="00817AB6">
        <w:tab/>
        <w:t>având în vedere raportul Comisiei pentru afaceri juridice (A10-0115/2026),</w:t>
      </w:r>
    </w:p>
    <w:p w:rsidR="00B7189E" w:rsidRPr="00817AB6" w:rsidP="00F31E5E" w14:paraId="47B9F05C" w14:textId="287AC4D9">
      <w:pPr>
        <w:pStyle w:val="NormalHanging12a"/>
        <w:widowControl/>
      </w:pPr>
      <w:r w:rsidRPr="00817AB6">
        <w:t>A.</w:t>
      </w:r>
      <w:r w:rsidRPr="00817AB6">
        <w:tab/>
        <w:t>întrucât, prin scrisoarea din 21 iulie 2025, Procurorul General al Republicii Polone a transmis o cerere</w:t>
      </w:r>
      <w:r w:rsidRPr="00817AB6" w:rsidR="00CC12D5">
        <w:t xml:space="preserve">, depusă de Parchetul Regional din Varșovia, </w:t>
      </w:r>
      <w:r w:rsidRPr="00817AB6">
        <w:t xml:space="preserve">de ridicare a imunității deputatului </w:t>
      </w:r>
      <w:r w:rsidRPr="00817AB6" w:rsidR="009F0CF1">
        <w:t xml:space="preserve">în Parlamentul European </w:t>
      </w:r>
      <w:r w:rsidRPr="00817AB6">
        <w:t>Daniel </w:t>
      </w:r>
      <w:r w:rsidRPr="00817AB6">
        <w:t>Obajtek</w:t>
      </w:r>
      <w:r w:rsidRPr="00817AB6" w:rsidR="00CC12D5">
        <w:t>, ales în Polonia</w:t>
      </w:r>
      <w:r w:rsidRPr="00817AB6" w:rsidR="0049424B">
        <w:t>,</w:t>
      </w:r>
      <w:r w:rsidRPr="00817AB6">
        <w:t xml:space="preserve"> în legătură cu </w:t>
      </w:r>
      <w:r w:rsidRPr="00817AB6" w:rsidR="009F0CF1">
        <w:t xml:space="preserve">o </w:t>
      </w:r>
      <w:r w:rsidRPr="00817AB6">
        <w:t>presupus</w:t>
      </w:r>
      <w:r w:rsidRPr="00817AB6" w:rsidR="009F0CF1">
        <w:t>ă</w:t>
      </w:r>
      <w:r w:rsidRPr="00817AB6">
        <w:t xml:space="preserve"> infracțiune prevăzută la articolul 233 alineatul (1) din Codul penal polonez, precum și la articolul 49, coroborat cu articolul 3 din Legea privind presa din 26 ianuarie 1984;</w:t>
      </w:r>
    </w:p>
    <w:p w:rsidR="00B7189E" w:rsidRPr="00817AB6" w:rsidP="00F31E5E" w14:paraId="4346E6F8" w14:textId="77777777">
      <w:pPr>
        <w:pStyle w:val="NormalHanging12a"/>
        <w:widowControl/>
      </w:pPr>
      <w:r w:rsidRPr="00817AB6">
        <w:t>B.</w:t>
      </w:r>
      <w:r w:rsidRPr="00817AB6">
        <w:tab/>
        <w:t xml:space="preserve">întrucât, potrivit cererii de ridicare a imunității, la 15 mai 2024, Parchetul Regional din Varșovia a deschis o anchetă pentru presupusa infracțiune de mărturie mincinoasă; întrucât, potrivit cererii, această presupusă mărturie mincinoasă a fost depusă la 11 mai 2023 de două persoane, printre care Daniel </w:t>
      </w:r>
      <w:r w:rsidRPr="00817AB6">
        <w:t>Obajtek</w:t>
      </w:r>
      <w:r w:rsidRPr="00817AB6">
        <w:t>, în calitate de martor și după ce a fost informat cu privire la răspunderea penală pentru depunerea de mărturie mincinoasă, în cadrul unei proceduri în fața Tribunalului Districtual Varșovia-</w:t>
      </w:r>
      <w:r w:rsidRPr="00817AB6">
        <w:t>Śródmieście</w:t>
      </w:r>
      <w:r w:rsidRPr="00817AB6">
        <w:t xml:space="preserve"> din Varșovia cu privire la acțiunea civilă introdusă de reclamant împotriva persoanei reclamate pentru infracțiunea de defăimare, menționată la articolul 212 alineatul (2) din Codul penal polonez;</w:t>
      </w:r>
    </w:p>
    <w:p w:rsidR="00B7189E" w:rsidRPr="00817AB6" w:rsidP="00F31E5E" w14:paraId="12178101" w14:textId="5923CEB9">
      <w:pPr>
        <w:pStyle w:val="NormalHanging12a"/>
        <w:widowControl/>
      </w:pPr>
      <w:r w:rsidRPr="00817AB6">
        <w:rPr>
          <w:color w:val="000000"/>
        </w:rPr>
        <w:t>C.</w:t>
      </w:r>
      <w:r w:rsidRPr="00817AB6">
        <w:rPr>
          <w:color w:val="000000"/>
        </w:rPr>
        <w:tab/>
      </w:r>
      <w:r w:rsidRPr="00817AB6">
        <w:t>întrucât</w:t>
      </w:r>
      <w:r w:rsidRPr="00817AB6" w:rsidR="00EC7882">
        <w:t>, potrivit cererii,</w:t>
      </w:r>
      <w:r w:rsidRPr="00817AB6">
        <w:t xml:space="preserve"> Polski </w:t>
      </w:r>
      <w:r w:rsidRPr="00817AB6">
        <w:t>Koncern</w:t>
      </w:r>
      <w:r w:rsidRPr="00817AB6">
        <w:t xml:space="preserve"> </w:t>
      </w:r>
      <w:r w:rsidRPr="00817AB6">
        <w:t>Naftowy</w:t>
      </w:r>
      <w:r w:rsidRPr="00817AB6">
        <w:t xml:space="preserve"> ORLEN </w:t>
      </w:r>
      <w:r w:rsidRPr="00817AB6">
        <w:t>Spółka</w:t>
      </w:r>
      <w:r w:rsidRPr="00817AB6">
        <w:t xml:space="preserve"> </w:t>
      </w:r>
      <w:r w:rsidRPr="00817AB6">
        <w:t>Akcyjna</w:t>
      </w:r>
      <w:r w:rsidRPr="00817AB6">
        <w:t xml:space="preserve"> a încheiat un contract de distribuție a revistei săptămânale „NIE”, publicată de societatea cu răspundere limitată URMA, la toate punctele de vânzare ale benzinăriilor ORLEN;</w:t>
      </w:r>
      <w:r w:rsidRPr="00817AB6">
        <w:rPr>
          <w:color w:val="000000"/>
        </w:rPr>
        <w:t xml:space="preserve"> </w:t>
      </w:r>
      <w:r w:rsidRPr="00817AB6">
        <w:t xml:space="preserve">întrucât, la 10 martie 2023, a fost distribuit numărul 10 al revistei săptămânale; întrucât, la 14 martie 2023, la Varșovia, în calitatea sa de președinte al consiliului de administrație al Polski </w:t>
      </w:r>
      <w:r w:rsidRPr="00817AB6">
        <w:t>Koncern</w:t>
      </w:r>
      <w:r w:rsidRPr="00817AB6">
        <w:t xml:space="preserve"> </w:t>
      </w:r>
      <w:r w:rsidRPr="00817AB6">
        <w:t>Naftowy</w:t>
      </w:r>
      <w:r w:rsidRPr="00817AB6">
        <w:t xml:space="preserve"> ORLEN </w:t>
      </w:r>
      <w:r w:rsidRPr="00817AB6">
        <w:t>Spółka</w:t>
      </w:r>
      <w:r w:rsidRPr="00817AB6">
        <w:t xml:space="preserve"> </w:t>
      </w:r>
      <w:r w:rsidRPr="00817AB6">
        <w:t>Akcyjna</w:t>
      </w:r>
      <w:r w:rsidRPr="00817AB6">
        <w:t xml:space="preserve">, Daniel </w:t>
      </w:r>
      <w:r w:rsidRPr="00817AB6">
        <w:t>Obajtek</w:t>
      </w:r>
      <w:r w:rsidRPr="00817AB6">
        <w:t xml:space="preserve"> </w:t>
      </w:r>
      <w:r w:rsidRPr="00817AB6" w:rsidR="00EC7882">
        <w:t xml:space="preserve">se susține că </w:t>
      </w:r>
      <w:r w:rsidRPr="00817AB6">
        <w:t xml:space="preserve">ar fi solicitat – din cauză că acest număr al revistei săptămânale prezenta pe copertă o imagine a Papei Ioan Paul al II-lea ținând un crucifix pe care există o păpușă bebeluș dezbrăcată în locul lui Iisus și din cauza conținutului revistei care exprima o opinie negativă asupra măsurilor luate de Papa Ioan Paul al II-lea cu privire la problema exploatării sexuale a minorilor de către cler – ca numărul 10/2023 al revistei săptămânale „NIE” să fie retras de urgență de pe rafturile tuturor punctelor de vânzare aparținând Polski </w:t>
      </w:r>
      <w:r w:rsidRPr="00817AB6">
        <w:t>Koncern</w:t>
      </w:r>
      <w:r w:rsidRPr="00817AB6">
        <w:t xml:space="preserve"> </w:t>
      </w:r>
      <w:r w:rsidRPr="00817AB6">
        <w:t>Naftowy</w:t>
      </w:r>
      <w:r w:rsidRPr="00817AB6">
        <w:t xml:space="preserve"> ORLEN </w:t>
      </w:r>
      <w:r w:rsidRPr="00817AB6">
        <w:t>Spółka</w:t>
      </w:r>
      <w:r w:rsidRPr="00817AB6">
        <w:t xml:space="preserve"> </w:t>
      </w:r>
      <w:r w:rsidRPr="00817AB6">
        <w:t>Akcyjna</w:t>
      </w:r>
      <w:r w:rsidRPr="00817AB6">
        <w:t xml:space="preserve"> și ca acesta să nu mai fie oferit spre vânzare, limitând astfel achizițiile revistei pe care Polski </w:t>
      </w:r>
      <w:r w:rsidRPr="00817AB6">
        <w:t>Koncern</w:t>
      </w:r>
      <w:r w:rsidRPr="00817AB6">
        <w:t xml:space="preserve"> </w:t>
      </w:r>
      <w:r w:rsidRPr="00817AB6">
        <w:t>Naftowy</w:t>
      </w:r>
      <w:r w:rsidRPr="00817AB6">
        <w:t xml:space="preserve"> LOREN </w:t>
      </w:r>
      <w:r w:rsidRPr="00817AB6">
        <w:t>Spółka</w:t>
      </w:r>
      <w:r w:rsidRPr="00817AB6">
        <w:t xml:space="preserve"> </w:t>
      </w:r>
      <w:r w:rsidRPr="00817AB6">
        <w:t>Akcyjna</w:t>
      </w:r>
      <w:r w:rsidRPr="00817AB6">
        <w:t xml:space="preserve"> s-a angajat să o distribuie, ceea ce constituie o infracțiune în conformitate cu articolul 49 coroborat cu articolul 3 din Legea privind presa din 26 ianuarie 1984;</w:t>
      </w:r>
    </w:p>
    <w:p w:rsidR="00B7189E" w:rsidRPr="00817AB6" w:rsidP="00F31E5E" w14:paraId="2ABCACBA" w14:textId="08DE9021">
      <w:pPr>
        <w:pStyle w:val="NormalHanging12a"/>
        <w:widowControl/>
        <w:rPr>
          <w:shd w:val="clear" w:color="auto" w:fill="FFFFFF"/>
        </w:rPr>
      </w:pPr>
      <w:r w:rsidRPr="00817AB6">
        <w:rPr>
          <w:color w:val="000000"/>
        </w:rPr>
        <w:t>D.</w:t>
      </w:r>
      <w:r w:rsidRPr="00817AB6">
        <w:rPr>
          <w:color w:val="000000"/>
        </w:rPr>
        <w:tab/>
      </w:r>
      <w:r w:rsidRPr="00817AB6">
        <w:t>întrucât Daniel </w:t>
      </w:r>
      <w:r w:rsidRPr="00817AB6">
        <w:t>Obajtek</w:t>
      </w:r>
      <w:r w:rsidRPr="00817AB6">
        <w:t xml:space="preserve"> </w:t>
      </w:r>
      <w:r w:rsidRPr="00817AB6">
        <w:rPr>
          <w:shd w:val="clear" w:color="auto" w:fill="FFFFFF"/>
        </w:rPr>
        <w:t>a fost ales în Parlamentul European la alegerile europene din iunie 2024 și</w:t>
      </w:r>
      <w:r w:rsidRPr="00817AB6" w:rsidR="009F0CF1">
        <w:rPr>
          <w:shd w:val="clear" w:color="auto" w:fill="FFFFFF"/>
        </w:rPr>
        <w:t xml:space="preserve"> nu era</w:t>
      </w:r>
      <w:r w:rsidRPr="00817AB6">
        <w:t xml:space="preserve">, prin urmare, </w:t>
      </w:r>
      <w:r w:rsidRPr="00817AB6">
        <w:rPr>
          <w:shd w:val="clear" w:color="auto" w:fill="FFFFFF"/>
        </w:rPr>
        <w:t>deputat în Parlamentul European la momentul presupuselor infracțiuni, nici la momentul deschiderii anchetei penale pentru presupusele infracțiuni;</w:t>
      </w:r>
    </w:p>
    <w:p w:rsidR="00B7189E" w:rsidRPr="00817AB6" w:rsidP="00F31E5E" w14:paraId="233B193D" w14:textId="633B9D78">
      <w:pPr>
        <w:pStyle w:val="NormalHanging12a"/>
        <w:widowControl/>
      </w:pPr>
      <w:r w:rsidRPr="00817AB6">
        <w:t>E.</w:t>
      </w:r>
      <w:r w:rsidRPr="00817AB6">
        <w:tab/>
        <w:t xml:space="preserve">întrucât presupusele infracțiuni </w:t>
      </w:r>
      <w:r w:rsidRPr="00817AB6" w:rsidR="001D138F">
        <w:t>nu constituie</w:t>
      </w:r>
      <w:r w:rsidRPr="00817AB6">
        <w:t xml:space="preserve"> </w:t>
      </w:r>
      <w:r w:rsidRPr="00817AB6" w:rsidR="001D138F">
        <w:t xml:space="preserve">o </w:t>
      </w:r>
      <w:r w:rsidRPr="00817AB6">
        <w:t>opini</w:t>
      </w:r>
      <w:r w:rsidRPr="00817AB6" w:rsidR="001D138F">
        <w:t>e</w:t>
      </w:r>
      <w:r w:rsidRPr="00817AB6">
        <w:t xml:space="preserve"> sau </w:t>
      </w:r>
      <w:r w:rsidRPr="00817AB6" w:rsidR="00854BB6">
        <w:t xml:space="preserve">un </w:t>
      </w:r>
      <w:r w:rsidRPr="00817AB6">
        <w:t xml:space="preserve">vot exprimat de </w:t>
      </w:r>
      <w:r w:rsidRPr="00817AB6" w:rsidR="00854BB6">
        <w:t xml:space="preserve">Daniel </w:t>
      </w:r>
      <w:r w:rsidRPr="00817AB6" w:rsidR="00854BB6">
        <w:t>Obajtek</w:t>
      </w:r>
      <w:r w:rsidRPr="00817AB6">
        <w:t xml:space="preserve"> în exercitarea funcțiilor sale în sensul articolului 8 din Protocolul nr. 7 privind privilegiile și imunitățile Uniunii Europene</w:t>
      </w:r>
      <w:r w:rsidRPr="00817AB6" w:rsidR="008E6B3E">
        <w:t>,</w:t>
      </w:r>
      <w:r w:rsidRPr="00817AB6" w:rsidR="00854BB6">
        <w:t xml:space="preserve"> iar cererea subsecventă de ridicare a imunității sale nu are legătură cu </w:t>
      </w:r>
      <w:r w:rsidRPr="00817AB6" w:rsidR="008E6B3E">
        <w:t>o opinie sau un vot exprimat de acesta</w:t>
      </w:r>
      <w:r w:rsidRPr="00817AB6">
        <w:t>;</w:t>
      </w:r>
    </w:p>
    <w:p w:rsidR="00B7189E" w:rsidRPr="00817AB6" w:rsidP="00F31E5E" w14:paraId="2D43FF72" w14:textId="47B339E0">
      <w:pPr>
        <w:pStyle w:val="NormalHanging12a"/>
        <w:widowControl/>
      </w:pPr>
      <w:r w:rsidRPr="00817AB6">
        <w:t>F.</w:t>
      </w:r>
      <w:r w:rsidRPr="00817AB6">
        <w:tab/>
        <w:t>întrucât articolul 9 primul paragraf litera (a) din Protocolul nr. 7 privind privilegiile și imunitățile Uniunii Europene</w:t>
      </w:r>
      <w:r w:rsidRPr="00817AB6" w:rsidR="00F44665">
        <w:t xml:space="preserve"> </w:t>
      </w:r>
      <w:r w:rsidRPr="00817AB6" w:rsidR="00854BB6">
        <w:t>stipulează</w:t>
      </w:r>
      <w:r w:rsidRPr="00817AB6" w:rsidR="00F44665">
        <w:t xml:space="preserve"> că</w:t>
      </w:r>
      <w:r w:rsidRPr="00817AB6">
        <w:t xml:space="preserve">, </w:t>
      </w:r>
      <w:r w:rsidRPr="00817AB6" w:rsidR="00854BB6">
        <w:t>pe durata</w:t>
      </w:r>
      <w:r w:rsidRPr="00817AB6" w:rsidR="00F44665">
        <w:t xml:space="preserve"> sesiunilor Parlamentului European, </w:t>
      </w:r>
      <w:r w:rsidRPr="00817AB6">
        <w:t xml:space="preserve">deputații în Parlamentul European beneficiază, pe teritoriul </w:t>
      </w:r>
      <w:r w:rsidRPr="00817AB6" w:rsidR="008E6B3E">
        <w:t>național</w:t>
      </w:r>
      <w:r w:rsidRPr="00817AB6">
        <w:t xml:space="preserve">, de imunitățile </w:t>
      </w:r>
      <w:r w:rsidRPr="00817AB6" w:rsidR="008E6B3E">
        <w:t>recunoscute</w:t>
      </w:r>
      <w:r w:rsidRPr="00817AB6" w:rsidR="00854BB6">
        <w:t xml:space="preserve"> </w:t>
      </w:r>
      <w:r w:rsidRPr="00817AB6" w:rsidR="008E6B3E">
        <w:t>membrilor</w:t>
      </w:r>
      <w:r w:rsidRPr="00817AB6" w:rsidR="00854BB6">
        <w:t xml:space="preserve"> Parlamentului </w:t>
      </w:r>
      <w:r w:rsidRPr="00817AB6" w:rsidR="00F44665">
        <w:t xml:space="preserve">propriului </w:t>
      </w:r>
      <w:r w:rsidRPr="00817AB6" w:rsidR="00854BB6">
        <w:t>s</w:t>
      </w:r>
      <w:r w:rsidRPr="00817AB6" w:rsidR="00F44665">
        <w:t>tat membru</w:t>
      </w:r>
      <w:r w:rsidRPr="00817AB6">
        <w:t>;</w:t>
      </w:r>
    </w:p>
    <w:p w:rsidR="00B7189E" w:rsidRPr="00817AB6" w:rsidP="00F31E5E" w14:paraId="24AB7A6E" w14:textId="01AF3A85">
      <w:pPr>
        <w:pStyle w:val="NormalHanging12a"/>
        <w:widowControl/>
      </w:pPr>
      <w:r w:rsidRPr="00817AB6">
        <w:t>G.</w:t>
      </w:r>
      <w:r w:rsidRPr="00817AB6">
        <w:tab/>
        <w:t>întrucât, în conformitate cu articolul 105 alineat</w:t>
      </w:r>
      <w:r w:rsidRPr="00817AB6" w:rsidR="00814C61">
        <w:t>ele</w:t>
      </w:r>
      <w:r w:rsidRPr="00817AB6">
        <w:t> (2) și (5) din Constituția Republicii Polone,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a cazului în care reținerea sa este necesară pentru buna desfășurare a procedurilor;</w:t>
      </w:r>
    </w:p>
    <w:p w:rsidR="00B7189E" w:rsidRPr="00817AB6" w:rsidP="00F31E5E" w14:paraId="61848269" w14:textId="1DF7CD14">
      <w:pPr>
        <w:pStyle w:val="NormalHanging12a"/>
        <w:widowControl/>
      </w:pPr>
      <w:r w:rsidRPr="00817AB6">
        <w:t>H.</w:t>
      </w:r>
      <w:r w:rsidRPr="00817AB6">
        <w:tab/>
        <w:t xml:space="preserve">întrucât, în conformitate cu articolul 5 alineatul (2) din Regulamentul său de procedură, imunitatea parlamentară nu este un privilegiu personal al </w:t>
      </w:r>
      <w:r w:rsidRPr="00817AB6" w:rsidR="00854BB6">
        <w:t>deputaților</w:t>
      </w:r>
      <w:r w:rsidRPr="00817AB6">
        <w:t xml:space="preserve">, ci o garanție </w:t>
      </w:r>
      <w:r w:rsidRPr="00817AB6" w:rsidR="00854BB6">
        <w:t>pentru</w:t>
      </w:r>
      <w:r w:rsidRPr="00817AB6">
        <w:t xml:space="preserve"> independenț</w:t>
      </w:r>
      <w:r w:rsidRPr="00817AB6" w:rsidR="00854BB6">
        <w:t>a</w:t>
      </w:r>
      <w:r w:rsidRPr="00817AB6">
        <w:t xml:space="preserve"> Parlamentului în ansamblu și a </w:t>
      </w:r>
      <w:r w:rsidRPr="00817AB6" w:rsidR="00854BB6">
        <w:t>membrilor</w:t>
      </w:r>
      <w:r w:rsidRPr="00817AB6">
        <w:t xml:space="preserve"> săi;</w:t>
      </w:r>
    </w:p>
    <w:p w:rsidR="00B7189E" w:rsidRPr="00817AB6" w:rsidP="00F31E5E" w14:paraId="338BD5AE" w14:textId="46833BA0">
      <w:pPr>
        <w:pStyle w:val="NormalHanging12a"/>
        <w:widowControl/>
      </w:pPr>
      <w:r w:rsidRPr="00817AB6">
        <w:t>I.</w:t>
      </w:r>
      <w:r w:rsidRPr="00817AB6">
        <w:tab/>
        <w:t xml:space="preserve">întrucât scopul imunității prevăzute în Protocolul nr. 7 privind privilegiile și imunitățile Uniunii Europene este acela de a proteja Parlamentul și </w:t>
      </w:r>
      <w:r w:rsidRPr="00817AB6" w:rsidR="00854BB6">
        <w:t xml:space="preserve">pe </w:t>
      </w:r>
      <w:r w:rsidRPr="00817AB6">
        <w:t>deputații săi de proceduri judiciare inițiate în legătură cu activitățile desfășurate în exercitarea funcțiilor parlamentare</w:t>
      </w:r>
      <w:r w:rsidRPr="00817AB6" w:rsidR="00DF0107">
        <w:t xml:space="preserve"> și</w:t>
      </w:r>
      <w:r w:rsidRPr="00817AB6">
        <w:t xml:space="preserve"> care nu pot fi disociate de aceste funcții;</w:t>
      </w:r>
    </w:p>
    <w:p w:rsidR="00B7189E" w:rsidRPr="00817AB6" w:rsidP="00F31E5E" w14:paraId="16913E65" w14:textId="66BE6411">
      <w:pPr>
        <w:pStyle w:val="NormalHanging12a"/>
        <w:widowControl/>
      </w:pPr>
      <w:r w:rsidRPr="00817AB6">
        <w:t>J.</w:t>
      </w:r>
      <w:r w:rsidRPr="00817AB6">
        <w:tab/>
        <w:t xml:space="preserve">întrucât, în speță, Parlamentul nu a </w:t>
      </w:r>
      <w:r w:rsidRPr="00817AB6" w:rsidR="00814C61">
        <w:t>putut stabili</w:t>
      </w:r>
      <w:r w:rsidRPr="00817AB6">
        <w:t xml:space="preserve"> existența </w:t>
      </w:r>
      <w:r w:rsidRPr="00817AB6">
        <w:rPr>
          <w:i/>
          <w:iCs/>
        </w:rPr>
        <w:t>fumus</w:t>
      </w:r>
      <w:r w:rsidRPr="00817AB6">
        <w:rPr>
          <w:i/>
          <w:iCs/>
        </w:rPr>
        <w:t> </w:t>
      </w:r>
      <w:r w:rsidRPr="00817AB6">
        <w:rPr>
          <w:i/>
          <w:iCs/>
        </w:rPr>
        <w:t>persecutionis</w:t>
      </w:r>
      <w:r w:rsidRPr="00817AB6">
        <w:t xml:space="preserve"> și</w:t>
      </w:r>
      <w:r w:rsidRPr="00817AB6" w:rsidR="00DF0107">
        <w:t>, cu alte cuvinte,</w:t>
      </w:r>
      <w:r w:rsidRPr="00817AB6">
        <w:t xml:space="preserve"> </w:t>
      </w:r>
      <w:r w:rsidRPr="00817AB6" w:rsidR="00FD3C94">
        <w:t xml:space="preserve">nu rezultă că intenția care stă la baza procedurii judiciare în cauză este de </w:t>
      </w:r>
      <w:r w:rsidRPr="00817AB6" w:rsidR="00E65626">
        <w:t>prejudicia activitatea</w:t>
      </w:r>
      <w:r w:rsidRPr="00817AB6" w:rsidR="00FD3C94">
        <w:t xml:space="preserve"> politic</w:t>
      </w:r>
      <w:r w:rsidRPr="00817AB6" w:rsidR="00E65626">
        <w:t>ă</w:t>
      </w:r>
      <w:r w:rsidRPr="00817AB6" w:rsidR="00FD3C94">
        <w:t xml:space="preserve"> a lui Daniel </w:t>
      </w:r>
      <w:r w:rsidRPr="00817AB6" w:rsidR="00FD3C94">
        <w:t>Obajtek</w:t>
      </w:r>
      <w:r w:rsidRPr="00817AB6" w:rsidR="00FD3C94">
        <w:t xml:space="preserve"> în calitate</w:t>
      </w:r>
      <w:r w:rsidRPr="00817AB6" w:rsidR="001E4E58">
        <w:t>a sa</w:t>
      </w:r>
      <w:r w:rsidRPr="00817AB6" w:rsidR="00FD3C94">
        <w:t xml:space="preserve"> de deputat în Parlamentul European și, prin urmare, independenț</w:t>
      </w:r>
      <w:r w:rsidRPr="00817AB6" w:rsidR="001E4E58">
        <w:t>a</w:t>
      </w:r>
      <w:r w:rsidRPr="00817AB6" w:rsidR="00FD3C94">
        <w:t xml:space="preserve"> Parlamentului</w:t>
      </w:r>
      <w:r w:rsidRPr="00817AB6">
        <w:t>;</w:t>
      </w:r>
    </w:p>
    <w:p w:rsidR="00B7189E" w:rsidRPr="00817AB6" w:rsidP="00F31E5E" w14:paraId="5D13556C" w14:textId="77777777">
      <w:pPr>
        <w:pStyle w:val="NormalHanging12a"/>
        <w:widowControl/>
      </w:pPr>
      <w:r w:rsidRPr="00817AB6">
        <w:t>K.</w:t>
      </w:r>
      <w:r w:rsidRPr="00817AB6">
        <w:tab/>
        <w:t>întrucât, pe de o parte, Parlamentul nu poate fi asimilat unei instanțe judecătorești și, pe de altă parte, în contextul unei proceduri de ridicare a imunității, deputatul în cauză nu poate fi considerat „persoană acuzată”</w:t>
      </w:r>
      <w:r>
        <w:rPr>
          <w:rStyle w:val="FootnoteReference"/>
        </w:rPr>
        <w:footnoteReference w:id="3"/>
      </w:r>
      <w:r w:rsidRPr="00817AB6">
        <w:t>,</w:t>
      </w:r>
    </w:p>
    <w:p w:rsidR="00B7189E" w:rsidRPr="00817AB6" w:rsidP="008168B3" w14:paraId="49C0FAEF" w14:textId="77777777">
      <w:pPr>
        <w:pStyle w:val="NormalHanging12a"/>
        <w:widowControl/>
      </w:pPr>
      <w:r w:rsidRPr="00817AB6">
        <w:t>1.</w:t>
      </w:r>
      <w:r w:rsidRPr="00817AB6">
        <w:tab/>
        <w:t>hotărăște să ridice imunitatea deputatului Daniel </w:t>
      </w:r>
      <w:r w:rsidRPr="00817AB6">
        <w:t>Obajtek</w:t>
      </w:r>
      <w:r w:rsidRPr="00817AB6">
        <w:t>;</w:t>
      </w:r>
    </w:p>
    <w:p w:rsidR="00E365E1" w:rsidRPr="00817AB6" w:rsidP="00F31E5E" w14:paraId="5BF2180F" w14:textId="3698A611">
      <w:pPr>
        <w:pStyle w:val="NormalHanging12a"/>
        <w:widowControl/>
      </w:pPr>
      <w:r w:rsidRPr="00817AB6">
        <w:t xml:space="preserve">2. </w:t>
      </w:r>
      <w:r w:rsidRPr="00817AB6">
        <w:tab/>
        <w:t>încredințează Președintei sarcina de a transmite imediat prezenta decizie, precum și raportul comisiei competente, autorității competente a Republicii Polone și deputatului Daniel </w:t>
      </w:r>
      <w:r w:rsidRPr="00817AB6">
        <w:t>Obajtek</w:t>
      </w:r>
      <w:r w:rsidRPr="00817AB6">
        <w:t xml:space="preserve">. </w:t>
      </w:r>
    </w:p>
    <w:sectPr w:rsidSect="0050669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71925D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20E7A16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442D6D5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E3962" w:rsidRPr="00506694" w14:paraId="23F1F1A3" w14:textId="77777777">
      <w:r w:rsidRPr="00506694">
        <w:separator/>
      </w:r>
    </w:p>
  </w:footnote>
  <w:footnote w:type="continuationSeparator" w:id="1">
    <w:p w:rsidR="003E3962" w:rsidRPr="00506694" w14:paraId="23B4150A" w14:textId="77777777">
      <w:r w:rsidRPr="00506694">
        <w:continuationSeparator/>
      </w:r>
    </w:p>
  </w:footnote>
  <w:footnote w:id="2">
    <w:p w:rsidR="00B7189E" w:rsidRPr="00506694" w:rsidP="00506694" w14:paraId="358C2398" w14:textId="132D99B1">
      <w:pPr>
        <w:pStyle w:val="FootnoteText"/>
        <w:ind w:left="567" w:hanging="567"/>
        <w:rPr>
          <w:sz w:val="24"/>
          <w:lang w:val="ro-RO"/>
        </w:rPr>
      </w:pPr>
      <w:r w:rsidRPr="00506694">
        <w:rPr>
          <w:rStyle w:val="FootnoteReference"/>
          <w:sz w:val="24"/>
          <w:lang w:val="ro-RO"/>
        </w:rPr>
        <w:footnoteRef/>
      </w:r>
      <w:r w:rsidRPr="00506694" w:rsidR="00506694">
        <w:rPr>
          <w:sz w:val="24"/>
          <w:lang w:val="ro-RO"/>
        </w:rPr>
        <w:t xml:space="preserve"> </w:t>
      </w:r>
      <w:r w:rsidRPr="00506694" w:rsidR="00506694">
        <w:rPr>
          <w:sz w:val="24"/>
          <w:lang w:val="ro-RO"/>
        </w:rPr>
        <w:tab/>
      </w:r>
      <w:r w:rsidRPr="00506694">
        <w:rPr>
          <w:sz w:val="24"/>
          <w:lang w:val="ro-RO"/>
        </w:rPr>
        <w:t xml:space="preserve">Hotărârea Curții de Justiție din 21 octombrie 2008, </w:t>
      </w:r>
      <w:r w:rsidRPr="00506694">
        <w:rPr>
          <w:sz w:val="24"/>
          <w:lang w:val="ro-RO"/>
        </w:rPr>
        <w:t>Marra</w:t>
      </w:r>
      <w:r w:rsidRPr="00506694">
        <w:rPr>
          <w:sz w:val="24"/>
          <w:lang w:val="ro-RO"/>
        </w:rPr>
        <w:t xml:space="preserve">/De Gregorio și Clemente, C-200/07 și C-201/07, ECLI:EU:C:2008:579, Hotărârea Tribunalului din 19 martie 2010, </w:t>
      </w:r>
      <w:r w:rsidRPr="00506694">
        <w:rPr>
          <w:sz w:val="24"/>
          <w:lang w:val="ro-RO"/>
        </w:rPr>
        <w:t>Gollnisch</w:t>
      </w:r>
      <w:r w:rsidRPr="00506694">
        <w:rPr>
          <w:sz w:val="24"/>
          <w:lang w:val="ro-RO"/>
        </w:rPr>
        <w:t xml:space="preserve">/Parlamentul, T-42/06, ECLI:EU:T:2010:102, Hotărârea Curții de Justiție din 6 septembrie 2011, </w:t>
      </w:r>
      <w:r w:rsidRPr="00506694">
        <w:rPr>
          <w:sz w:val="24"/>
          <w:lang w:val="ro-RO"/>
        </w:rPr>
        <w:t>Patriciello</w:t>
      </w:r>
      <w:r w:rsidRPr="00506694">
        <w:rPr>
          <w:sz w:val="24"/>
          <w:lang w:val="ro-RO"/>
        </w:rPr>
        <w:t xml:space="preserve">, C-163/10, ECLI: EU:C:2011:543, Hotărârea Tribunalului din 17 ianuarie 2013, </w:t>
      </w:r>
      <w:r w:rsidRPr="00506694">
        <w:rPr>
          <w:sz w:val="24"/>
          <w:lang w:val="ro-RO"/>
        </w:rPr>
        <w:t>Gollnisch</w:t>
      </w:r>
      <w:r w:rsidRPr="00506694">
        <w:rPr>
          <w:sz w:val="24"/>
          <w:lang w:val="ro-RO"/>
        </w:rPr>
        <w:t xml:space="preserve">/Parlamentul, T-346/11 și T-347/11, ECLI:EU:T:2013:23, Hotărârea Curții de Justiție din 19 decembrie 2019, </w:t>
      </w:r>
      <w:r w:rsidRPr="00506694">
        <w:rPr>
          <w:sz w:val="24"/>
          <w:lang w:val="ro-RO"/>
        </w:rPr>
        <w:t>Junqueras</w:t>
      </w:r>
      <w:r w:rsidRPr="00506694">
        <w:rPr>
          <w:sz w:val="24"/>
          <w:lang w:val="ro-RO"/>
        </w:rPr>
        <w:t xml:space="preserve"> </w:t>
      </w:r>
      <w:r w:rsidRPr="00506694">
        <w:rPr>
          <w:sz w:val="24"/>
          <w:lang w:val="ro-RO"/>
        </w:rPr>
        <w:t>Vies</w:t>
      </w:r>
      <w:r w:rsidRPr="00506694">
        <w:rPr>
          <w:sz w:val="24"/>
          <w:lang w:val="ro-RO"/>
        </w:rPr>
        <w:t>, C-502/19, ECLI:EU:C:2019:1115.</w:t>
      </w:r>
    </w:p>
  </w:footnote>
  <w:footnote w:id="3">
    <w:p w:rsidR="00B7189E" w:rsidRPr="00506694" w:rsidP="00506694" w14:paraId="5C3E573B" w14:textId="09FC368D">
      <w:pPr>
        <w:pStyle w:val="FootnoteText"/>
        <w:ind w:left="567" w:hanging="567"/>
        <w:rPr>
          <w:sz w:val="24"/>
          <w:lang w:val="ro-RO"/>
        </w:rPr>
      </w:pPr>
      <w:r w:rsidRPr="00506694">
        <w:rPr>
          <w:rStyle w:val="FootnoteReference"/>
          <w:sz w:val="24"/>
          <w:lang w:val="ro-RO"/>
        </w:rPr>
        <w:footnoteRef/>
      </w:r>
      <w:r w:rsidRPr="00506694" w:rsidR="00506694">
        <w:rPr>
          <w:sz w:val="24"/>
          <w:lang w:val="ro-RO"/>
        </w:rPr>
        <w:t xml:space="preserve"> </w:t>
      </w:r>
      <w:r w:rsidRPr="00506694" w:rsidR="00506694">
        <w:rPr>
          <w:sz w:val="24"/>
          <w:lang w:val="ro-RO"/>
        </w:rPr>
        <w:tab/>
      </w:r>
      <w:r w:rsidRPr="00506694">
        <w:rPr>
          <w:sz w:val="24"/>
          <w:lang w:val="ro-RO"/>
        </w:rPr>
        <w:t xml:space="preserve">Hotărârea Tribunalului din 30 aprilie 2019, </w:t>
      </w:r>
      <w:r w:rsidRPr="00506694">
        <w:rPr>
          <w:sz w:val="24"/>
          <w:lang w:val="ro-RO"/>
        </w:rPr>
        <w:t>Briois</w:t>
      </w:r>
      <w:r w:rsidRPr="00506694">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174CF35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0F76C2C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694" w14:paraId="37C3DA1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0063462">
    <w:abstractNumId w:val="9"/>
  </w:num>
  <w:num w:numId="2" w16cid:durableId="1377198222">
    <w:abstractNumId w:val="9"/>
  </w:num>
  <w:num w:numId="3" w16cid:durableId="2049068418">
    <w:abstractNumId w:val="7"/>
  </w:num>
  <w:num w:numId="4" w16cid:durableId="1263221203">
    <w:abstractNumId w:val="7"/>
  </w:num>
  <w:num w:numId="5" w16cid:durableId="624972021">
    <w:abstractNumId w:val="6"/>
  </w:num>
  <w:num w:numId="6" w16cid:durableId="1729916809">
    <w:abstractNumId w:val="6"/>
  </w:num>
  <w:num w:numId="7" w16cid:durableId="1147821093">
    <w:abstractNumId w:val="5"/>
  </w:num>
  <w:num w:numId="8" w16cid:durableId="1220748319">
    <w:abstractNumId w:val="5"/>
  </w:num>
  <w:num w:numId="9" w16cid:durableId="819884047">
    <w:abstractNumId w:val="4"/>
  </w:num>
  <w:num w:numId="10" w16cid:durableId="181289256">
    <w:abstractNumId w:val="4"/>
  </w:num>
  <w:num w:numId="11" w16cid:durableId="1325284756">
    <w:abstractNumId w:val="8"/>
  </w:num>
  <w:num w:numId="12" w16cid:durableId="779422538">
    <w:abstractNumId w:val="8"/>
  </w:num>
  <w:num w:numId="13" w16cid:durableId="121577370">
    <w:abstractNumId w:val="3"/>
  </w:num>
  <w:num w:numId="14" w16cid:durableId="2086829861">
    <w:abstractNumId w:val="3"/>
  </w:num>
  <w:num w:numId="15" w16cid:durableId="960721724">
    <w:abstractNumId w:val="2"/>
  </w:num>
  <w:num w:numId="16" w16cid:durableId="143476031">
    <w:abstractNumId w:val="2"/>
  </w:num>
  <w:num w:numId="17" w16cid:durableId="1542866536">
    <w:abstractNumId w:val="1"/>
  </w:num>
  <w:num w:numId="18" w16cid:durableId="1224439530">
    <w:abstractNumId w:val="1"/>
  </w:num>
  <w:num w:numId="19" w16cid:durableId="1658340599">
    <w:abstractNumId w:val="0"/>
  </w:num>
  <w:num w:numId="20" w16cid:durableId="320161682">
    <w:abstractNumId w:val="0"/>
  </w:num>
  <w:num w:numId="21" w16cid:durableId="366033481">
    <w:abstractNumId w:val="9"/>
  </w:num>
  <w:num w:numId="22" w16cid:durableId="1605765376">
    <w:abstractNumId w:val="7"/>
  </w:num>
  <w:num w:numId="23" w16cid:durableId="834686506">
    <w:abstractNumId w:val="6"/>
  </w:num>
  <w:num w:numId="24" w16cid:durableId="1132014841">
    <w:abstractNumId w:val="5"/>
  </w:num>
  <w:num w:numId="25" w16cid:durableId="1597517531">
    <w:abstractNumId w:val="4"/>
  </w:num>
  <w:num w:numId="26" w16cid:durableId="861553202">
    <w:abstractNumId w:val="8"/>
  </w:num>
  <w:num w:numId="27" w16cid:durableId="1293749899">
    <w:abstractNumId w:val="3"/>
  </w:num>
  <w:num w:numId="28" w16cid:durableId="31351236">
    <w:abstractNumId w:val="2"/>
  </w:num>
  <w:num w:numId="29" w16cid:durableId="794300119">
    <w:abstractNumId w:val="1"/>
  </w:num>
  <w:num w:numId="30" w16cid:durableId="762259412">
    <w:abstractNumId w:val="0"/>
  </w:num>
  <w:num w:numId="31" w16cid:durableId="1166357194">
    <w:abstractNumId w:val="9"/>
  </w:num>
  <w:num w:numId="32" w16cid:durableId="4982363">
    <w:abstractNumId w:val="7"/>
  </w:num>
  <w:num w:numId="33" w16cid:durableId="1788743733">
    <w:abstractNumId w:val="6"/>
  </w:num>
  <w:num w:numId="34" w16cid:durableId="1850947038">
    <w:abstractNumId w:val="5"/>
  </w:num>
  <w:num w:numId="35" w16cid:durableId="84739264">
    <w:abstractNumId w:val="4"/>
  </w:num>
  <w:num w:numId="36" w16cid:durableId="1321539894">
    <w:abstractNumId w:val="8"/>
  </w:num>
  <w:num w:numId="37" w16cid:durableId="60948970">
    <w:abstractNumId w:val="3"/>
  </w:num>
  <w:num w:numId="38" w16cid:durableId="205073244">
    <w:abstractNumId w:val="2"/>
  </w:num>
  <w:num w:numId="39" w16cid:durableId="332993289">
    <w:abstractNumId w:val="1"/>
  </w:num>
  <w:num w:numId="40" w16cid:durableId="1816215805">
    <w:abstractNumId w:val="0"/>
  </w:num>
  <w:num w:numId="41" w16cid:durableId="1920822425">
    <w:abstractNumId w:val="10"/>
  </w:num>
  <w:num w:numId="42" w16cid:durableId="1047754240">
    <w:abstractNumId w:val="10"/>
  </w:num>
  <w:num w:numId="43" w16cid:durableId="1254510548">
    <w:abstractNumId w:val="10"/>
  </w:num>
  <w:num w:numId="44" w16cid:durableId="9527071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62"/>
    <w:rsid w:val="00002272"/>
    <w:rsid w:val="00064002"/>
    <w:rsid w:val="000677B9"/>
    <w:rsid w:val="000831BA"/>
    <w:rsid w:val="000A42CC"/>
    <w:rsid w:val="000E7DD9"/>
    <w:rsid w:val="0010095E"/>
    <w:rsid w:val="00125B37"/>
    <w:rsid w:val="00187494"/>
    <w:rsid w:val="001D138F"/>
    <w:rsid w:val="001E4E58"/>
    <w:rsid w:val="001F32AE"/>
    <w:rsid w:val="002767FF"/>
    <w:rsid w:val="002B18FE"/>
    <w:rsid w:val="002B5493"/>
    <w:rsid w:val="00343214"/>
    <w:rsid w:val="00361C00"/>
    <w:rsid w:val="00367CD4"/>
    <w:rsid w:val="00395FA1"/>
    <w:rsid w:val="003E15D4"/>
    <w:rsid w:val="003E3962"/>
    <w:rsid w:val="00411CCE"/>
    <w:rsid w:val="0041666E"/>
    <w:rsid w:val="00421060"/>
    <w:rsid w:val="00471C19"/>
    <w:rsid w:val="004867E3"/>
    <w:rsid w:val="0049424B"/>
    <w:rsid w:val="00494A28"/>
    <w:rsid w:val="004C0004"/>
    <w:rsid w:val="004C5D52"/>
    <w:rsid w:val="0050519A"/>
    <w:rsid w:val="00506694"/>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14E"/>
    <w:rsid w:val="00786EC0"/>
    <w:rsid w:val="007D1690"/>
    <w:rsid w:val="007E22AD"/>
    <w:rsid w:val="00814C61"/>
    <w:rsid w:val="008168B3"/>
    <w:rsid w:val="00817416"/>
    <w:rsid w:val="00817AB6"/>
    <w:rsid w:val="00842779"/>
    <w:rsid w:val="00854BB6"/>
    <w:rsid w:val="00865F67"/>
    <w:rsid w:val="00881A7B"/>
    <w:rsid w:val="008840E5"/>
    <w:rsid w:val="00887B3E"/>
    <w:rsid w:val="008C2AC6"/>
    <w:rsid w:val="008E6B3E"/>
    <w:rsid w:val="00930C23"/>
    <w:rsid w:val="0093193B"/>
    <w:rsid w:val="009509D8"/>
    <w:rsid w:val="00950B64"/>
    <w:rsid w:val="00981893"/>
    <w:rsid w:val="009867D1"/>
    <w:rsid w:val="009F0CF1"/>
    <w:rsid w:val="00A1687D"/>
    <w:rsid w:val="00A43E52"/>
    <w:rsid w:val="00A4678D"/>
    <w:rsid w:val="00A778C7"/>
    <w:rsid w:val="00AB441E"/>
    <w:rsid w:val="00AB6293"/>
    <w:rsid w:val="00AE0928"/>
    <w:rsid w:val="00AF3B82"/>
    <w:rsid w:val="00B12E95"/>
    <w:rsid w:val="00B22876"/>
    <w:rsid w:val="00B558F0"/>
    <w:rsid w:val="00B7189E"/>
    <w:rsid w:val="00BD48FE"/>
    <w:rsid w:val="00BD7BD8"/>
    <w:rsid w:val="00BE6ADC"/>
    <w:rsid w:val="00C05BFE"/>
    <w:rsid w:val="00C23CD4"/>
    <w:rsid w:val="00C61C0C"/>
    <w:rsid w:val="00C941CB"/>
    <w:rsid w:val="00CC12D5"/>
    <w:rsid w:val="00CC2357"/>
    <w:rsid w:val="00CF071A"/>
    <w:rsid w:val="00D058B8"/>
    <w:rsid w:val="00D56C11"/>
    <w:rsid w:val="00D834A0"/>
    <w:rsid w:val="00D872DF"/>
    <w:rsid w:val="00D91E21"/>
    <w:rsid w:val="00DA7FCD"/>
    <w:rsid w:val="00DF0107"/>
    <w:rsid w:val="00E07F13"/>
    <w:rsid w:val="00E365E1"/>
    <w:rsid w:val="00E65626"/>
    <w:rsid w:val="00E820A4"/>
    <w:rsid w:val="00EB006A"/>
    <w:rsid w:val="00EB4772"/>
    <w:rsid w:val="00EC7882"/>
    <w:rsid w:val="00ED169E"/>
    <w:rsid w:val="00ED4235"/>
    <w:rsid w:val="00F04346"/>
    <w:rsid w:val="00F0650B"/>
    <w:rsid w:val="00F075DC"/>
    <w:rsid w:val="00F149E9"/>
    <w:rsid w:val="00F31E5E"/>
    <w:rsid w:val="00F35BC1"/>
    <w:rsid w:val="00F44665"/>
    <w:rsid w:val="00F5134D"/>
    <w:rsid w:val="00F74202"/>
    <w:rsid w:val="00F87713"/>
    <w:rsid w:val="00FB4360"/>
    <w:rsid w:val="00FD0C70"/>
    <w:rsid w:val="00FD3C94"/>
  </w:rsids>
  <w:docVars>
    <w:docVar w:name="dvdocse" w:val="A10-0115/2026"/>
    <w:docVar w:name="dvlangue" w:val="RO"/>
    <w:docVar w:name="dvnumam" w:val="0"/>
    <w:docVar w:name="dvpe" w:val="786.910"/>
    <w:docVar w:name="dvrapporteur" w:val="Raportor: "/>
    <w:docVar w:name="dvtitre" w:val="Decizia Parlamentului European din 28 aprilie 2026 privind cererea de ridicare a imunității deputatului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9C0FA2"/>
  <w15:chartTrackingRefBased/>
  <w15:docId w15:val="{669EF620-4D9D-4323-AB35-6324DAE5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7189E"/>
    <w:pPr>
      <w:spacing w:after="240"/>
      <w:ind w:left="567" w:hanging="567"/>
    </w:pPr>
  </w:style>
  <w:style w:type="paragraph" w:customStyle="1" w:styleId="EPComma">
    <w:name w:val="EPComma"/>
    <w:basedOn w:val="Normal"/>
    <w:rsid w:val="00B7189E"/>
    <w:pPr>
      <w:spacing w:before="480" w:after="240"/>
    </w:pPr>
  </w:style>
  <w:style w:type="paragraph" w:styleId="Revision">
    <w:name w:val="Revision"/>
    <w:hidden/>
    <w:uiPriority w:val="99"/>
    <w:semiHidden/>
    <w:rsid w:val="00CC12D5"/>
    <w:rPr>
      <w:sz w:val="24"/>
      <w:lang w:val="ro-RO"/>
    </w:rPr>
  </w:style>
  <w:style w:type="character" w:styleId="CommentReference">
    <w:name w:val="annotation reference"/>
    <w:basedOn w:val="DefaultParagraphFont"/>
    <w:rsid w:val="00CC12D5"/>
    <w:rPr>
      <w:sz w:val="16"/>
      <w:szCs w:val="16"/>
    </w:rPr>
  </w:style>
  <w:style w:type="paragraph" w:styleId="CommentText">
    <w:name w:val="annotation text"/>
    <w:basedOn w:val="Normal"/>
    <w:link w:val="CommentTextChar"/>
    <w:rsid w:val="00CC12D5"/>
    <w:rPr>
      <w:sz w:val="20"/>
    </w:rPr>
  </w:style>
  <w:style w:type="character" w:customStyle="1" w:styleId="CommentTextChar">
    <w:name w:val="Comment Text Char"/>
    <w:basedOn w:val="DefaultParagraphFont"/>
    <w:link w:val="CommentText"/>
    <w:rsid w:val="00CC12D5"/>
    <w:rPr>
      <w:lang w:val="ro-RO"/>
    </w:rPr>
  </w:style>
  <w:style w:type="paragraph" w:styleId="CommentSubject">
    <w:name w:val="annotation subject"/>
    <w:basedOn w:val="CommentText"/>
    <w:next w:val="CommentText"/>
    <w:link w:val="CommentSubjectChar"/>
    <w:rsid w:val="00CC12D5"/>
    <w:rPr>
      <w:b/>
      <w:bCs/>
    </w:rPr>
  </w:style>
  <w:style w:type="character" w:customStyle="1" w:styleId="CommentSubjectChar">
    <w:name w:val="Comment Subject Char"/>
    <w:basedOn w:val="CommentTextChar"/>
    <w:link w:val="CommentSubject"/>
    <w:rsid w:val="00CC12D5"/>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2026-04-28T11:53:00Z</dcterms:created>
  <dcterms:modified xsi:type="dcterms:W3CDTF">2026-04-28T11:53:00Z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A10-0115/2026</vt:lpwstr>
  </property>
  <property fmtid="{D5CDD505-2E9C-101B-9397-08002B2CF9AE}" pid="4" name="&lt;Type&gt;">
    <vt:lpwstr>RR</vt:lpwstr>
  </property>
</Properties>
</file>