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1B67A7" w14:textId="77777777" w:rsidTr="0010095E">
        <w:tblPrEx>
          <w:tblW w:w="9072" w:type="dxa"/>
          <w:tblLook w:val="01E0"/>
        </w:tblPrEx>
        <w:trPr>
          <w:trHeight w:hRule="exact" w:val="1418"/>
        </w:trPr>
        <w:tc>
          <w:tcPr>
            <w:tcW w:w="6804" w:type="dxa"/>
            <w:shd w:val="clear" w:color="auto" w:fill="auto"/>
            <w:vAlign w:val="center"/>
          </w:tcPr>
          <w:p w:rsidR="00751A4A" w:rsidRPr="00FB795E" w:rsidP="0010095E" w14:paraId="4DC098A0" w14:textId="77777777">
            <w:pPr>
              <w:pStyle w:val="EPName"/>
            </w:pPr>
            <w:r w:rsidRPr="00FB795E">
              <w:t>Europa-Parlamentet</w:t>
            </w:r>
          </w:p>
          <w:p w:rsidR="00751A4A" w:rsidRPr="00FB795E" w:rsidP="005F1B17" w14:paraId="70AC0B70" w14:textId="77777777">
            <w:pPr>
              <w:pStyle w:val="EPTerm"/>
              <w:rPr>
                <w:rStyle w:val="HideTWBExt"/>
                <w:noProof w:val="0"/>
                <w:vanish w:val="0"/>
                <w:color w:val="auto"/>
              </w:rPr>
            </w:pPr>
            <w:r w:rsidRPr="00FB795E">
              <w:t>2024</w:t>
            </w:r>
            <w:r w:rsidRPr="00FB795E" w:rsidR="00817416">
              <w:t>-202</w:t>
            </w:r>
            <w:r w:rsidRPr="00FB795E">
              <w:t>9</w:t>
            </w:r>
          </w:p>
        </w:tc>
        <w:tc>
          <w:tcPr>
            <w:tcW w:w="2268" w:type="dxa"/>
            <w:shd w:val="clear" w:color="auto" w:fill="auto"/>
          </w:tcPr>
          <w:p w:rsidR="00751A4A" w:rsidRPr="00FB795E" w:rsidP="0010095E" w14:paraId="133FB550" w14:textId="77777777">
            <w:pPr>
              <w:pStyle w:val="EPLogo"/>
            </w:pPr>
            <w:r w:rsidRPr="00FB795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B795E" w:rsidP="004C5D52" w14:paraId="4C641DE0" w14:textId="77777777">
      <w:pPr>
        <w:pStyle w:val="LineTop"/>
      </w:pPr>
    </w:p>
    <w:p w:rsidR="00680577" w:rsidRPr="00FB795E" w:rsidP="00680577" w14:paraId="37DAFAA9" w14:textId="77777777">
      <w:pPr>
        <w:pStyle w:val="EPBodyTA1"/>
      </w:pPr>
      <w:r w:rsidRPr="00FB795E">
        <w:t>VEDTAGNE TEKSTER</w:t>
      </w:r>
    </w:p>
    <w:p w:rsidR="00D058B8" w:rsidRPr="00FB795E" w:rsidP="00D058B8" w14:paraId="66CEE887" w14:textId="77777777">
      <w:pPr>
        <w:pStyle w:val="LineBottom"/>
      </w:pPr>
    </w:p>
    <w:p w:rsidR="004B039E" w:rsidRPr="00DC7F20" w:rsidP="004B039E" w14:paraId="2ABB79A8" w14:textId="094FF352">
      <w:pPr>
        <w:pStyle w:val="ATHeading1"/>
      </w:pPr>
      <w:bookmarkStart w:id="0" w:name="TANumber"/>
      <w:r w:rsidRPr="00DC7F20">
        <w:t>P10_TA(2026)0</w:t>
      </w:r>
      <w:r w:rsidR="00565066">
        <w:t>107</w:t>
      </w:r>
      <w:bookmarkEnd w:id="0"/>
    </w:p>
    <w:p w:rsidR="004B039E" w:rsidRPr="00DC7F20" w:rsidP="004B039E" w14:paraId="7536EA1C" w14:textId="77777777">
      <w:pPr>
        <w:pStyle w:val="ATHeading2"/>
      </w:pPr>
      <w:bookmarkStart w:id="1" w:name="title"/>
      <w:r w:rsidRPr="00DC7F20">
        <w:t>Anmodning om ophævelse af Tomasz Buczeks immunitet</w:t>
      </w:r>
      <w:bookmarkEnd w:id="1"/>
    </w:p>
    <w:p w:rsidR="004B039E" w:rsidRPr="00FB795E" w:rsidP="004B039E" w14:paraId="56C02A55" w14:textId="77777777">
      <w:pPr>
        <w:rPr>
          <w:i/>
          <w:vanish/>
        </w:rPr>
      </w:pPr>
      <w:r>
        <w:rPr>
          <w:i/>
        </w:rPr>
        <w:fldChar w:fldCharType="begin"/>
      </w:r>
      <w:r w:rsidRPr="00FB795E">
        <w:rPr>
          <w:i/>
        </w:rPr>
        <w:instrText xml:space="preserve"> TC"(</w:instrText>
      </w:r>
      <w:bookmarkStart w:id="2" w:name="DocNumber"/>
      <w:r w:rsidRPr="00FB795E">
        <w:rPr>
          <w:i/>
        </w:rPr>
        <w:instrText>A10-0116/2026</w:instrText>
      </w:r>
      <w:bookmarkEnd w:id="2"/>
      <w:r w:rsidRPr="00FB795E">
        <w:rPr>
          <w:i/>
        </w:rPr>
        <w:instrText xml:space="preserve"> - Ordfører: David Cormand)"\l3 \n&gt; \* MERGEFORMAT </w:instrText>
      </w:r>
      <w:r>
        <w:rPr>
          <w:i/>
        </w:rPr>
        <w:fldChar w:fldCharType="end"/>
      </w:r>
    </w:p>
    <w:p w:rsidR="004B039E" w:rsidRPr="00FB795E" w:rsidP="004B039E" w14:paraId="2524E9F4" w14:textId="77777777">
      <w:pPr>
        <w:rPr>
          <w:vanish/>
        </w:rPr>
      </w:pPr>
      <w:bookmarkStart w:id="3" w:name="Commission"/>
      <w:r w:rsidRPr="00FB795E">
        <w:rPr>
          <w:vanish/>
        </w:rPr>
        <w:t>Retsudvalget</w:t>
      </w:r>
      <w:bookmarkEnd w:id="3"/>
    </w:p>
    <w:p w:rsidR="004B039E" w:rsidRPr="00FB795E" w:rsidP="004B039E" w14:paraId="142FFEC6" w14:textId="77777777">
      <w:pPr>
        <w:rPr>
          <w:vanish/>
        </w:rPr>
      </w:pPr>
      <w:bookmarkStart w:id="4" w:name="PE"/>
      <w:r w:rsidRPr="00FB795E">
        <w:rPr>
          <w:vanish/>
        </w:rPr>
        <w:t>PE786.694</w:t>
      </w:r>
      <w:bookmarkEnd w:id="4"/>
    </w:p>
    <w:p w:rsidR="004B039E" w:rsidRPr="00DC7F20" w:rsidP="004B039E" w14:paraId="104DB033" w14:textId="77777777">
      <w:pPr>
        <w:pStyle w:val="ATHeading3"/>
      </w:pPr>
      <w:bookmarkStart w:id="5" w:name="Sujet"/>
      <w:r w:rsidRPr="00DC7F20">
        <w:t>Europa-Parlamentets afgørelse af 28. april 2026 om anmodning om ophævelse af Tomasz Buczeks immunitet</w:t>
      </w:r>
      <w:bookmarkEnd w:id="5"/>
      <w:r w:rsidRPr="00DC7F20">
        <w:t xml:space="preserve"> </w:t>
      </w:r>
      <w:bookmarkStart w:id="6" w:name="References"/>
      <w:r w:rsidRPr="00DC7F20">
        <w:t>(2025/2193(IMM))</w:t>
      </w:r>
      <w:bookmarkEnd w:id="6"/>
    </w:p>
    <w:p w:rsidR="00CB40D0" w:rsidRPr="00FB795E" w:rsidP="00CB40D0" w14:paraId="7E8410E1" w14:textId="77777777">
      <w:pPr>
        <w:pStyle w:val="EPComma"/>
      </w:pPr>
      <w:bookmarkStart w:id="7" w:name="TextBodyBegin"/>
      <w:bookmarkEnd w:id="7"/>
      <w:r w:rsidRPr="00FB795E">
        <w:rPr>
          <w:i/>
          <w:iCs/>
        </w:rPr>
        <w:t>Europa-Parlamentet</w:t>
      </w:r>
      <w:r w:rsidRPr="00FB795E">
        <w:t>,</w:t>
      </w:r>
    </w:p>
    <w:p w:rsidR="00CB40D0" w:rsidRPr="00FB795E" w:rsidP="00CB40D0" w14:paraId="2B88725D" w14:textId="07445D1E">
      <w:pPr>
        <w:pStyle w:val="NormalHanging12a"/>
      </w:pPr>
      <w:r w:rsidRPr="00FB795E">
        <w:t>–</w:t>
      </w:r>
      <w:r w:rsidRPr="00FB795E">
        <w:tab/>
        <w:t>der henviser til anmodning</w:t>
      </w:r>
      <w:r w:rsidRPr="00FB795E" w:rsidR="00E33B40">
        <w:t>en</w:t>
      </w:r>
      <w:r w:rsidRPr="00FB795E">
        <w:t xml:space="preserve"> om ophævelse af Tomasz Buczeks immunitet, der blev indgivet </w:t>
      </w:r>
      <w:r w:rsidRPr="00FB795E" w:rsidR="0074665D">
        <w:t>ved skrivelse af</w:t>
      </w:r>
      <w:r w:rsidRPr="00FB795E">
        <w:t xml:space="preserve"> 12. september 2025 af retten i første instans i Tarnobrzeg, 2. afdeling for straffesager, i forbindelse med en straffesag mod ham anlagt </w:t>
      </w:r>
      <w:r w:rsidRPr="00FB795E" w:rsidR="0074665D">
        <w:t xml:space="preserve">i form at et </w:t>
      </w:r>
      <w:r w:rsidRPr="00FB795E">
        <w:t xml:space="preserve">privat </w:t>
      </w:r>
      <w:r w:rsidRPr="00FB795E" w:rsidR="0074665D">
        <w:t xml:space="preserve">anklageskrift </w:t>
      </w:r>
      <w:r w:rsidRPr="00FB795E">
        <w:t>indgivet af den juridiske repræsentant</w:t>
      </w:r>
      <w:r w:rsidRPr="00FB795E" w:rsidR="0074665D">
        <w:t xml:space="preserve"> for den private anklager</w:t>
      </w:r>
      <w:r w:rsidRPr="00FB795E">
        <w:t xml:space="preserve">, og </w:t>
      </w:r>
      <w:r w:rsidRPr="00FB795E" w:rsidR="0074665D">
        <w:t xml:space="preserve">hvorom der </w:t>
      </w:r>
      <w:r w:rsidRPr="00FB795E">
        <w:t xml:space="preserve">blev </w:t>
      </w:r>
      <w:r w:rsidRPr="00FB795E" w:rsidR="0074665D">
        <w:t xml:space="preserve">givet meddelelse </w:t>
      </w:r>
      <w:r w:rsidRPr="00FB795E">
        <w:t>på plenarmødet den 6. oktober 2025,</w:t>
      </w:r>
    </w:p>
    <w:p w:rsidR="00CB40D0" w:rsidRPr="00FB795E" w:rsidP="00CB40D0" w14:paraId="2C981F8B" w14:textId="77777777">
      <w:pPr>
        <w:pStyle w:val="NormalHanging12a"/>
      </w:pPr>
      <w:r w:rsidRPr="00FB795E">
        <w:t>–</w:t>
      </w:r>
      <w:r w:rsidRPr="00FB795E">
        <w:tab/>
        <w:t>der har hørt Tomasz Buczek den 23. marts 2026, jf. forretningsordenens artikel 9, stk. 6, og som henviser til de dokumenter, som han fremlagde,</w:t>
      </w:r>
    </w:p>
    <w:p w:rsidR="00CB40D0" w:rsidRPr="00FB795E" w:rsidP="00CB40D0" w14:paraId="62FEF574" w14:textId="77777777">
      <w:pPr>
        <w:pStyle w:val="NormalHanging12a"/>
      </w:pPr>
      <w:r w:rsidRPr="00FB795E">
        <w:t>–</w:t>
      </w:r>
      <w:r w:rsidRPr="00FB795E">
        <w:tab/>
        <w:t>der henviser til artikel 8 og 9 i protokol nr. 7 vedrørende Den Europæiske Unions privilegier og immuniteter samt artikel 6, stk. 2, i akten af 20. september 1976 om almindelige direkte valg af medlemmerne af Europa-Parlamentet,</w:t>
      </w:r>
    </w:p>
    <w:p w:rsidR="00CB40D0" w:rsidRPr="00FB795E" w:rsidP="00CB40D0" w14:paraId="6A1B5ACD" w14:textId="77777777">
      <w:pPr>
        <w:pStyle w:val="NormalHanging12a"/>
      </w:pPr>
      <w:r w:rsidRPr="00FB795E">
        <w:t>–</w:t>
      </w:r>
      <w:r w:rsidRPr="00FB795E">
        <w:tab/>
        <w:t>der henviser til Den Europæiske Unions Domstols domme af 21. oktober 2008, 19. marts 2010, 6. september 2011, 17. januar 2013 og 19. december 2019</w:t>
      </w:r>
      <w:r>
        <w:rPr>
          <w:vertAlign w:val="superscript"/>
        </w:rPr>
        <w:footnoteReference w:id="2"/>
      </w:r>
      <w:r w:rsidRPr="00FB795E">
        <w:t>,</w:t>
      </w:r>
    </w:p>
    <w:p w:rsidR="00CB40D0" w:rsidRPr="00FB795E" w:rsidP="00CB40D0" w14:paraId="36774762" w14:textId="77777777">
      <w:pPr>
        <w:pStyle w:val="NormalHanging12a"/>
      </w:pPr>
      <w:r w:rsidRPr="00FB795E">
        <w:t>–</w:t>
      </w:r>
      <w:r w:rsidRPr="00FB795E">
        <w:tab/>
        <w:t>der henviser til artikel 105, stk. 2 og 5, i Republikken Polens forfatning,</w:t>
      </w:r>
    </w:p>
    <w:p w:rsidR="00CB40D0" w:rsidRPr="00FB795E" w:rsidP="00CB40D0" w14:paraId="18FA5D6F" w14:textId="77777777">
      <w:pPr>
        <w:pStyle w:val="NormalHanging12a"/>
      </w:pPr>
      <w:r w:rsidRPr="00FB795E">
        <w:t>–</w:t>
      </w:r>
      <w:r w:rsidRPr="00FB795E">
        <w:tab/>
        <w:t>der henviser til forretningsordenens artikel 5, stk. 2, artikel 6, stk. 1, og artikel 9,</w:t>
      </w:r>
    </w:p>
    <w:p w:rsidR="00CB40D0" w:rsidRPr="00FB795E" w:rsidP="00CB40D0" w14:paraId="57DF3534" w14:textId="77777777">
      <w:pPr>
        <w:pStyle w:val="NormalHanging12a"/>
      </w:pPr>
      <w:r w:rsidRPr="00FB795E">
        <w:t>–</w:t>
      </w:r>
      <w:r w:rsidRPr="00FB795E">
        <w:tab/>
        <w:t>der henviser til betænkning fra Retsudvalget (A10</w:t>
      </w:r>
      <w:r w:rsidRPr="00FB795E">
        <w:noBreakHyphen/>
        <w:t>0116/2026),</w:t>
      </w:r>
    </w:p>
    <w:p w:rsidR="00CB40D0" w:rsidRPr="00FB795E" w:rsidP="00CB40D0" w14:paraId="2908E97A" w14:textId="0C75D690">
      <w:pPr>
        <w:pStyle w:val="NormalHanging12a"/>
      </w:pPr>
      <w:r w:rsidRPr="00FB795E">
        <w:t>A.</w:t>
      </w:r>
      <w:r w:rsidRPr="00FB795E">
        <w:tab/>
        <w:t xml:space="preserve">der henviser til, at retten i første instans i Tarnobrzeg, 2. afdeling for straffesager, ved </w:t>
      </w:r>
      <w:r w:rsidRPr="00FB795E">
        <w:t>skrivelse af 12. september 2025 fremsendte en anmodning om ophævelse af immunitet</w:t>
      </w:r>
      <w:r w:rsidRPr="00FB795E" w:rsidR="0074665D">
        <w:t>en for Tomasz Buczek, medlem af Europa-Parlamentet valgt i Polen,</w:t>
      </w:r>
      <w:r w:rsidRPr="00FB795E">
        <w:t xml:space="preserve"> i forbindelse med et privat søgsmål anlagt mod ham for en påstået lovovertrædelse af </w:t>
      </w:r>
      <w:r w:rsidRPr="00FB795E" w:rsidR="00B77346">
        <w:t>artikel</w:t>
      </w:r>
      <w:r w:rsidRPr="00FB795E">
        <w:t xml:space="preserve"> 217, stk. 1, i polsk straffelov;</w:t>
      </w:r>
    </w:p>
    <w:p w:rsidR="00CB40D0" w:rsidRPr="00FB795E" w:rsidP="00CB40D0" w14:paraId="55F1C223" w14:textId="76DD7CD4">
      <w:pPr>
        <w:pStyle w:val="NormalHanging12a"/>
      </w:pPr>
      <w:r w:rsidRPr="00FB795E">
        <w:t>B.</w:t>
      </w:r>
      <w:r w:rsidRPr="00FB795E">
        <w:tab/>
        <w:t>der henviser til anmodningen</w:t>
      </w:r>
      <w:r w:rsidRPr="00FB795E" w:rsidR="00597491">
        <w:t xml:space="preserve"> om ophævelse af immunitetens</w:t>
      </w:r>
      <w:r w:rsidRPr="00FB795E">
        <w:t xml:space="preserve"> oplysninger om, at der den 21. september 2024 blev afholdt et vælgermøde i Tarnobrzeg med deltagelse af Tomasz Buczek; at </w:t>
      </w:r>
      <w:r w:rsidRPr="00FB795E" w:rsidR="00597491">
        <w:t xml:space="preserve">den private anklager </w:t>
      </w:r>
      <w:r w:rsidRPr="00FB795E">
        <w:t xml:space="preserve">deltog i ovennævnte møde, hvorunder vedkommende ikke mindst gav udtryk for sine synspunkter om visse politiske emner, herunder om Tomasz Buczeks aktiviteter; </w:t>
      </w:r>
      <w:r w:rsidRPr="00FB795E" w:rsidR="00597491">
        <w:t xml:space="preserve">der henviser til, </w:t>
      </w:r>
      <w:r w:rsidRPr="00FB795E">
        <w:t xml:space="preserve">at Tomasz Buczek ifølge anmodningens oplysninger skulle have revet den lille megafon, som </w:t>
      </w:r>
      <w:r w:rsidRPr="00FB795E" w:rsidR="00597491">
        <w:t xml:space="preserve">den private anklager </w:t>
      </w:r>
      <w:r w:rsidRPr="00FB795E">
        <w:t>brugte til at tale i, ud af hænderne på vedkommende</w:t>
      </w:r>
      <w:r w:rsidRPr="00FB795E" w:rsidR="00923C6B">
        <w:t>,</w:t>
      </w:r>
      <w:r w:rsidRPr="00FB795E">
        <w:t xml:space="preserve"> og</w:t>
      </w:r>
      <w:r w:rsidRPr="00FB795E" w:rsidR="00923C6B">
        <w:t xml:space="preserve"> der henviser til at</w:t>
      </w:r>
      <w:r w:rsidRPr="00FB795E">
        <w:t xml:space="preserve"> det </w:t>
      </w:r>
      <w:r w:rsidRPr="00FB795E" w:rsidR="00923C6B">
        <w:t xml:space="preserve">angiveligt var </w:t>
      </w:r>
      <w:r w:rsidRPr="00FB795E">
        <w:t>med en sådan voldsomhed, at megafonen ikke længere virker;</w:t>
      </w:r>
    </w:p>
    <w:p w:rsidR="00CB40D0" w:rsidRPr="00FB795E" w:rsidP="00CB40D0" w14:paraId="36B1AA3B" w14:textId="0C91B785">
      <w:pPr>
        <w:pStyle w:val="NormalHanging12a"/>
      </w:pPr>
      <w:r w:rsidRPr="00FB795E">
        <w:t>C.</w:t>
      </w:r>
      <w:r w:rsidRPr="00FB795E">
        <w:tab/>
        <w:t xml:space="preserve">der henviser til, at Tomasz Buczeks handling </w:t>
      </w:r>
      <w:r w:rsidRPr="00FB795E" w:rsidR="00855F1F">
        <w:t xml:space="preserve">angiveligt </w:t>
      </w:r>
      <w:r w:rsidRPr="00FB795E">
        <w:t>skulle have haft karakter af en krænkelse af den fysiske integritet som omhandlet i § 217, stk. 1, i polsk straffelov;</w:t>
      </w:r>
    </w:p>
    <w:p w:rsidR="00CB40D0" w:rsidRPr="00FB795E" w:rsidP="00CB40D0" w14:paraId="58DC7A64" w14:textId="2A0AC1A2">
      <w:pPr>
        <w:pStyle w:val="NormalHanging12a"/>
      </w:pPr>
      <w:r w:rsidRPr="00FB795E">
        <w:t>D.</w:t>
      </w:r>
      <w:r w:rsidRPr="00FB795E">
        <w:tab/>
        <w:t xml:space="preserve">der henviser til, at Tomasz Buczek blev indvalgt til Europa-Parlamentet ved valget </w:t>
      </w:r>
      <w:r w:rsidRPr="00FB795E" w:rsidR="00855F1F">
        <w:t xml:space="preserve">til Europa-Parlamentet </w:t>
      </w:r>
      <w:r w:rsidRPr="00FB795E">
        <w:t>i juni 2024, og at han</w:t>
      </w:r>
      <w:r w:rsidRPr="00FB795E" w:rsidR="00855F1F">
        <w:t xml:space="preserve"> derfor</w:t>
      </w:r>
      <w:r w:rsidRPr="00FB795E">
        <w:t xml:space="preserve"> var medlem af </w:t>
      </w:r>
      <w:r w:rsidRPr="00FB795E" w:rsidR="00855F1F">
        <w:t>Europa-Parlamentet</w:t>
      </w:r>
      <w:r w:rsidRPr="00FB795E">
        <w:t xml:space="preserve"> på tidspunktet for den påståede lovovertrædelse;</w:t>
      </w:r>
    </w:p>
    <w:p w:rsidR="00CB40D0" w:rsidRPr="00FB795E" w:rsidP="00CB40D0" w14:paraId="1D5029D1" w14:textId="79B33DFD">
      <w:pPr>
        <w:pStyle w:val="NormalHanging12a"/>
      </w:pPr>
      <w:r w:rsidRPr="00FB795E">
        <w:t>E.</w:t>
      </w:r>
      <w:r w:rsidRPr="00FB795E">
        <w:tab/>
        <w:t xml:space="preserve">der henviser til, at den formodede lovovertrædelse </w:t>
      </w:r>
      <w:r w:rsidRPr="00FB795E" w:rsidR="00946535">
        <w:t xml:space="preserve">ikke udgør, </w:t>
      </w:r>
      <w:r w:rsidRPr="00FB795E">
        <w:t xml:space="preserve">og den deraf følgende anmodning om ophævelse af Tomasz Buczeks immunitet ikke vedrører </w:t>
      </w:r>
      <w:r w:rsidRPr="00FB795E" w:rsidR="00946535">
        <w:t xml:space="preserve">en </w:t>
      </w:r>
      <w:r w:rsidRPr="00FB795E">
        <w:t>meningstilkendegivelse eller stemmeafgivelse under udøvelsen af hans hverv som omhandlet i artikel 8 i protokol nr. 7 vedrørende Den Europæiske Unions privilegier og immuniteter;</w:t>
      </w:r>
    </w:p>
    <w:p w:rsidR="00CB40D0" w:rsidRPr="00FB795E" w:rsidP="00CB40D0" w14:paraId="27610873" w14:textId="372EF468">
      <w:pPr>
        <w:pStyle w:val="NormalHanging12a"/>
      </w:pPr>
      <w:r w:rsidRPr="00FB795E">
        <w:t>F.</w:t>
      </w:r>
      <w:r w:rsidRPr="00FB795E">
        <w:tab/>
        <w:t xml:space="preserve">der henviser til, at artikel 9, stk. 1, litra a), i protokol nr. 7 vedrørende Den Europæiske Unions privilegier og immuniteter fastsætter, at </w:t>
      </w:r>
      <w:r w:rsidRPr="00FB795E" w:rsidR="00136146">
        <w:t xml:space="preserve">under </w:t>
      </w:r>
      <w:r w:rsidRPr="00FB795E">
        <w:t xml:space="preserve">Europa-Parlamentets </w:t>
      </w:r>
      <w:r w:rsidRPr="00FB795E" w:rsidR="00136146">
        <w:t xml:space="preserve">mødeperioder nyder </w:t>
      </w:r>
      <w:r w:rsidRPr="00FB795E">
        <w:t>medlemmer på deres ege</w:t>
      </w:r>
      <w:r w:rsidRPr="00FB795E" w:rsidR="00B77346">
        <w:t>n</w:t>
      </w:r>
      <w:r w:rsidRPr="00FB795E">
        <w:t xml:space="preserve"> </w:t>
      </w:r>
      <w:r w:rsidRPr="00FB795E" w:rsidR="00B77346">
        <w:t>medlemsstats</w:t>
      </w:r>
      <w:r w:rsidRPr="00FB795E">
        <w:t xml:space="preserve"> område de immuniteter, der tilstås medlemmerne af deres </w:t>
      </w:r>
      <w:r w:rsidRPr="00FB795E" w:rsidR="00B77346">
        <w:t xml:space="preserve">medlemsstats </w:t>
      </w:r>
      <w:r w:rsidRPr="00FB795E">
        <w:t>lovgivende forsamling;</w:t>
      </w:r>
    </w:p>
    <w:p w:rsidR="00CB40D0" w:rsidRPr="00FB795E" w:rsidP="00CB40D0" w14:paraId="508DEF3B" w14:textId="1F6303BD">
      <w:pPr>
        <w:pStyle w:val="NormalHanging12a"/>
      </w:pPr>
      <w:r w:rsidRPr="00FB795E">
        <w:t>G.</w:t>
      </w:r>
      <w:r w:rsidRPr="00FB795E">
        <w:tab/>
        <w:t xml:space="preserve">der henviser til, at </w:t>
      </w:r>
      <w:r w:rsidRPr="00FB795E" w:rsidR="00136146">
        <w:t>Republikken Polens</w:t>
      </w:r>
      <w:r w:rsidRPr="00FB795E">
        <w:t xml:space="preserve"> forfatnings artikel 105, stk. 2 og 5, fastsætter, at et parlamentsmedlem fra datoen for meddelelsen af valgresultatet indtil datoen for udløbet af sit mandat ikke kan retsforfølges uden den polske Sejms samtykke, og at medlemmet hverken må tilbageholdes eller anholdes uden Sejmens samtykke, medmindre vedkommende gribes på fersk gerning, og en tilbageholdelse er nødvendig for at sikre behørig viderebehandling af sagen;</w:t>
      </w:r>
    </w:p>
    <w:p w:rsidR="00CB40D0" w:rsidRPr="00FB795E" w:rsidP="00CB40D0" w14:paraId="701F80E6" w14:textId="77777777">
      <w:pPr>
        <w:pStyle w:val="NormalHanging12a"/>
      </w:pPr>
      <w:r w:rsidRPr="00FB795E">
        <w:t>H.</w:t>
      </w:r>
      <w:r w:rsidRPr="00FB795E">
        <w:tab/>
        <w:t>der henviser til, at parlamentarisk immunitet i henhold til forretningsordenens artikel 5, stk. 2, ikke er et medlems personlige privilegium, men derimod en garanti for Parlamentets uafhængighed som helhed og for dets medlemmers uafhængighed;</w:t>
      </w:r>
    </w:p>
    <w:p w:rsidR="00CB40D0" w:rsidRPr="00FB795E" w:rsidP="00CB40D0" w14:paraId="03A0E8ED" w14:textId="349327DA">
      <w:pPr>
        <w:pStyle w:val="NormalHanging12a"/>
      </w:pPr>
      <w:r w:rsidRPr="00FB795E">
        <w:t>I.</w:t>
      </w:r>
      <w:r w:rsidRPr="00FB795E">
        <w:tab/>
        <w:t>der henviser til, at formålet med</w:t>
      </w:r>
      <w:r w:rsidRPr="00FB795E" w:rsidR="00136146">
        <w:t xml:space="preserve"> den</w:t>
      </w:r>
      <w:r w:rsidRPr="00FB795E">
        <w:t xml:space="preserve"> parlamentarisk</w:t>
      </w:r>
      <w:r w:rsidRPr="00FB795E" w:rsidR="00136146">
        <w:t>e</w:t>
      </w:r>
      <w:r w:rsidRPr="00FB795E">
        <w:t xml:space="preserve"> immunitet </w:t>
      </w:r>
      <w:r w:rsidRPr="00FB795E" w:rsidR="00136146">
        <w:t>i protoko</w:t>
      </w:r>
      <w:r w:rsidRPr="00FB795E" w:rsidR="00B77346">
        <w:t>l</w:t>
      </w:r>
      <w:r w:rsidRPr="00FB795E" w:rsidR="00136146">
        <w:t xml:space="preserve"> nr. 7 vedrørende Den Europæiske Unions privilegier og immuniteter </w:t>
      </w:r>
      <w:r w:rsidRPr="00FB795E">
        <w:t>er at beskytte Parlamentet og dets medlemmer mod retsforfølgning i relation til aktiviteter, der udføres under udøvelsen af det parlamentariske hverv, og som ikke kan adskilles fra dette hverv;</w:t>
      </w:r>
    </w:p>
    <w:p w:rsidR="00CB40D0" w:rsidRPr="00FB795E" w:rsidP="00CB40D0" w14:paraId="4F1478D4" w14:textId="6EE07B09">
      <w:pPr>
        <w:pStyle w:val="NormalHanging12a"/>
      </w:pPr>
      <w:r w:rsidRPr="00FB795E">
        <w:t>J.</w:t>
      </w:r>
      <w:r w:rsidRPr="00FB795E">
        <w:tab/>
        <w:t>der henviser til, at Parlamentet i den</w:t>
      </w:r>
      <w:r w:rsidRPr="00FB795E" w:rsidR="006D201B">
        <w:t>ne</w:t>
      </w:r>
      <w:r w:rsidRPr="00FB795E">
        <w:t xml:space="preserve"> sag ikke har </w:t>
      </w:r>
      <w:r w:rsidRPr="00FB795E" w:rsidR="006D201B">
        <w:t>fundet noget bevis på</w:t>
      </w:r>
      <w:r w:rsidRPr="00FB795E">
        <w:t xml:space="preserve"> fumus persecutionis, dvs. </w:t>
      </w:r>
      <w:r w:rsidRPr="00FB795E" w:rsidR="00DC75C9">
        <w:t xml:space="preserve">at det ikke ser ud til at hensigten med det pågældende sagsanlæg er </w:t>
      </w:r>
      <w:r w:rsidRPr="00FB795E" w:rsidR="00DC75C9">
        <w:t>at skade Tomasz Buczeks politiske virksomhed som medlem af Europa-Parlamentet og dermed Parlamentets uafhængighed</w:t>
      </w:r>
      <w:r w:rsidRPr="00FB795E">
        <w:t>;</w:t>
      </w:r>
    </w:p>
    <w:p w:rsidR="00CB40D0" w:rsidRPr="00FB795E" w:rsidP="00CB40D0" w14:paraId="5F6C47B6" w14:textId="077B666C">
      <w:pPr>
        <w:pStyle w:val="NormalHanging12a"/>
      </w:pPr>
      <w:r w:rsidRPr="00FB795E">
        <w:t>K.</w:t>
      </w:r>
      <w:r w:rsidRPr="00FB795E">
        <w:tab/>
        <w:t xml:space="preserve">der henviser til, at Parlamentet </w:t>
      </w:r>
      <w:r w:rsidRPr="00FB795E" w:rsidR="008D66EF">
        <w:t xml:space="preserve">på den ene side </w:t>
      </w:r>
      <w:r w:rsidRPr="00FB795E">
        <w:t xml:space="preserve">ikke </w:t>
      </w:r>
      <w:r w:rsidRPr="00FB795E" w:rsidR="008D66EF">
        <w:t>kan sidestilles en</w:t>
      </w:r>
      <w:r w:rsidRPr="00FB795E">
        <w:t xml:space="preserve"> domstol, og </w:t>
      </w:r>
      <w:r w:rsidRPr="00FB795E" w:rsidR="008D66EF">
        <w:t>at</w:t>
      </w:r>
      <w:r w:rsidRPr="00FB795E">
        <w:t xml:space="preserve"> medlem</w:t>
      </w:r>
      <w:r w:rsidRPr="00FB795E" w:rsidR="008D66EF">
        <w:t>met på den anden side</w:t>
      </w:r>
      <w:r w:rsidRPr="00FB795E">
        <w:t xml:space="preserve"> i forbindelse med en procedure om </w:t>
      </w:r>
      <w:r w:rsidRPr="00FB795E" w:rsidR="008D66EF">
        <w:t xml:space="preserve">ophævelse af </w:t>
      </w:r>
      <w:r w:rsidRPr="00FB795E">
        <w:t>immunitet ikke betragtes som en anklaget</w:t>
      </w:r>
      <w:r>
        <w:rPr>
          <w:vertAlign w:val="superscript"/>
        </w:rPr>
        <w:footnoteReference w:id="3"/>
      </w:r>
      <w:r w:rsidRPr="00FB795E">
        <w:t>;</w:t>
      </w:r>
    </w:p>
    <w:p w:rsidR="00CB40D0" w:rsidRPr="00FB795E" w:rsidP="00CB40D0" w14:paraId="58080422" w14:textId="77777777">
      <w:pPr>
        <w:pStyle w:val="NormalHanging12a"/>
      </w:pPr>
      <w:r w:rsidRPr="00FB795E">
        <w:t>1.</w:t>
      </w:r>
      <w:r w:rsidRPr="00FB795E">
        <w:tab/>
        <w:t>beslutter at ophæve Tomasz Buczeks immunitet;</w:t>
      </w:r>
    </w:p>
    <w:p w:rsidR="0068196E" w:rsidRPr="00FB795E" w:rsidP="0068196E" w14:paraId="46935F39" w14:textId="1F9AE8D4">
      <w:pPr>
        <w:pStyle w:val="NormalHanging12a"/>
      </w:pPr>
      <w:r w:rsidRPr="00FB795E">
        <w:t>2.</w:t>
      </w:r>
      <w:r w:rsidRPr="00FB795E">
        <w:tab/>
        <w:t>pålægger sin formand straks at sende denne beslutning og det kompetente udvalgs betænkning til den kompetente polske myndighed og til Tomasz Buczek.</w:t>
      </w:r>
    </w:p>
    <w:p w:rsidR="00E365E1" w:rsidRPr="00FB795E" w:rsidP="004B039E" w14:paraId="608FD3D4" w14:textId="4307CD6D"/>
    <w:sectPr w:rsidSect="0068196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96E" w14:paraId="55123F1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96E" w14:paraId="27B58B6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96E" w14:paraId="6A640B0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B039E" w:rsidRPr="0068196E" w14:paraId="758DC203" w14:textId="77777777">
      <w:r w:rsidRPr="0068196E">
        <w:separator/>
      </w:r>
    </w:p>
  </w:footnote>
  <w:footnote w:type="continuationSeparator" w:id="1">
    <w:p w:rsidR="004B039E" w:rsidRPr="0068196E" w14:paraId="216BBE5F" w14:textId="77777777">
      <w:r w:rsidRPr="0068196E">
        <w:continuationSeparator/>
      </w:r>
    </w:p>
  </w:footnote>
  <w:footnote w:id="2">
    <w:p w:rsidR="00CB40D0" w:rsidRPr="0068196E" w:rsidP="0068196E" w14:paraId="328E5FB3" w14:textId="4FBA0670">
      <w:pPr>
        <w:pStyle w:val="FootnoteText"/>
        <w:ind w:left="567" w:hanging="567"/>
        <w:rPr>
          <w:sz w:val="24"/>
          <w:lang w:val="da-DK"/>
        </w:rPr>
      </w:pPr>
      <w:r w:rsidRPr="0068196E">
        <w:rPr>
          <w:rStyle w:val="FootnoteReference"/>
          <w:sz w:val="24"/>
          <w:lang w:val="da-DK"/>
        </w:rPr>
        <w:footnoteRef/>
      </w:r>
      <w:r w:rsidRPr="0068196E" w:rsidR="0068196E">
        <w:rPr>
          <w:sz w:val="24"/>
          <w:lang w:val="da-DK"/>
        </w:rPr>
        <w:t xml:space="preserve"> </w:t>
      </w:r>
      <w:r w:rsidRPr="0068196E" w:rsidR="0068196E">
        <w:rPr>
          <w:sz w:val="24"/>
          <w:lang w:val="da-DK"/>
        </w:rPr>
        <w:tab/>
      </w:r>
      <w:r w:rsidRPr="0068196E">
        <w:rPr>
          <w:sz w:val="24"/>
          <w:lang w:val="da-DK"/>
        </w:rPr>
        <w:t>Domstolens dom af 21. oktober 2008, Marra mod De Gregorio og Clemente, C-200/07 og C-201/07, ECLI:EU:C:2008:579; Rettens dom af 19. marts 2010, Gollnisch mod Parlamentet, T-42/06, ECLI:EU:T:2010:102; Domstolens dom af 6. september 2011, Patriciello, C-163/10, ECLI: EU:C:2011:543; Rettens dom af 17. januar 2013, Gollnisch mod Parlamentet, T-346/11 og T-347/11, ECLI:EU:T:2013:23; Domstolens dom af 19. december 2019, Junqueras Vies, C-502/19, ECLI:EU:C:2019:1115.</w:t>
      </w:r>
    </w:p>
  </w:footnote>
  <w:footnote w:id="3">
    <w:p w:rsidR="00CB40D0" w:rsidRPr="0068196E" w:rsidP="0068196E" w14:paraId="1AFA3663" w14:textId="24AAE9A1">
      <w:pPr>
        <w:pStyle w:val="FootnoteText"/>
        <w:ind w:left="567" w:hanging="567"/>
        <w:rPr>
          <w:sz w:val="24"/>
          <w:lang w:val="da-DK"/>
        </w:rPr>
      </w:pPr>
      <w:r w:rsidRPr="0068196E">
        <w:rPr>
          <w:rStyle w:val="FootnoteReference"/>
          <w:sz w:val="24"/>
          <w:lang w:val="da-DK"/>
        </w:rPr>
        <w:footnoteRef/>
      </w:r>
      <w:r w:rsidRPr="0068196E" w:rsidR="0068196E">
        <w:rPr>
          <w:sz w:val="24"/>
          <w:lang w:val="da-DK"/>
        </w:rPr>
        <w:t xml:space="preserve"> </w:t>
      </w:r>
      <w:r w:rsidRPr="0068196E" w:rsidR="0068196E">
        <w:rPr>
          <w:sz w:val="24"/>
          <w:lang w:val="da-DK"/>
        </w:rPr>
        <w:tab/>
      </w:r>
      <w:r w:rsidRPr="0068196E">
        <w:rPr>
          <w:sz w:val="24"/>
          <w:lang w:val="da-DK"/>
        </w:rPr>
        <w:t>Rettens dom af 30. april 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96E" w14:paraId="52CABB2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96E" w14:paraId="0A3222C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196E" w14:paraId="1EFE00A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0548609">
    <w:abstractNumId w:val="9"/>
  </w:num>
  <w:num w:numId="2" w16cid:durableId="1137988319">
    <w:abstractNumId w:val="9"/>
  </w:num>
  <w:num w:numId="3" w16cid:durableId="1799839992">
    <w:abstractNumId w:val="7"/>
  </w:num>
  <w:num w:numId="4" w16cid:durableId="1577545842">
    <w:abstractNumId w:val="7"/>
  </w:num>
  <w:num w:numId="5" w16cid:durableId="1000817268">
    <w:abstractNumId w:val="6"/>
  </w:num>
  <w:num w:numId="6" w16cid:durableId="1992056420">
    <w:abstractNumId w:val="6"/>
  </w:num>
  <w:num w:numId="7" w16cid:durableId="71511783">
    <w:abstractNumId w:val="5"/>
  </w:num>
  <w:num w:numId="8" w16cid:durableId="264267416">
    <w:abstractNumId w:val="5"/>
  </w:num>
  <w:num w:numId="9" w16cid:durableId="1975601401">
    <w:abstractNumId w:val="4"/>
  </w:num>
  <w:num w:numId="10" w16cid:durableId="417989125">
    <w:abstractNumId w:val="4"/>
  </w:num>
  <w:num w:numId="11" w16cid:durableId="1492872516">
    <w:abstractNumId w:val="8"/>
  </w:num>
  <w:num w:numId="12" w16cid:durableId="1046370870">
    <w:abstractNumId w:val="8"/>
  </w:num>
  <w:num w:numId="13" w16cid:durableId="1278757455">
    <w:abstractNumId w:val="3"/>
  </w:num>
  <w:num w:numId="14" w16cid:durableId="1939749641">
    <w:abstractNumId w:val="3"/>
  </w:num>
  <w:num w:numId="15" w16cid:durableId="386033375">
    <w:abstractNumId w:val="2"/>
  </w:num>
  <w:num w:numId="16" w16cid:durableId="383260538">
    <w:abstractNumId w:val="2"/>
  </w:num>
  <w:num w:numId="17" w16cid:durableId="657730672">
    <w:abstractNumId w:val="1"/>
  </w:num>
  <w:num w:numId="18" w16cid:durableId="1065958196">
    <w:abstractNumId w:val="1"/>
  </w:num>
  <w:num w:numId="19" w16cid:durableId="1459300819">
    <w:abstractNumId w:val="0"/>
  </w:num>
  <w:num w:numId="20" w16cid:durableId="2133209642">
    <w:abstractNumId w:val="0"/>
  </w:num>
  <w:num w:numId="21" w16cid:durableId="1926065904">
    <w:abstractNumId w:val="9"/>
  </w:num>
  <w:num w:numId="22" w16cid:durableId="477769509">
    <w:abstractNumId w:val="7"/>
  </w:num>
  <w:num w:numId="23" w16cid:durableId="405615752">
    <w:abstractNumId w:val="6"/>
  </w:num>
  <w:num w:numId="24" w16cid:durableId="1041438189">
    <w:abstractNumId w:val="5"/>
  </w:num>
  <w:num w:numId="25" w16cid:durableId="1457600273">
    <w:abstractNumId w:val="4"/>
  </w:num>
  <w:num w:numId="26" w16cid:durableId="1151285638">
    <w:abstractNumId w:val="8"/>
  </w:num>
  <w:num w:numId="27" w16cid:durableId="1171140105">
    <w:abstractNumId w:val="3"/>
  </w:num>
  <w:num w:numId="28" w16cid:durableId="946159910">
    <w:abstractNumId w:val="2"/>
  </w:num>
  <w:num w:numId="29" w16cid:durableId="1075323054">
    <w:abstractNumId w:val="1"/>
  </w:num>
  <w:num w:numId="30" w16cid:durableId="689381975">
    <w:abstractNumId w:val="0"/>
  </w:num>
  <w:num w:numId="31" w16cid:durableId="1807551955">
    <w:abstractNumId w:val="9"/>
  </w:num>
  <w:num w:numId="32" w16cid:durableId="1156654186">
    <w:abstractNumId w:val="7"/>
  </w:num>
  <w:num w:numId="33" w16cid:durableId="540557058">
    <w:abstractNumId w:val="6"/>
  </w:num>
  <w:num w:numId="34" w16cid:durableId="1312520291">
    <w:abstractNumId w:val="5"/>
  </w:num>
  <w:num w:numId="35" w16cid:durableId="460728975">
    <w:abstractNumId w:val="4"/>
  </w:num>
  <w:num w:numId="36" w16cid:durableId="1158301727">
    <w:abstractNumId w:val="8"/>
  </w:num>
  <w:num w:numId="37" w16cid:durableId="76290417">
    <w:abstractNumId w:val="3"/>
  </w:num>
  <w:num w:numId="38" w16cid:durableId="697700946">
    <w:abstractNumId w:val="2"/>
  </w:num>
  <w:num w:numId="39" w16cid:durableId="1837840353">
    <w:abstractNumId w:val="1"/>
  </w:num>
  <w:num w:numId="40" w16cid:durableId="787891880">
    <w:abstractNumId w:val="0"/>
  </w:num>
  <w:num w:numId="41" w16cid:durableId="1083256682">
    <w:abstractNumId w:val="10"/>
  </w:num>
  <w:num w:numId="42" w16cid:durableId="2050911649">
    <w:abstractNumId w:val="10"/>
  </w:num>
  <w:num w:numId="43" w16cid:durableId="1835028965">
    <w:abstractNumId w:val="10"/>
  </w:num>
  <w:num w:numId="44" w16cid:durableId="748621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9E"/>
    <w:rsid w:val="00002272"/>
    <w:rsid w:val="00021EB6"/>
    <w:rsid w:val="00064002"/>
    <w:rsid w:val="000677B9"/>
    <w:rsid w:val="000831BA"/>
    <w:rsid w:val="000A42CC"/>
    <w:rsid w:val="000E7DD9"/>
    <w:rsid w:val="0010095E"/>
    <w:rsid w:val="00125B37"/>
    <w:rsid w:val="00136146"/>
    <w:rsid w:val="00187494"/>
    <w:rsid w:val="001911E1"/>
    <w:rsid w:val="001F32AE"/>
    <w:rsid w:val="002767FF"/>
    <w:rsid w:val="002B18FE"/>
    <w:rsid w:val="002B5493"/>
    <w:rsid w:val="003333A9"/>
    <w:rsid w:val="00343214"/>
    <w:rsid w:val="00361C00"/>
    <w:rsid w:val="00395FA1"/>
    <w:rsid w:val="003E15D4"/>
    <w:rsid w:val="00411CCE"/>
    <w:rsid w:val="00414075"/>
    <w:rsid w:val="0041666E"/>
    <w:rsid w:val="00421060"/>
    <w:rsid w:val="00471C19"/>
    <w:rsid w:val="004867E3"/>
    <w:rsid w:val="00494A28"/>
    <w:rsid w:val="004B039E"/>
    <w:rsid w:val="004C0004"/>
    <w:rsid w:val="004C5D52"/>
    <w:rsid w:val="0050519A"/>
    <w:rsid w:val="005072A1"/>
    <w:rsid w:val="00514517"/>
    <w:rsid w:val="00545827"/>
    <w:rsid w:val="00560270"/>
    <w:rsid w:val="00565066"/>
    <w:rsid w:val="00596E73"/>
    <w:rsid w:val="00597491"/>
    <w:rsid w:val="005C2568"/>
    <w:rsid w:val="005F1B17"/>
    <w:rsid w:val="006037C0"/>
    <w:rsid w:val="006631B6"/>
    <w:rsid w:val="00680577"/>
    <w:rsid w:val="0068196E"/>
    <w:rsid w:val="006D201B"/>
    <w:rsid w:val="006F74FA"/>
    <w:rsid w:val="00731ADD"/>
    <w:rsid w:val="00734777"/>
    <w:rsid w:val="0074665D"/>
    <w:rsid w:val="00747932"/>
    <w:rsid w:val="00751A4A"/>
    <w:rsid w:val="00756632"/>
    <w:rsid w:val="00762C74"/>
    <w:rsid w:val="00786EC0"/>
    <w:rsid w:val="007D1690"/>
    <w:rsid w:val="007E22AD"/>
    <w:rsid w:val="00817416"/>
    <w:rsid w:val="00842779"/>
    <w:rsid w:val="00855F1F"/>
    <w:rsid w:val="00865F67"/>
    <w:rsid w:val="00881A7B"/>
    <w:rsid w:val="008840E5"/>
    <w:rsid w:val="00887B3E"/>
    <w:rsid w:val="008C2AC6"/>
    <w:rsid w:val="008D66EF"/>
    <w:rsid w:val="00923C6B"/>
    <w:rsid w:val="00930C23"/>
    <w:rsid w:val="0093193B"/>
    <w:rsid w:val="0094653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346"/>
    <w:rsid w:val="00BD48FE"/>
    <w:rsid w:val="00BD7BD8"/>
    <w:rsid w:val="00BE6ADC"/>
    <w:rsid w:val="00C05BFE"/>
    <w:rsid w:val="00C23CD4"/>
    <w:rsid w:val="00C61C0C"/>
    <w:rsid w:val="00C852BD"/>
    <w:rsid w:val="00C941CB"/>
    <w:rsid w:val="00CB40D0"/>
    <w:rsid w:val="00CC2357"/>
    <w:rsid w:val="00CF071A"/>
    <w:rsid w:val="00D058B8"/>
    <w:rsid w:val="00D56C11"/>
    <w:rsid w:val="00D834A0"/>
    <w:rsid w:val="00D872DF"/>
    <w:rsid w:val="00D91E21"/>
    <w:rsid w:val="00DA7FCD"/>
    <w:rsid w:val="00DC75C9"/>
    <w:rsid w:val="00DC7F20"/>
    <w:rsid w:val="00E33B40"/>
    <w:rsid w:val="00E365E1"/>
    <w:rsid w:val="00E820A4"/>
    <w:rsid w:val="00EB006A"/>
    <w:rsid w:val="00EB4772"/>
    <w:rsid w:val="00ED169E"/>
    <w:rsid w:val="00ED4235"/>
    <w:rsid w:val="00F04346"/>
    <w:rsid w:val="00F075DC"/>
    <w:rsid w:val="00F149E9"/>
    <w:rsid w:val="00F5134D"/>
    <w:rsid w:val="00F74202"/>
    <w:rsid w:val="00F87713"/>
    <w:rsid w:val="00FB4360"/>
    <w:rsid w:val="00FB795E"/>
    <w:rsid w:val="00FD0C70"/>
  </w:rsids>
  <w:docVars>
    <w:docVar w:name="dvdocse" w:val="A10-0116/2026"/>
    <w:docVar w:name="dvlangue" w:val="DA"/>
    <w:docVar w:name="dvnumam" w:val="0"/>
    <w:docVar w:name="dvpe" w:val="786.694"/>
    <w:docVar w:name="dvrapporteur" w:val="Ordfører: "/>
    <w:docVar w:name="dvtitre" w:val="Europa-Parlamentets afgørelse af 28. april 2026 om anmodning om ophævelse af Tomasz Buczeks immunitet(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4D247F"/>
  <w15:chartTrackingRefBased/>
  <w15:docId w15:val="{92AFEC93-1FB0-48E0-B985-E15D90BD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B40D0"/>
    <w:pPr>
      <w:spacing w:after="240"/>
      <w:ind w:left="567" w:hanging="567"/>
    </w:pPr>
  </w:style>
  <w:style w:type="paragraph" w:customStyle="1" w:styleId="EPComma">
    <w:name w:val="EPComma"/>
    <w:basedOn w:val="Normal"/>
    <w:rsid w:val="00CB40D0"/>
    <w:pPr>
      <w:spacing w:before="480" w:after="240"/>
    </w:pPr>
  </w:style>
  <w:style w:type="paragraph" w:styleId="Revision">
    <w:name w:val="Revision"/>
    <w:hidden/>
    <w:uiPriority w:val="99"/>
    <w:semiHidden/>
    <w:rsid w:val="00E33B40"/>
    <w:rPr>
      <w:sz w:val="24"/>
      <w:lang w:val="da-DK"/>
    </w:rPr>
  </w:style>
  <w:style w:type="character" w:styleId="CommentReference">
    <w:name w:val="annotation reference"/>
    <w:basedOn w:val="DefaultParagraphFont"/>
    <w:rsid w:val="0074665D"/>
    <w:rPr>
      <w:sz w:val="16"/>
      <w:szCs w:val="16"/>
    </w:rPr>
  </w:style>
  <w:style w:type="paragraph" w:styleId="CommentText">
    <w:name w:val="annotation text"/>
    <w:basedOn w:val="Normal"/>
    <w:link w:val="CommentTextChar"/>
    <w:rsid w:val="0074665D"/>
    <w:rPr>
      <w:sz w:val="20"/>
    </w:rPr>
  </w:style>
  <w:style w:type="character" w:customStyle="1" w:styleId="CommentTextChar">
    <w:name w:val="Comment Text Char"/>
    <w:basedOn w:val="DefaultParagraphFont"/>
    <w:link w:val="CommentText"/>
    <w:rsid w:val="0074665D"/>
    <w:rPr>
      <w:lang w:val="da-DK"/>
    </w:rPr>
  </w:style>
  <w:style w:type="paragraph" w:styleId="CommentSubject">
    <w:name w:val="annotation subject"/>
    <w:basedOn w:val="CommentText"/>
    <w:next w:val="CommentText"/>
    <w:link w:val="CommentSubjectChar"/>
    <w:rsid w:val="0074665D"/>
    <w:rPr>
      <w:b/>
      <w:bCs/>
    </w:rPr>
  </w:style>
  <w:style w:type="character" w:customStyle="1" w:styleId="CommentSubjectChar">
    <w:name w:val="Comment Subject Char"/>
    <w:basedOn w:val="CommentTextChar"/>
    <w:link w:val="CommentSubject"/>
    <w:rsid w:val="0074665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792</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2026-04-28T09:46:00Z</dcterms:created>
  <dcterms:modified xsi:type="dcterms:W3CDTF">2026-04-28T10:37:00Z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A10-0116/2026</vt:lpwstr>
  </property>
  <property fmtid="{D5CDD505-2E9C-101B-9397-08002B2CF9AE}" pid="4" name="&lt;Type&gt;">
    <vt:lpwstr>RR</vt:lpwstr>
  </property>
</Properties>
</file>