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94ED1C8" w14:textId="77777777" w:rsidTr="0010095E">
        <w:tblPrEx>
          <w:tblW w:w="9072" w:type="dxa"/>
          <w:tblLook w:val="01E0"/>
        </w:tblPrEx>
        <w:trPr>
          <w:trHeight w:hRule="exact" w:val="1418"/>
        </w:trPr>
        <w:tc>
          <w:tcPr>
            <w:tcW w:w="6804" w:type="dxa"/>
            <w:shd w:val="clear" w:color="auto" w:fill="auto"/>
            <w:vAlign w:val="center"/>
          </w:tcPr>
          <w:p w:rsidR="00751A4A" w:rsidRPr="00224926" w:rsidP="0010095E" w14:paraId="0C6939F9" w14:textId="77777777">
            <w:pPr>
              <w:pStyle w:val="EPName"/>
            </w:pPr>
            <w:r w:rsidRPr="00224926">
              <w:t>Ευρωπαϊκό Κοινοβούλιο</w:t>
            </w:r>
          </w:p>
          <w:p w:rsidR="00751A4A" w:rsidRPr="00224926" w:rsidP="005F1B17" w14:paraId="3BE1BA22" w14:textId="77777777">
            <w:pPr>
              <w:pStyle w:val="EPTerm"/>
              <w:rPr>
                <w:rStyle w:val="HideTWBExt"/>
                <w:noProof w:val="0"/>
                <w:vanish w:val="0"/>
                <w:color w:val="auto"/>
              </w:rPr>
            </w:pPr>
            <w:r w:rsidRPr="00224926">
              <w:t>2024</w:t>
            </w:r>
            <w:r w:rsidRPr="00224926" w:rsidR="00817416">
              <w:t>-202</w:t>
            </w:r>
            <w:r w:rsidRPr="00224926">
              <w:t>9</w:t>
            </w:r>
          </w:p>
        </w:tc>
        <w:tc>
          <w:tcPr>
            <w:tcW w:w="2268" w:type="dxa"/>
            <w:shd w:val="clear" w:color="auto" w:fill="auto"/>
          </w:tcPr>
          <w:p w:rsidR="00751A4A" w:rsidRPr="00224926" w:rsidP="0010095E" w14:paraId="5DAE786D" w14:textId="77777777">
            <w:pPr>
              <w:pStyle w:val="EPLogo"/>
            </w:pPr>
            <w:r w:rsidRPr="0022492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24926" w:rsidP="004C5D52" w14:paraId="2FD29384" w14:textId="77777777">
      <w:pPr>
        <w:pStyle w:val="LineTop"/>
      </w:pPr>
    </w:p>
    <w:p w:rsidR="00680577" w:rsidRPr="00224926" w:rsidP="00680577" w14:paraId="3C71E8B9" w14:textId="77777777">
      <w:pPr>
        <w:pStyle w:val="EPBodyTA1"/>
      </w:pPr>
      <w:r w:rsidRPr="00224926">
        <w:t>ΚΕΙΜΕΝΑ ΠΟΥ ΕΓΚΡΙΘΗΚΑΝ</w:t>
      </w:r>
    </w:p>
    <w:p w:rsidR="00D058B8" w:rsidRPr="00224926" w:rsidP="00D058B8" w14:paraId="78F9DCC4" w14:textId="77777777">
      <w:pPr>
        <w:pStyle w:val="LineBottom"/>
      </w:pPr>
    </w:p>
    <w:p w:rsidR="007066ED" w:rsidRPr="00224926" w:rsidP="007066ED" w14:paraId="24974A0F" w14:textId="2EF37647">
      <w:pPr>
        <w:pStyle w:val="ATHeading1"/>
      </w:pPr>
      <w:bookmarkStart w:id="0" w:name="TANumber"/>
      <w:r w:rsidRPr="00224926">
        <w:t>P10_TA(2026)0</w:t>
      </w:r>
      <w:r w:rsidR="002257DD">
        <w:t>107</w:t>
      </w:r>
      <w:bookmarkEnd w:id="0"/>
    </w:p>
    <w:p w:rsidR="007066ED" w:rsidRPr="00224926" w:rsidP="007066ED" w14:paraId="5B00E8DB" w14:textId="77777777">
      <w:pPr>
        <w:pStyle w:val="ATHeading2"/>
      </w:pPr>
      <w:bookmarkStart w:id="1" w:name="title"/>
      <w:r w:rsidRPr="00224926">
        <w:t xml:space="preserve">Αίτημα για την άρση της ασυλίας του </w:t>
      </w:r>
      <w:r w:rsidRPr="00224926">
        <w:t>Tomasz</w:t>
      </w:r>
      <w:r w:rsidRPr="00224926">
        <w:t xml:space="preserve"> </w:t>
      </w:r>
      <w:r w:rsidRPr="00224926">
        <w:t>Buczek</w:t>
      </w:r>
      <w:bookmarkEnd w:id="1"/>
    </w:p>
    <w:p w:rsidR="007066ED" w:rsidRPr="00224926" w:rsidP="007066ED" w14:paraId="4CF1F75E" w14:textId="77777777">
      <w:pPr>
        <w:rPr>
          <w:i/>
          <w:vanish/>
        </w:rPr>
      </w:pPr>
      <w:r>
        <w:rPr>
          <w:i/>
        </w:rPr>
        <w:fldChar w:fldCharType="begin"/>
      </w:r>
      <w:r w:rsidRPr="00224926">
        <w:rPr>
          <w:i/>
        </w:rPr>
        <w:instrText xml:space="preserve"> TC"(</w:instrText>
      </w:r>
      <w:bookmarkStart w:id="2" w:name="DocNumber"/>
      <w:r w:rsidRPr="00224926">
        <w:rPr>
          <w:i/>
        </w:rPr>
        <w:instrText>A10-0116/2026</w:instrText>
      </w:r>
      <w:bookmarkEnd w:id="2"/>
      <w:r w:rsidRPr="00224926">
        <w:rPr>
          <w:i/>
        </w:rPr>
        <w:instrText xml:space="preserve"> - Εισηγητής: </w:instrText>
      </w:r>
      <w:r w:rsidRPr="00224926">
        <w:rPr>
          <w:i/>
        </w:rPr>
        <w:instrText>David</w:instrText>
      </w:r>
      <w:r w:rsidRPr="00224926">
        <w:rPr>
          <w:i/>
        </w:rPr>
        <w:instrText xml:space="preserve"> </w:instrText>
      </w:r>
      <w:r w:rsidRPr="00224926">
        <w:rPr>
          <w:i/>
        </w:rPr>
        <w:instrText>Cormand</w:instrText>
      </w:r>
      <w:r w:rsidRPr="00224926">
        <w:rPr>
          <w:i/>
        </w:rPr>
        <w:instrText xml:space="preserve">)"\l3 \n&gt; \* MERGEFORMAT </w:instrText>
      </w:r>
      <w:r>
        <w:rPr>
          <w:i/>
        </w:rPr>
        <w:fldChar w:fldCharType="end"/>
      </w:r>
    </w:p>
    <w:p w:rsidR="007066ED" w:rsidRPr="00224926" w:rsidP="007066ED" w14:paraId="79ABBADE" w14:textId="77777777">
      <w:pPr>
        <w:rPr>
          <w:vanish/>
        </w:rPr>
      </w:pPr>
      <w:bookmarkStart w:id="3" w:name="Commission"/>
      <w:r w:rsidRPr="00224926">
        <w:rPr>
          <w:vanish/>
        </w:rPr>
        <w:t>Επιτροπή Νομικών Θεμάτων</w:t>
      </w:r>
      <w:bookmarkEnd w:id="3"/>
    </w:p>
    <w:p w:rsidR="007066ED" w:rsidRPr="00224926" w:rsidP="007066ED" w14:paraId="4C2CE22A" w14:textId="77777777">
      <w:pPr>
        <w:rPr>
          <w:vanish/>
        </w:rPr>
      </w:pPr>
      <w:bookmarkStart w:id="4" w:name="PE"/>
      <w:r w:rsidRPr="00224926">
        <w:rPr>
          <w:vanish/>
        </w:rPr>
        <w:t>PE786.694</w:t>
      </w:r>
      <w:bookmarkEnd w:id="4"/>
    </w:p>
    <w:p w:rsidR="007066ED" w:rsidRPr="00224926" w:rsidP="007066ED" w14:paraId="70ED477C" w14:textId="24A2CB11">
      <w:pPr>
        <w:pStyle w:val="ATHeading3"/>
      </w:pPr>
      <w:bookmarkStart w:id="5" w:name="Sujet"/>
      <w:r w:rsidRPr="00224926">
        <w:t xml:space="preserve">Απόφαση του Ευρωπαϊκού Κοινοβουλίου της </w:t>
      </w:r>
      <w:r w:rsidR="00D8515B">
        <w:t>28</w:t>
      </w:r>
      <w:r w:rsidR="00910969">
        <w:t>ης Απριλίου</w:t>
      </w:r>
      <w:r w:rsidRPr="00224926">
        <w:t xml:space="preserve"> 2026 σχετικά με το αίτημα για την άρση της ασυλίας του </w:t>
      </w:r>
      <w:r w:rsidRPr="00224926">
        <w:t>Tomasz</w:t>
      </w:r>
      <w:r w:rsidRPr="00224926">
        <w:t xml:space="preserve"> </w:t>
      </w:r>
      <w:r w:rsidRPr="00224926">
        <w:t>Buczek</w:t>
      </w:r>
      <w:bookmarkEnd w:id="5"/>
      <w:r w:rsidRPr="00224926">
        <w:t xml:space="preserve"> </w:t>
      </w:r>
      <w:bookmarkStart w:id="6" w:name="References"/>
      <w:r w:rsidRPr="00224926">
        <w:t>(2025/2193(IMM))</w:t>
      </w:r>
      <w:bookmarkEnd w:id="6"/>
    </w:p>
    <w:p w:rsidR="00B26568" w:rsidRPr="00224926" w:rsidP="00B26568" w14:paraId="4FD83BB1" w14:textId="77777777">
      <w:pPr>
        <w:pStyle w:val="EPComma"/>
      </w:pPr>
      <w:bookmarkStart w:id="7" w:name="TextBodyBegin"/>
      <w:bookmarkEnd w:id="7"/>
      <w:r w:rsidRPr="00224926">
        <w:rPr>
          <w:i/>
        </w:rPr>
        <w:t>Το Ευρωπαϊκό Κοινοβούλιο</w:t>
      </w:r>
      <w:r w:rsidRPr="00224926">
        <w:t>,</w:t>
      </w:r>
    </w:p>
    <w:p w:rsidR="00B26568" w:rsidRPr="00224926" w:rsidP="00910969" w14:paraId="3576DD3A" w14:textId="3F5430A3">
      <w:pPr>
        <w:pStyle w:val="NormalHanging12a"/>
        <w:widowControl/>
      </w:pPr>
      <w:r w:rsidRPr="00224926">
        <w:t>–</w:t>
      </w:r>
      <w:r w:rsidRPr="00224926">
        <w:tab/>
        <w:t xml:space="preserve">έχοντας υπόψη το αίτημα για την άρση της ασυλίας του </w:t>
      </w:r>
      <w:r w:rsidRPr="00224926">
        <w:t>Tomasz</w:t>
      </w:r>
      <w:r w:rsidRPr="00224926">
        <w:t xml:space="preserve"> </w:t>
      </w:r>
      <w:r w:rsidRPr="00224926">
        <w:t>Buczek</w:t>
      </w:r>
      <w:r w:rsidRPr="00224926">
        <w:t xml:space="preserve">, που </w:t>
      </w:r>
      <w:r w:rsidR="001E6697">
        <w:t>υπέβαλε</w:t>
      </w:r>
      <w:r w:rsidRPr="00224926">
        <w:t xml:space="preserve"> το περιφερειακό δικαστήριο του </w:t>
      </w:r>
      <w:r w:rsidRPr="00224926">
        <w:t>Tarnobrzeg</w:t>
      </w:r>
      <w:r w:rsidR="001E6697">
        <w:t>,</w:t>
      </w:r>
      <w:r w:rsidRPr="00224926">
        <w:t xml:space="preserve"> δεύτερο ποινικό τμήμα, </w:t>
      </w:r>
      <w:r w:rsidR="00D8515B">
        <w:t xml:space="preserve">με επιστολή με ημερομηνία </w:t>
      </w:r>
      <w:r w:rsidRPr="00224926">
        <w:t>12</w:t>
      </w:r>
      <w:r w:rsidR="00910969">
        <w:t> </w:t>
      </w:r>
      <w:r w:rsidRPr="00224926">
        <w:t>Σεπτεμβρίου 2025</w:t>
      </w:r>
      <w:r w:rsidR="00D8515B">
        <w:t>,</w:t>
      </w:r>
      <w:r w:rsidRPr="00224926">
        <w:t xml:space="preserve"> σε συνάρτηση με ποινική διαδικασία που κινήθηκε εις βάρος του κατόπιν της κατάθεσης του σχετικού κατηγορητηρίου από το</w:t>
      </w:r>
      <w:r w:rsidR="001E6697">
        <w:t xml:space="preserve"> νόμιμο εκπρόσωπο</w:t>
      </w:r>
      <w:r w:rsidRPr="00224926">
        <w:t xml:space="preserve"> του θύματος, και το οποίο ανακοινώθηκε στην Ολομέλεια στις 6 Οκτωβρίου 2025,</w:t>
      </w:r>
    </w:p>
    <w:p w:rsidR="00B26568" w:rsidRPr="00224926" w:rsidP="00910969" w14:paraId="2C11D170" w14:textId="1BDAACDE">
      <w:pPr>
        <w:pStyle w:val="NormalHanging12a"/>
        <w:widowControl/>
      </w:pPr>
      <w:r w:rsidRPr="00224926">
        <w:t>–</w:t>
      </w:r>
      <w:r w:rsidRPr="00224926">
        <w:tab/>
        <w:t xml:space="preserve">έχοντας ακούσει τον </w:t>
      </w:r>
      <w:r w:rsidRPr="00224926">
        <w:t>Tomasz</w:t>
      </w:r>
      <w:r w:rsidRPr="00224926">
        <w:t> </w:t>
      </w:r>
      <w:r w:rsidRPr="00224926">
        <w:t>Buczek</w:t>
      </w:r>
      <w:r w:rsidRPr="00224926">
        <w:t>, στις 23 Μαρτίου 2026 και έχοντας υπόψη τα έγγραφα που αυτός προσκόμισε,</w:t>
      </w:r>
      <w:r w:rsidR="00D8515B">
        <w:t xml:space="preserve"> </w:t>
      </w:r>
      <w:r w:rsidRPr="00224926" w:rsidR="00D8515B">
        <w:t>σύμφωνα με το άρθρο 9 παράγραφος 6 του Κανονισμού του</w:t>
      </w:r>
      <w:r w:rsidR="00D8515B">
        <w:t>,</w:t>
      </w:r>
    </w:p>
    <w:p w:rsidR="00B26568" w:rsidRPr="00224926" w:rsidP="00910969" w14:paraId="429C8796" w14:textId="77777777">
      <w:pPr>
        <w:pStyle w:val="NormalHanging12a"/>
        <w:widowControl/>
      </w:pPr>
      <w:r w:rsidRPr="00224926">
        <w:t>–</w:t>
      </w:r>
      <w:r w:rsidRPr="00224926">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B26568" w:rsidRPr="00224926" w:rsidP="00910969" w14:paraId="0A0A4D6D" w14:textId="77777777">
      <w:pPr>
        <w:pStyle w:val="NormalHanging12a"/>
        <w:widowControl/>
      </w:pPr>
      <w:r w:rsidRPr="00224926">
        <w:t>–</w:t>
      </w:r>
      <w:r w:rsidRPr="00224926">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Pr>
          <w:vertAlign w:val="superscript"/>
        </w:rPr>
        <w:footnoteReference w:id="2"/>
      </w:r>
      <w:r w:rsidRPr="00224926">
        <w:t>,</w:t>
      </w:r>
    </w:p>
    <w:p w:rsidR="00B26568" w:rsidRPr="00224926" w:rsidP="00910969" w14:paraId="48491076" w14:textId="77777777">
      <w:pPr>
        <w:pStyle w:val="NormalHanging12a"/>
        <w:widowControl/>
      </w:pPr>
      <w:r w:rsidRPr="00224926">
        <w:t>–</w:t>
      </w:r>
      <w:r w:rsidRPr="00224926">
        <w:tab/>
        <w:t>έχοντας υπόψη το άρθρο 105 παράγραφοι 2 και 5 του Συντάγματος της Δημοκρατίας της Πολωνίας,</w:t>
      </w:r>
    </w:p>
    <w:p w:rsidR="00B26568" w:rsidRPr="00224926" w:rsidP="00910969" w14:paraId="36094BBF" w14:textId="77777777">
      <w:pPr>
        <w:pStyle w:val="NormalHanging12a"/>
        <w:widowControl/>
      </w:pPr>
      <w:r w:rsidRPr="00224926">
        <w:t>–</w:t>
      </w:r>
      <w:r w:rsidRPr="00224926">
        <w:tab/>
        <w:t>έχοντας υπόψη το άρθρο 5 παράγραφος 2, το άρθρο 6 παράγραφος 1 και το άρθρο 9 του Κανονισμού του,</w:t>
      </w:r>
    </w:p>
    <w:p w:rsidR="00B26568" w:rsidRPr="00224926" w:rsidP="00910969" w14:paraId="1DAB9FCD" w14:textId="77777777">
      <w:pPr>
        <w:pStyle w:val="NormalHanging12a"/>
        <w:widowControl/>
      </w:pPr>
      <w:r w:rsidRPr="00224926">
        <w:t>–</w:t>
      </w:r>
      <w:r w:rsidRPr="00224926">
        <w:tab/>
        <w:t>έχοντας υπόψη την έκθεση της Επιτροπής Νομικών Θεμάτων (A10-0116/2026),</w:t>
      </w:r>
    </w:p>
    <w:p w:rsidR="00B26568" w:rsidRPr="00224926" w:rsidP="00910969" w14:paraId="5C1E44E7" w14:textId="682CEE28">
      <w:pPr>
        <w:pStyle w:val="NormalHanging12a"/>
        <w:widowControl/>
      </w:pPr>
      <w:r w:rsidRPr="00224926">
        <w:t>Α.</w:t>
      </w:r>
      <w:r w:rsidRPr="00224926">
        <w:tab/>
        <w:t xml:space="preserve">λαμβάνοντας υπόψη ότι, με επιστολή </w:t>
      </w:r>
      <w:r w:rsidR="00D8515B">
        <w:t xml:space="preserve">με ημερομηνία </w:t>
      </w:r>
      <w:r w:rsidRPr="00224926">
        <w:t xml:space="preserve">12 Σεπτεμβρίου 2025, το περιφερειακό δικαστήριο του </w:t>
      </w:r>
      <w:r w:rsidRPr="00224926">
        <w:t>Tarnobrzeg</w:t>
      </w:r>
      <w:r w:rsidRPr="00224926">
        <w:t xml:space="preserve">, δεύτερο ποινικό τμήμα, </w:t>
      </w:r>
      <w:r w:rsidR="00D8515B">
        <w:t>υπέβαλε</w:t>
      </w:r>
      <w:r w:rsidRPr="00224926" w:rsidR="00D8515B">
        <w:t xml:space="preserve"> </w:t>
      </w:r>
      <w:r w:rsidRPr="00224926">
        <w:t xml:space="preserve">αίτημα για την άρση της ασυλίας του </w:t>
      </w:r>
      <w:r w:rsidRPr="00224926">
        <w:t>Tomasz</w:t>
      </w:r>
      <w:r w:rsidRPr="00224926">
        <w:t xml:space="preserve"> </w:t>
      </w:r>
      <w:r w:rsidRPr="00224926">
        <w:t>Buczek</w:t>
      </w:r>
      <w:r w:rsidR="00D8515B">
        <w:t>, βουλε</w:t>
      </w:r>
      <w:r w:rsidR="001E6697">
        <w:t>υ</w:t>
      </w:r>
      <w:r w:rsidR="00D8515B">
        <w:t>τή του Ευρωπαϊκού Κοινοβουλίου</w:t>
      </w:r>
      <w:r w:rsidRPr="00224926">
        <w:t xml:space="preserve"> </w:t>
      </w:r>
      <w:r w:rsidR="00D8515B">
        <w:t xml:space="preserve">που εξελέγη στην Πολωνία, </w:t>
      </w:r>
      <w:r w:rsidRPr="00224926">
        <w:t xml:space="preserve">σε συνάρτηση με ιδιωτικό κατηγορητήριο που κατατέθηκε εις βάρος του για </w:t>
      </w:r>
      <w:r w:rsidR="001E6697">
        <w:t>φερ</w:t>
      </w:r>
      <w:r w:rsidRPr="00224926">
        <w:t>όμενο</w:t>
      </w:r>
      <w:r w:rsidR="001E6697">
        <w:t xml:space="preserve"> ως διαπραχθέν</w:t>
      </w:r>
      <w:r w:rsidRPr="00224926">
        <w:t xml:space="preserve"> αδίκημα σύμφωνα με το άρθρο 217 παράγραφος 1 του πολωνικού ποινικού κώδικα·</w:t>
      </w:r>
    </w:p>
    <w:p w:rsidR="00B26568" w:rsidRPr="00224926" w:rsidP="00910969" w14:paraId="10462C0F" w14:textId="1E67E9CB">
      <w:pPr>
        <w:pStyle w:val="NormalHanging12a"/>
        <w:widowControl/>
      </w:pPr>
      <w:r w:rsidRPr="00224926">
        <w:t>Β.</w:t>
      </w:r>
      <w:r w:rsidRPr="00224926">
        <w:tab/>
        <w:t>λαμβάνοντας υπόψη ότι, σύμφωνα με το αίτημα για την άρση της ασυλίας, στις 21</w:t>
      </w:r>
      <w:r w:rsidR="00910969">
        <w:t> </w:t>
      </w:r>
      <w:r w:rsidRPr="00224926">
        <w:t xml:space="preserve">Σεπτεμβρίου 2024 πραγματοποιήθηκε εκλογική συγκέντρωση στο </w:t>
      </w:r>
      <w:r w:rsidRPr="00224926">
        <w:t>Tarnobrzeg</w:t>
      </w:r>
      <w:r w:rsidRPr="00224926">
        <w:t xml:space="preserve"> παρουσία του </w:t>
      </w:r>
      <w:r w:rsidRPr="00224926">
        <w:t>Tomasz</w:t>
      </w:r>
      <w:r w:rsidRPr="00224926">
        <w:t xml:space="preserve"> </w:t>
      </w:r>
      <w:r w:rsidRPr="00224926">
        <w:t>Buczek</w:t>
      </w:r>
      <w:r w:rsidRPr="00224926">
        <w:t xml:space="preserve">· λαμβάνοντας υπόψη ότι το θύμα συμμετείχε στην προαναφερθείσα συγκέντρωση και, ειδικότερα, εξέφρασε τις απόψεις του επί πολιτικών θεμάτων, συμπεριλαμβανομένων των δραστηριοτήτων του </w:t>
      </w:r>
      <w:r w:rsidRPr="00224926">
        <w:t>Tomasz</w:t>
      </w:r>
      <w:r w:rsidRPr="00224926">
        <w:t xml:space="preserve"> </w:t>
      </w:r>
      <w:r w:rsidRPr="00224926">
        <w:t>Buczek</w:t>
      </w:r>
      <w:r w:rsidRPr="00224926">
        <w:t xml:space="preserve">· λαμβάνοντας υπόψη ότι, σύμφωνα με το αίτημα, ο </w:t>
      </w:r>
      <w:r w:rsidRPr="00224926">
        <w:t>Tomasz</w:t>
      </w:r>
      <w:r w:rsidRPr="00224926">
        <w:t xml:space="preserve"> </w:t>
      </w:r>
      <w:r w:rsidRPr="00224926">
        <w:t>Buczek</w:t>
      </w:r>
      <w:r w:rsidRPr="00224926">
        <w:t xml:space="preserve"> </w:t>
      </w:r>
      <w:r w:rsidR="00D8515B">
        <w:t xml:space="preserve">φέρεται </w:t>
      </w:r>
      <w:r w:rsidR="001E6697">
        <w:t>ότι</w:t>
      </w:r>
      <w:r w:rsidR="00D8515B">
        <w:t xml:space="preserve"> </w:t>
      </w:r>
      <w:r w:rsidRPr="00224926">
        <w:t xml:space="preserve">τράβηξε το μικρό μεγάφωνο που κρατούσε </w:t>
      </w:r>
      <w:r w:rsidR="001E6697">
        <w:t>σ</w:t>
      </w:r>
      <w:r w:rsidRPr="00224926">
        <w:t>τ</w:t>
      </w:r>
      <w:r w:rsidR="001E6697">
        <w:t>α</w:t>
      </w:r>
      <w:r w:rsidRPr="00224926">
        <w:t xml:space="preserve"> χέρι</w:t>
      </w:r>
      <w:r w:rsidR="001E6697">
        <w:t>α</w:t>
      </w:r>
      <w:r w:rsidRPr="00224926">
        <w:t xml:space="preserve"> του το θύμα για να ακούγεται</w:t>
      </w:r>
      <w:r w:rsidR="00D8515B">
        <w:t>,</w:t>
      </w:r>
      <w:r w:rsidRPr="00224926">
        <w:t xml:space="preserve"> και </w:t>
      </w:r>
      <w:r w:rsidR="00D8515B">
        <w:t xml:space="preserve">λαμβάνοντας υπόψη </w:t>
      </w:r>
      <w:r w:rsidRPr="00224926">
        <w:t xml:space="preserve">ότι η κίνηση αυτή </w:t>
      </w:r>
      <w:r w:rsidR="00D8515B">
        <w:t xml:space="preserve">φέρεται </w:t>
      </w:r>
      <w:r w:rsidR="001E6697">
        <w:t>ότι</w:t>
      </w:r>
      <w:r w:rsidR="00D8515B">
        <w:t xml:space="preserve"> </w:t>
      </w:r>
      <w:r w:rsidRPr="00224926">
        <w:t>ήταν τόσο βίαιη που το μεγάφωνο έπαυσε να λειτουργεί·</w:t>
      </w:r>
    </w:p>
    <w:p w:rsidR="00B26568" w:rsidRPr="00224926" w:rsidP="00910969" w14:paraId="6F1502A1" w14:textId="1380C80C">
      <w:pPr>
        <w:pStyle w:val="NormalHanging12a"/>
        <w:widowControl/>
      </w:pPr>
      <w:r w:rsidRPr="00224926">
        <w:t>Γ.</w:t>
      </w:r>
      <w:r w:rsidRPr="00224926">
        <w:tab/>
        <w:t xml:space="preserve">λαμβάνοντας υπόψη ότι η κίνηση αυτή του </w:t>
      </w:r>
      <w:r w:rsidRPr="00224926">
        <w:t>Tomasz</w:t>
      </w:r>
      <w:r w:rsidRPr="00224926">
        <w:t xml:space="preserve"> </w:t>
      </w:r>
      <w:r w:rsidRPr="00224926">
        <w:t>Buczek</w:t>
      </w:r>
      <w:r w:rsidRPr="00224926">
        <w:t xml:space="preserve"> φέρεται </w:t>
      </w:r>
      <w:r w:rsidR="001E6697">
        <w:t>ότι</w:t>
      </w:r>
      <w:r w:rsidRPr="00224926">
        <w:t xml:space="preserve"> συνιστά αδίκημα κατά της σωματικής ακεραιότητας, όπως αναφέρεται στο άρθρο 217 παράγραφος 1 του πολωνικού ποινικού κώδικα·</w:t>
      </w:r>
    </w:p>
    <w:p w:rsidR="00B26568" w:rsidRPr="00224926" w:rsidP="00910969" w14:paraId="1412C9C3" w14:textId="4E8729C8">
      <w:pPr>
        <w:pStyle w:val="NormalHanging12a"/>
        <w:widowControl/>
      </w:pPr>
      <w:r w:rsidRPr="00224926">
        <w:t>Δ.</w:t>
      </w:r>
      <w:r w:rsidRPr="00224926">
        <w:tab/>
        <w:t xml:space="preserve">λαμβάνοντας υπόψη ότι ο </w:t>
      </w:r>
      <w:r w:rsidRPr="00224926">
        <w:t>Tomasz</w:t>
      </w:r>
      <w:r w:rsidRPr="00224926">
        <w:t xml:space="preserve"> </w:t>
      </w:r>
      <w:r w:rsidRPr="00224926">
        <w:t>Buczek</w:t>
      </w:r>
      <w:r w:rsidRPr="00224926">
        <w:t xml:space="preserve"> εξελέγη στο Ευρωπαϊκό Κοινοβούλιο στις ευρωπαϊκές εκλογές του Ιουνίου </w:t>
      </w:r>
      <w:r w:rsidR="00910969">
        <w:t xml:space="preserve">του </w:t>
      </w:r>
      <w:r w:rsidRPr="00224926">
        <w:t xml:space="preserve">2024 και ότι </w:t>
      </w:r>
      <w:r w:rsidR="00DD65E3">
        <w:t xml:space="preserve">ως εκ τούτου </w:t>
      </w:r>
      <w:r w:rsidRPr="00224926">
        <w:t xml:space="preserve">ήταν βουλευτής του Ευρωπαϊκού Κοινοβουλίου κατά τον χρόνο τέλεσης του </w:t>
      </w:r>
      <w:r w:rsidR="001E6697">
        <w:t>φερόμενου ως διαπραχθέντος</w:t>
      </w:r>
      <w:r w:rsidRPr="00224926">
        <w:t xml:space="preserve"> αδικήματος·</w:t>
      </w:r>
    </w:p>
    <w:p w:rsidR="00B26568" w:rsidRPr="00224926" w:rsidP="00910969" w14:paraId="2FD2E747" w14:textId="602C930E">
      <w:pPr>
        <w:pStyle w:val="NormalHanging12a"/>
        <w:widowControl/>
      </w:pPr>
      <w:r w:rsidRPr="00224926">
        <w:t>Ε.</w:t>
      </w:r>
      <w:r w:rsidRPr="00224926">
        <w:tab/>
        <w:t xml:space="preserve">λαμβάνοντας υπόψη ότι το </w:t>
      </w:r>
      <w:r w:rsidR="001E6697">
        <w:t>φερ</w:t>
      </w:r>
      <w:r w:rsidRPr="00224926">
        <w:t>όμενο</w:t>
      </w:r>
      <w:r w:rsidR="001E6697">
        <w:t xml:space="preserve"> ως διαπραχθέν</w:t>
      </w:r>
      <w:r w:rsidRPr="00224926">
        <w:t xml:space="preserve"> αδίκημα και το συνακόλουθο αίτημα για την άρση της ασυλίας του </w:t>
      </w:r>
      <w:r w:rsidRPr="00224926" w:rsidR="00DD65E3">
        <w:t>Tomasz</w:t>
      </w:r>
      <w:r w:rsidRPr="00224926" w:rsidR="00DD65E3">
        <w:t xml:space="preserve"> </w:t>
      </w:r>
      <w:r w:rsidRPr="00224926" w:rsidR="00DD65E3">
        <w:t>Buczek</w:t>
      </w:r>
      <w:r w:rsidRPr="00224926" w:rsidR="00DD65E3">
        <w:t xml:space="preserve"> </w:t>
      </w:r>
      <w:r w:rsidRPr="00224926">
        <w:t xml:space="preserve">δεν συνδέονται με γνώμη </w:t>
      </w:r>
      <w:r w:rsidR="001E6697">
        <w:t>εκφρασθείσα</w:t>
      </w:r>
      <w:r w:rsidR="001E6697">
        <w:t xml:space="preserve"> </w:t>
      </w:r>
      <w:r w:rsidRPr="00224926">
        <w:t>ή ψήφο δοθείσα κατά την άσκηση των καθηκόντων του κατά την έννοια του άρθρου 8 του Πρωτοκόλλου αριθ. 7 περί των προνομίων και ασυλιών της Ευρωπαϊκής Ένωσης·</w:t>
      </w:r>
    </w:p>
    <w:p w:rsidR="00B26568" w:rsidRPr="00224926" w:rsidP="00910969" w14:paraId="48FF536D" w14:textId="1593C9B1">
      <w:pPr>
        <w:pStyle w:val="NormalHanging12a"/>
        <w:widowControl/>
      </w:pPr>
      <w:r w:rsidRPr="00224926">
        <w:t>ΣΤ.</w:t>
      </w:r>
      <w:r w:rsidRPr="00224926">
        <w:tab/>
        <w:t>λαμβάνοντας υπόψη ότι</w:t>
      </w:r>
      <w:r w:rsidR="000D26EA">
        <w:t xml:space="preserve"> </w:t>
      </w:r>
      <w:r w:rsidRPr="00224926">
        <w:t>το άρθρο 9 παράγραφος 1 στοιχείο α) του Πρωτοκόλλου αριθ. 7 περί των προνομίων και ασυλιών της Ευρωπαϊκής Ένωσης</w:t>
      </w:r>
      <w:r w:rsidR="00DD65E3">
        <w:t xml:space="preserve"> ορίζει ότι κατά τη διάρκεια των συνόδων </w:t>
      </w:r>
      <w:r w:rsidRPr="00224926">
        <w:t xml:space="preserve">του Ευρωπαϊκού Κοινοβουλίου </w:t>
      </w:r>
      <w:r w:rsidR="000D26EA">
        <w:t xml:space="preserve">οι βουλευτές του </w:t>
      </w:r>
      <w:r w:rsidRPr="00224926">
        <w:t xml:space="preserve">απολαύουν, εντός της επικρατείας των κρατών </w:t>
      </w:r>
      <w:r w:rsidR="000D26EA">
        <w:t xml:space="preserve">μελών </w:t>
      </w:r>
      <w:r w:rsidRPr="00224926">
        <w:t xml:space="preserve">τους, των ασυλιών που αναγνωρίζονται στα μέλη του κοινοβουλίου </w:t>
      </w:r>
      <w:r w:rsidR="000D26EA">
        <w:t xml:space="preserve">του κράτους μέλους </w:t>
      </w:r>
      <w:r w:rsidRPr="00224926">
        <w:t>τους·</w:t>
      </w:r>
    </w:p>
    <w:p w:rsidR="00B26568" w:rsidRPr="00224926" w:rsidP="00910969" w14:paraId="06306520" w14:textId="50E90BF6">
      <w:pPr>
        <w:pStyle w:val="NormalHanging12a"/>
        <w:widowControl/>
      </w:pPr>
      <w:r w:rsidRPr="00224926">
        <w:t>Ζ.</w:t>
      </w:r>
      <w:r w:rsidRPr="00224926">
        <w:tab/>
        <w:t>λαμβάνοντας υπόψη ότι, σύμφωνα με το άρθρο 105 παράγραφοι 2 και 5 του Συντάγματος</w:t>
      </w:r>
      <w:r w:rsidR="00DD65E3">
        <w:t xml:space="preserve"> της Δημοκρατίας της Πολωνίας</w:t>
      </w:r>
      <w:r w:rsidRPr="00224926">
        <w:t xml:space="preserve">, από την ημερομηνία ανακοίνωσης των αποτελεσμάτων των εκλογών έως την ημερομηνία λήξης της θητείας τους, οι βουλευτές δεν διώκονται ποινικά, </w:t>
      </w:r>
      <w:r w:rsidR="000D26EA">
        <w:t xml:space="preserve">δεν </w:t>
      </w:r>
      <w:r w:rsidRPr="00224926">
        <w:t xml:space="preserve">κρατούνται ούτε συλλαμβάνονται χωρίς άδεια της </w:t>
      </w:r>
      <w:r w:rsidRPr="00224926">
        <w:t>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rsidR="00B26568" w:rsidRPr="00224926" w:rsidP="00910969" w14:paraId="09A43F04" w14:textId="7B1FA9D6">
      <w:pPr>
        <w:pStyle w:val="NormalHanging12a"/>
        <w:widowControl/>
      </w:pPr>
      <w:r w:rsidRPr="00224926">
        <w:t>Η.</w:t>
      </w:r>
      <w:r w:rsidRPr="00224926">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rsidR="00B26568" w:rsidRPr="00224926" w:rsidP="00910969" w14:paraId="7D122D61" w14:textId="177CB8C2">
      <w:pPr>
        <w:pStyle w:val="NormalHanging12a"/>
        <w:widowControl/>
      </w:pPr>
      <w:r w:rsidRPr="00224926">
        <w:t>Θ.</w:t>
      </w:r>
      <w:r w:rsidRPr="00224926">
        <w:tab/>
        <w:t xml:space="preserve">λαμβάνοντας υπόψη ότι σκοπός της ασυλίας </w:t>
      </w:r>
      <w:r w:rsidRPr="00606C07" w:rsidR="000D26EA">
        <w:t xml:space="preserve">που προβλέπεται στο Πρωτόκολλο αριθ. 7 περί προνομίων και ασυλιών της Ευρωπαϊκής Ένωσης </w:t>
      </w:r>
      <w:r w:rsidRPr="00224926">
        <w:t>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B26568" w:rsidRPr="00224926" w:rsidP="00910969" w14:paraId="3D63D388" w14:textId="1C4032A2">
      <w:pPr>
        <w:pStyle w:val="NormalHanging12a"/>
        <w:widowControl/>
      </w:pPr>
      <w:r w:rsidRPr="00224926">
        <w:t>Ι.</w:t>
      </w:r>
      <w:r w:rsidRPr="00224926">
        <w:tab/>
        <w:t xml:space="preserve">λαμβάνοντας υπόψη ότι, στην παρούσα υπόθεση, το Κοινοβούλιο δεν διαπίστωσε την ύπαρξη ενδείξεων περί </w:t>
      </w:r>
      <w:r w:rsidRPr="00224926">
        <w:t>fumus</w:t>
      </w:r>
      <w:r w:rsidRPr="00224926">
        <w:t xml:space="preserve"> </w:t>
      </w:r>
      <w:r w:rsidRPr="00224926">
        <w:t>persecutionis</w:t>
      </w:r>
      <w:r w:rsidRPr="00224926">
        <w:t xml:space="preserve">, δηλαδή </w:t>
      </w:r>
      <w:r w:rsidR="001E6697">
        <w:t xml:space="preserve">δεν προκύπτει ότι </w:t>
      </w:r>
      <w:r w:rsidRPr="00224926">
        <w:t>η εν λόγω δίωξη ασκείται με σκοπό να</w:t>
      </w:r>
      <w:r w:rsidR="001E6697">
        <w:t xml:space="preserve"> πληγεί η</w:t>
      </w:r>
      <w:r w:rsidRPr="00224926">
        <w:t xml:space="preserve">  πολιτική δραστηριότητα του </w:t>
      </w:r>
      <w:r w:rsidRPr="00224926">
        <w:t>Tomasz</w:t>
      </w:r>
      <w:r w:rsidRPr="00224926">
        <w:t xml:space="preserve"> </w:t>
      </w:r>
      <w:r w:rsidRPr="00224926">
        <w:t>Buczek</w:t>
      </w:r>
      <w:r w:rsidRPr="00224926">
        <w:t xml:space="preserve"> ως βουλευτή του Ευρωπαϊκού Κοινοβουλίου</w:t>
      </w:r>
      <w:r w:rsidR="00DD65E3">
        <w:t xml:space="preserve"> και, συνεπώς, να θιγεί η ανεξαρτησία του Κοινοβουλίου</w:t>
      </w:r>
      <w:r w:rsidRPr="00224926">
        <w:t>·</w:t>
      </w:r>
    </w:p>
    <w:p w:rsidR="00B26568" w:rsidRPr="00224926" w:rsidP="00910969" w14:paraId="39B6D476" w14:textId="5993128B">
      <w:pPr>
        <w:pStyle w:val="NormalHanging12a"/>
        <w:widowControl/>
      </w:pPr>
      <w:r w:rsidRPr="00224926">
        <w:t>ΙΑ.</w:t>
      </w:r>
      <w:r w:rsidRPr="00224926">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w:t>
      </w:r>
      <w:r w:rsidR="001E6697">
        <w:t xml:space="preserve"> ως</w:t>
      </w:r>
      <w:r w:rsidRPr="00224926">
        <w:t xml:space="preserve"> κατηγορούμενος</w:t>
      </w:r>
      <w:r>
        <w:rPr>
          <w:vertAlign w:val="superscript"/>
        </w:rPr>
        <w:footnoteReference w:id="3"/>
      </w:r>
      <w:r w:rsidRPr="00224926">
        <w:t>·</w:t>
      </w:r>
    </w:p>
    <w:p w:rsidR="00B26568" w:rsidRPr="00224926" w:rsidP="00910969" w14:paraId="3601745B" w14:textId="77777777">
      <w:pPr>
        <w:pStyle w:val="NormalHanging12a"/>
        <w:widowControl/>
      </w:pPr>
      <w:r w:rsidRPr="00224926">
        <w:t>1.</w:t>
      </w:r>
      <w:r w:rsidRPr="00224926">
        <w:tab/>
        <w:t xml:space="preserve">αποφασίζει να άρει την ασυλία του </w:t>
      </w:r>
      <w:r w:rsidRPr="00224926">
        <w:t>Tomasz</w:t>
      </w:r>
      <w:r w:rsidRPr="00224926">
        <w:t xml:space="preserve"> </w:t>
      </w:r>
      <w:r w:rsidRPr="00224926">
        <w:t>Buczek</w:t>
      </w:r>
      <w:r w:rsidRPr="00224926">
        <w:t>·</w:t>
      </w:r>
    </w:p>
    <w:p w:rsidR="00E365E1" w:rsidRPr="00224926" w:rsidP="00910969" w14:paraId="031ED58B" w14:textId="4207CE12">
      <w:pPr>
        <w:widowControl/>
        <w:spacing w:after="240"/>
        <w:ind w:left="567" w:hanging="567"/>
      </w:pPr>
      <w:r w:rsidRPr="00224926">
        <w:t>2.</w:t>
      </w:r>
      <w:r w:rsidRPr="00224926">
        <w:tab/>
        <w:t xml:space="preserve">αναθέτει στην Πρόεδρό του να διαβιβάσει αμελλητί την παρούσα απόφαση και την έκθεση της αρμόδιας επιτροπής του στην αρμόδια αρχή της Πολωνίας και στον </w:t>
      </w:r>
      <w:r w:rsidRPr="00224926">
        <w:t>Tomasz</w:t>
      </w:r>
      <w:r w:rsidRPr="00224926">
        <w:t xml:space="preserve"> </w:t>
      </w:r>
      <w:r w:rsidRPr="00224926">
        <w:t>Buczek</w:t>
      </w:r>
      <w:r w:rsidRPr="00224926">
        <w:t>.</w:t>
      </w:r>
    </w:p>
    <w:sectPr w:rsidSect="0022492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4926" w14:paraId="74F6AB9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4926" w14:paraId="44063CE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4926" w14:paraId="0C7447E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66ED" w:rsidRPr="00224926" w14:paraId="3B76684E" w14:textId="77777777">
      <w:r w:rsidRPr="00224926">
        <w:separator/>
      </w:r>
    </w:p>
  </w:footnote>
  <w:footnote w:type="continuationSeparator" w:id="1">
    <w:p w:rsidR="007066ED" w:rsidRPr="00224926" w14:paraId="4A0B5C17" w14:textId="77777777">
      <w:r w:rsidRPr="00224926">
        <w:continuationSeparator/>
      </w:r>
    </w:p>
  </w:footnote>
  <w:footnote w:id="2">
    <w:p w:rsidR="00B26568" w:rsidRPr="00224926" w:rsidP="00224926" w14:paraId="5F6F913C" w14:textId="4F377288">
      <w:pPr>
        <w:pStyle w:val="FootnoteText"/>
        <w:ind w:left="567" w:hanging="567"/>
        <w:rPr>
          <w:sz w:val="24"/>
          <w:lang w:val="el-GR"/>
        </w:rPr>
      </w:pPr>
      <w:r w:rsidRPr="00224926">
        <w:rPr>
          <w:rStyle w:val="FootnoteReference"/>
          <w:sz w:val="24"/>
          <w:lang w:val="el-GR"/>
        </w:rPr>
        <w:footnoteRef/>
      </w:r>
      <w:r w:rsidRPr="00224926" w:rsidR="00224926">
        <w:rPr>
          <w:sz w:val="24"/>
          <w:lang w:val="el-GR"/>
        </w:rPr>
        <w:t xml:space="preserve"> </w:t>
      </w:r>
      <w:r w:rsidRPr="00224926" w:rsidR="00224926">
        <w:rPr>
          <w:sz w:val="24"/>
          <w:lang w:val="el-GR"/>
        </w:rPr>
        <w:tab/>
      </w:r>
      <w:r w:rsidRPr="00224926">
        <w:rPr>
          <w:sz w:val="24"/>
          <w:lang w:val="el-GR"/>
        </w:rPr>
        <w:t xml:space="preserve">Απόφαση του Δικαστηρίου της 21ης Οκτωβρίου 2008, </w:t>
      </w:r>
      <w:r w:rsidRPr="00224926">
        <w:rPr>
          <w:sz w:val="24"/>
          <w:lang w:val="el-GR"/>
        </w:rPr>
        <w:t>Marra</w:t>
      </w:r>
      <w:r w:rsidRPr="00224926">
        <w:rPr>
          <w:sz w:val="24"/>
          <w:lang w:val="el-GR"/>
        </w:rPr>
        <w:t xml:space="preserve"> κατά De </w:t>
      </w:r>
      <w:r w:rsidRPr="00224926">
        <w:rPr>
          <w:sz w:val="24"/>
          <w:lang w:val="el-GR"/>
        </w:rPr>
        <w:t>Gregorio</w:t>
      </w:r>
      <w:r w:rsidRPr="00224926">
        <w:rPr>
          <w:sz w:val="24"/>
          <w:lang w:val="el-GR"/>
        </w:rPr>
        <w:t xml:space="preserve"> και </w:t>
      </w:r>
      <w:r w:rsidRPr="00224926">
        <w:rPr>
          <w:sz w:val="24"/>
          <w:lang w:val="el-GR"/>
        </w:rPr>
        <w:t>Clemente</w:t>
      </w:r>
      <w:r w:rsidRPr="00224926">
        <w:rPr>
          <w:sz w:val="24"/>
          <w:lang w:val="el-GR"/>
        </w:rPr>
        <w:t xml:space="preserve">, C-200/07 και C-201/07, ECLI:EU:C:2008:579· απόφαση του Γενικού Δικαστηρίου, της 19ης Μαρτίου 2010, </w:t>
      </w:r>
      <w:r w:rsidRPr="00224926">
        <w:rPr>
          <w:sz w:val="24"/>
          <w:lang w:val="el-GR"/>
        </w:rPr>
        <w:t>Gollnisch</w:t>
      </w:r>
      <w:r w:rsidRPr="00224926">
        <w:rPr>
          <w:sz w:val="24"/>
          <w:lang w:val="el-GR"/>
        </w:rPr>
        <w:t xml:space="preserve"> κατά Κοινοβουλίου, T-42/06, ECLI:EU:T:2010:102· απόφαση του Δικαστηρίου της 6ης Σεπτεμβρίου 2011, </w:t>
      </w:r>
      <w:r w:rsidRPr="00224926">
        <w:rPr>
          <w:sz w:val="24"/>
          <w:lang w:val="el-GR"/>
        </w:rPr>
        <w:t>Patriciello</w:t>
      </w:r>
      <w:r w:rsidRPr="00224926">
        <w:rPr>
          <w:sz w:val="24"/>
          <w:lang w:val="el-GR"/>
        </w:rPr>
        <w:t xml:space="preserve">, C-163/10, ECLI: EU:C:2011:543· απόφαση του Γενικού Δικαστηρίου της 17ης Ιανουαρίου 2013, </w:t>
      </w:r>
      <w:r w:rsidRPr="00224926">
        <w:rPr>
          <w:sz w:val="24"/>
          <w:lang w:val="el-GR"/>
        </w:rPr>
        <w:t>Gollnisch</w:t>
      </w:r>
      <w:r w:rsidRPr="00224926">
        <w:rPr>
          <w:sz w:val="24"/>
          <w:lang w:val="el-GR"/>
        </w:rPr>
        <w:t xml:space="preserve"> κατά Κοινοβουλίου, T-346/11 και T-347/11, ECLI:EU:T:2013:23· απόφαση του Δικαστηρίου, της 19ης Δεκεμβρίου 2019, </w:t>
      </w:r>
      <w:r w:rsidRPr="00224926">
        <w:rPr>
          <w:sz w:val="24"/>
          <w:lang w:val="el-GR"/>
        </w:rPr>
        <w:t>Junqueras</w:t>
      </w:r>
      <w:r w:rsidRPr="00224926">
        <w:rPr>
          <w:sz w:val="24"/>
          <w:lang w:val="el-GR"/>
        </w:rPr>
        <w:t xml:space="preserve"> </w:t>
      </w:r>
      <w:r w:rsidRPr="00224926">
        <w:rPr>
          <w:sz w:val="24"/>
          <w:lang w:val="el-GR"/>
        </w:rPr>
        <w:t>Vies</w:t>
      </w:r>
      <w:r w:rsidRPr="00224926">
        <w:rPr>
          <w:sz w:val="24"/>
          <w:lang w:val="el-GR"/>
        </w:rPr>
        <w:t>, C-502/19, ECLI:EU:C:2019:1115.</w:t>
      </w:r>
      <w:r w:rsidRPr="00224926" w:rsidR="00224926">
        <w:rPr>
          <w:sz w:val="24"/>
          <w:lang w:val="el-GR"/>
        </w:rPr>
        <w:tab/>
      </w:r>
    </w:p>
  </w:footnote>
  <w:footnote w:id="3">
    <w:p w:rsidR="00B26568" w:rsidRPr="00224926" w:rsidP="00224926" w14:paraId="5623968B" w14:textId="486CF7DB">
      <w:pPr>
        <w:pStyle w:val="FootnoteText"/>
        <w:ind w:left="567" w:hanging="567"/>
        <w:rPr>
          <w:sz w:val="24"/>
          <w:lang w:val="el-GR"/>
        </w:rPr>
      </w:pPr>
      <w:r w:rsidRPr="00224926">
        <w:rPr>
          <w:rStyle w:val="FootnoteReference"/>
          <w:sz w:val="24"/>
          <w:lang w:val="el-GR"/>
        </w:rPr>
        <w:footnoteRef/>
      </w:r>
      <w:r w:rsidRPr="00224926" w:rsidR="00224926">
        <w:rPr>
          <w:sz w:val="24"/>
          <w:lang w:val="el-GR"/>
        </w:rPr>
        <w:t xml:space="preserve"> </w:t>
      </w:r>
      <w:r w:rsidRPr="00224926" w:rsidR="00224926">
        <w:rPr>
          <w:sz w:val="24"/>
          <w:lang w:val="el-GR"/>
        </w:rPr>
        <w:tab/>
      </w:r>
      <w:r w:rsidRPr="00224926">
        <w:rPr>
          <w:sz w:val="24"/>
          <w:lang w:val="el-GR"/>
        </w:rPr>
        <w:t xml:space="preserve">Απόφαση του Γενικού Δικαστηρίου, της 30ής Απριλίου 2019, </w:t>
      </w:r>
      <w:r w:rsidRPr="00224926">
        <w:rPr>
          <w:sz w:val="24"/>
          <w:lang w:val="el-GR"/>
        </w:rPr>
        <w:t>Briois</w:t>
      </w:r>
      <w:r w:rsidRPr="00224926">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4926" w14:paraId="3559BF1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4926" w14:paraId="62F8057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4926" w14:paraId="56C3393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4628841">
    <w:abstractNumId w:val="9"/>
  </w:num>
  <w:num w:numId="2" w16cid:durableId="1696729873">
    <w:abstractNumId w:val="9"/>
  </w:num>
  <w:num w:numId="3" w16cid:durableId="1880511955">
    <w:abstractNumId w:val="7"/>
  </w:num>
  <w:num w:numId="4" w16cid:durableId="1157067762">
    <w:abstractNumId w:val="7"/>
  </w:num>
  <w:num w:numId="5" w16cid:durableId="2137678284">
    <w:abstractNumId w:val="6"/>
  </w:num>
  <w:num w:numId="6" w16cid:durableId="1097871141">
    <w:abstractNumId w:val="6"/>
  </w:num>
  <w:num w:numId="7" w16cid:durableId="1061830854">
    <w:abstractNumId w:val="5"/>
  </w:num>
  <w:num w:numId="8" w16cid:durableId="132019870">
    <w:abstractNumId w:val="5"/>
  </w:num>
  <w:num w:numId="9" w16cid:durableId="1486043142">
    <w:abstractNumId w:val="4"/>
  </w:num>
  <w:num w:numId="10" w16cid:durableId="1699163778">
    <w:abstractNumId w:val="4"/>
  </w:num>
  <w:num w:numId="11" w16cid:durableId="239558170">
    <w:abstractNumId w:val="8"/>
  </w:num>
  <w:num w:numId="12" w16cid:durableId="1533346020">
    <w:abstractNumId w:val="8"/>
  </w:num>
  <w:num w:numId="13" w16cid:durableId="378669781">
    <w:abstractNumId w:val="3"/>
  </w:num>
  <w:num w:numId="14" w16cid:durableId="2123257317">
    <w:abstractNumId w:val="3"/>
  </w:num>
  <w:num w:numId="15" w16cid:durableId="667410">
    <w:abstractNumId w:val="2"/>
  </w:num>
  <w:num w:numId="16" w16cid:durableId="2008745135">
    <w:abstractNumId w:val="2"/>
  </w:num>
  <w:num w:numId="17" w16cid:durableId="1013149454">
    <w:abstractNumId w:val="1"/>
  </w:num>
  <w:num w:numId="18" w16cid:durableId="132721095">
    <w:abstractNumId w:val="1"/>
  </w:num>
  <w:num w:numId="19" w16cid:durableId="1152873523">
    <w:abstractNumId w:val="0"/>
  </w:num>
  <w:num w:numId="20" w16cid:durableId="980379531">
    <w:abstractNumId w:val="0"/>
  </w:num>
  <w:num w:numId="21" w16cid:durableId="606038108">
    <w:abstractNumId w:val="9"/>
  </w:num>
  <w:num w:numId="22" w16cid:durableId="657805621">
    <w:abstractNumId w:val="7"/>
  </w:num>
  <w:num w:numId="23" w16cid:durableId="550309418">
    <w:abstractNumId w:val="6"/>
  </w:num>
  <w:num w:numId="24" w16cid:durableId="239675813">
    <w:abstractNumId w:val="5"/>
  </w:num>
  <w:num w:numId="25" w16cid:durableId="668870125">
    <w:abstractNumId w:val="4"/>
  </w:num>
  <w:num w:numId="26" w16cid:durableId="73744566">
    <w:abstractNumId w:val="8"/>
  </w:num>
  <w:num w:numId="27" w16cid:durableId="2033140217">
    <w:abstractNumId w:val="3"/>
  </w:num>
  <w:num w:numId="28" w16cid:durableId="100344904">
    <w:abstractNumId w:val="2"/>
  </w:num>
  <w:num w:numId="29" w16cid:durableId="976760277">
    <w:abstractNumId w:val="1"/>
  </w:num>
  <w:num w:numId="30" w16cid:durableId="1312907794">
    <w:abstractNumId w:val="0"/>
  </w:num>
  <w:num w:numId="31" w16cid:durableId="1910382438">
    <w:abstractNumId w:val="9"/>
  </w:num>
  <w:num w:numId="32" w16cid:durableId="73819585">
    <w:abstractNumId w:val="7"/>
  </w:num>
  <w:num w:numId="33" w16cid:durableId="1141264556">
    <w:abstractNumId w:val="6"/>
  </w:num>
  <w:num w:numId="34" w16cid:durableId="1936940822">
    <w:abstractNumId w:val="5"/>
  </w:num>
  <w:num w:numId="35" w16cid:durableId="2039232577">
    <w:abstractNumId w:val="4"/>
  </w:num>
  <w:num w:numId="36" w16cid:durableId="2082217575">
    <w:abstractNumId w:val="8"/>
  </w:num>
  <w:num w:numId="37" w16cid:durableId="1736052068">
    <w:abstractNumId w:val="3"/>
  </w:num>
  <w:num w:numId="38" w16cid:durableId="523251658">
    <w:abstractNumId w:val="2"/>
  </w:num>
  <w:num w:numId="39" w16cid:durableId="151802725">
    <w:abstractNumId w:val="1"/>
  </w:num>
  <w:num w:numId="40" w16cid:durableId="212934333">
    <w:abstractNumId w:val="0"/>
  </w:num>
  <w:num w:numId="41" w16cid:durableId="1699156416">
    <w:abstractNumId w:val="10"/>
  </w:num>
  <w:num w:numId="42" w16cid:durableId="1316252398">
    <w:abstractNumId w:val="10"/>
  </w:num>
  <w:num w:numId="43" w16cid:durableId="713385848">
    <w:abstractNumId w:val="10"/>
  </w:num>
  <w:num w:numId="44" w16cid:durableId="860973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6ED"/>
    <w:rsid w:val="00002272"/>
    <w:rsid w:val="00064002"/>
    <w:rsid w:val="000677B9"/>
    <w:rsid w:val="000831BA"/>
    <w:rsid w:val="000A42CC"/>
    <w:rsid w:val="000D26EA"/>
    <w:rsid w:val="000E7DD9"/>
    <w:rsid w:val="0010095E"/>
    <w:rsid w:val="00125B37"/>
    <w:rsid w:val="00187494"/>
    <w:rsid w:val="001E6697"/>
    <w:rsid w:val="001F32AE"/>
    <w:rsid w:val="00224926"/>
    <w:rsid w:val="002257D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C07"/>
    <w:rsid w:val="006631B6"/>
    <w:rsid w:val="00680577"/>
    <w:rsid w:val="006F74FA"/>
    <w:rsid w:val="007066E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96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568"/>
    <w:rsid w:val="00B558F0"/>
    <w:rsid w:val="00BB2692"/>
    <w:rsid w:val="00BD48FE"/>
    <w:rsid w:val="00BD7BD8"/>
    <w:rsid w:val="00BE6ADC"/>
    <w:rsid w:val="00C05BFE"/>
    <w:rsid w:val="00C23CD4"/>
    <w:rsid w:val="00C61C0C"/>
    <w:rsid w:val="00C941CB"/>
    <w:rsid w:val="00CC2357"/>
    <w:rsid w:val="00CF071A"/>
    <w:rsid w:val="00D058B8"/>
    <w:rsid w:val="00D56C11"/>
    <w:rsid w:val="00D834A0"/>
    <w:rsid w:val="00D8515B"/>
    <w:rsid w:val="00D872DF"/>
    <w:rsid w:val="00D91E21"/>
    <w:rsid w:val="00DA7FCD"/>
    <w:rsid w:val="00DD65E3"/>
    <w:rsid w:val="00E365E1"/>
    <w:rsid w:val="00E7740B"/>
    <w:rsid w:val="00E820A4"/>
    <w:rsid w:val="00EB006A"/>
    <w:rsid w:val="00EB4772"/>
    <w:rsid w:val="00ED169E"/>
    <w:rsid w:val="00ED4235"/>
    <w:rsid w:val="00F016D5"/>
    <w:rsid w:val="00F04346"/>
    <w:rsid w:val="00F075DC"/>
    <w:rsid w:val="00F149E9"/>
    <w:rsid w:val="00F5134D"/>
    <w:rsid w:val="00F74202"/>
    <w:rsid w:val="00F87713"/>
    <w:rsid w:val="00FB4360"/>
    <w:rsid w:val="00FD0C70"/>
  </w:rsids>
  <w:docVars>
    <w:docVar w:name="dvdocse" w:val="A10-0116/2026"/>
    <w:docVar w:name="dvlangue" w:val="EL"/>
    <w:docVar w:name="dvnumam" w:val="0"/>
    <w:docVar w:name="dvpe" w:val="786.694"/>
    <w:docVar w:name="dvrapporteur" w:val="Εισηγητής: "/>
    <w:docVar w:name="dvtitre" w:val="Απόφαση του Ευρωπαϊκού Κοινοβουλίου της ... 2026 σχετικά με το αίτημα για την άρση της ασυλίας του Tomasz Buczek(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C19664"/>
  <w15:chartTrackingRefBased/>
  <w15:docId w15:val="{872B3F2F-859C-467C-934E-914923B6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26568"/>
    <w:rPr>
      <w:b/>
    </w:rPr>
  </w:style>
  <w:style w:type="paragraph" w:customStyle="1" w:styleId="NormalHanging12a">
    <w:name w:val="NormalHanging12a"/>
    <w:basedOn w:val="Normal"/>
    <w:rsid w:val="00B26568"/>
    <w:pPr>
      <w:spacing w:after="240"/>
      <w:ind w:left="567" w:hanging="567"/>
    </w:pPr>
  </w:style>
  <w:style w:type="paragraph" w:customStyle="1" w:styleId="EPComma">
    <w:name w:val="EPComma"/>
    <w:basedOn w:val="Normal"/>
    <w:rsid w:val="00B26568"/>
    <w:pPr>
      <w:spacing w:before="480" w:after="240"/>
    </w:pPr>
  </w:style>
  <w:style w:type="paragraph" w:styleId="Revision">
    <w:name w:val="Revision"/>
    <w:hidden/>
    <w:uiPriority w:val="99"/>
    <w:semiHidden/>
    <w:rsid w:val="0091096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845</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2026-04-28T11:08:00Z</dcterms:created>
  <dcterms:modified xsi:type="dcterms:W3CDTF">2026-04-28T11:08:00Z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A10-0116/2026</vt:lpwstr>
  </property>
  <property fmtid="{D5CDD505-2E9C-101B-9397-08002B2CF9AE}" pid="4" name="&lt;Type&gt;">
    <vt:lpwstr>RR</vt:lpwstr>
  </property>
</Properties>
</file>