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C63D5AA" w14:textId="77777777" w:rsidTr="0010095E">
        <w:tblPrEx>
          <w:tblW w:w="9072" w:type="dxa"/>
          <w:tblLook w:val="01E0"/>
        </w:tblPrEx>
        <w:trPr>
          <w:trHeight w:hRule="exact" w:val="1418"/>
        </w:trPr>
        <w:tc>
          <w:tcPr>
            <w:tcW w:w="6804" w:type="dxa"/>
            <w:shd w:val="clear" w:color="auto" w:fill="auto"/>
            <w:vAlign w:val="center"/>
          </w:tcPr>
          <w:p w:rsidR="00751A4A" w:rsidRPr="00FA1732" w:rsidP="0010095E" w14:paraId="02BD77C9" w14:textId="77777777">
            <w:pPr>
              <w:pStyle w:val="EPName"/>
            </w:pPr>
            <w:r w:rsidRPr="00FA1732">
              <w:t>Euroopa Parlament</w:t>
            </w:r>
          </w:p>
          <w:p w:rsidR="00751A4A" w:rsidRPr="00FA1732" w:rsidP="005F1B17" w14:paraId="39A919C9" w14:textId="77777777">
            <w:pPr>
              <w:pStyle w:val="EPTerm"/>
              <w:rPr>
                <w:rStyle w:val="HideTWBExt"/>
                <w:noProof w:val="0"/>
                <w:vanish w:val="0"/>
                <w:color w:val="auto"/>
              </w:rPr>
            </w:pPr>
            <w:r w:rsidRPr="00FA1732">
              <w:t>2024</w:t>
            </w:r>
            <w:r w:rsidRPr="00FA1732" w:rsidR="00817416">
              <w:t>-202</w:t>
            </w:r>
            <w:r w:rsidRPr="00FA1732">
              <w:t>9</w:t>
            </w:r>
          </w:p>
        </w:tc>
        <w:tc>
          <w:tcPr>
            <w:tcW w:w="2268" w:type="dxa"/>
            <w:shd w:val="clear" w:color="auto" w:fill="auto"/>
          </w:tcPr>
          <w:p w:rsidR="00751A4A" w:rsidRPr="00FA1732" w:rsidP="0010095E" w14:paraId="274EFD9A" w14:textId="77777777">
            <w:pPr>
              <w:pStyle w:val="EPLogo"/>
            </w:pPr>
            <w:r w:rsidRPr="00FA173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A1732" w:rsidP="004C5D52" w14:paraId="3D0890A2" w14:textId="77777777">
      <w:pPr>
        <w:pStyle w:val="LineTop"/>
      </w:pPr>
    </w:p>
    <w:p w:rsidR="00680577" w:rsidRPr="00FA1732" w:rsidP="00680577" w14:paraId="0CA16155" w14:textId="77777777">
      <w:pPr>
        <w:pStyle w:val="EPBodyTA1"/>
      </w:pPr>
      <w:r w:rsidRPr="00FA1732">
        <w:t>VASTUVÕETUD TEKSTID</w:t>
      </w:r>
    </w:p>
    <w:p w:rsidR="00D058B8" w:rsidRPr="00FA1732" w:rsidP="00D058B8" w14:paraId="261FC27D" w14:textId="77777777">
      <w:pPr>
        <w:pStyle w:val="LineBottom"/>
      </w:pPr>
    </w:p>
    <w:p w:rsidR="00A80A89" w:rsidRPr="00FA1732" w:rsidP="00A80A89" w14:paraId="2B74E943" w14:textId="5377756A">
      <w:pPr>
        <w:pStyle w:val="ATHeading1"/>
      </w:pPr>
      <w:bookmarkStart w:id="0" w:name="TANumber"/>
      <w:r w:rsidRPr="00FA1732">
        <w:t>P10_TA(2026)0</w:t>
      </w:r>
      <w:r w:rsidRPr="00FA1732" w:rsidR="00F70717">
        <w:t>107</w:t>
      </w:r>
      <w:bookmarkEnd w:id="0"/>
    </w:p>
    <w:p w:rsidR="00A80A89" w:rsidRPr="00FA1732" w:rsidP="00A80A89" w14:paraId="3F257D7E" w14:textId="77777777">
      <w:pPr>
        <w:pStyle w:val="ATHeading2"/>
      </w:pPr>
      <w:bookmarkStart w:id="1" w:name="title"/>
      <w:r w:rsidRPr="00FA1732">
        <w:t>Tomasz</w:t>
      </w:r>
      <w:r w:rsidRPr="00FA1732">
        <w:t xml:space="preserve"> </w:t>
      </w:r>
      <w:r w:rsidRPr="00FA1732">
        <w:t>Buczeki</w:t>
      </w:r>
      <w:r w:rsidRPr="00FA1732">
        <w:t xml:space="preserve"> puutumatuse äravõtmise taotlus</w:t>
      </w:r>
      <w:bookmarkEnd w:id="1"/>
    </w:p>
    <w:p w:rsidR="00A80A89" w:rsidRPr="00FA1732" w:rsidP="00A80A89" w14:paraId="1C4C0F8F" w14:textId="77777777">
      <w:pPr>
        <w:rPr>
          <w:i/>
          <w:vanish/>
        </w:rPr>
      </w:pPr>
      <w:r>
        <w:rPr>
          <w:i/>
        </w:rPr>
        <w:fldChar w:fldCharType="begin"/>
      </w:r>
      <w:r w:rsidRPr="00FA1732">
        <w:rPr>
          <w:i/>
        </w:rPr>
        <w:instrText xml:space="preserve"> TC"(</w:instrText>
      </w:r>
      <w:bookmarkStart w:id="2" w:name="DocNumber"/>
      <w:r w:rsidRPr="00FA1732">
        <w:rPr>
          <w:i/>
        </w:rPr>
        <w:instrText>A10-0116/2026</w:instrText>
      </w:r>
      <w:bookmarkEnd w:id="2"/>
      <w:r w:rsidRPr="00FA1732">
        <w:rPr>
          <w:i/>
        </w:rPr>
        <w:instrText xml:space="preserve"> - Raportöör: David Cormand)"\l3 \n&gt; \* MERGEFORMAT </w:instrText>
      </w:r>
      <w:r>
        <w:rPr>
          <w:i/>
        </w:rPr>
        <w:fldChar w:fldCharType="end"/>
      </w:r>
    </w:p>
    <w:p w:rsidR="00A80A89" w:rsidRPr="00FA1732" w:rsidP="00A80A89" w14:paraId="2CFDB10D" w14:textId="77777777">
      <w:pPr>
        <w:rPr>
          <w:vanish/>
        </w:rPr>
      </w:pPr>
      <w:bookmarkStart w:id="3" w:name="Commission"/>
      <w:r w:rsidRPr="00FA1732">
        <w:rPr>
          <w:vanish/>
        </w:rPr>
        <w:t>Õiguskomisjon</w:t>
      </w:r>
      <w:bookmarkEnd w:id="3"/>
    </w:p>
    <w:p w:rsidR="00A80A89" w:rsidRPr="00FA1732" w:rsidP="00A80A89" w14:paraId="1B7DF9DF" w14:textId="77777777">
      <w:pPr>
        <w:rPr>
          <w:vanish/>
        </w:rPr>
      </w:pPr>
      <w:bookmarkStart w:id="4" w:name="PE"/>
      <w:r w:rsidRPr="00FA1732">
        <w:rPr>
          <w:vanish/>
        </w:rPr>
        <w:t>PE786.694</w:t>
      </w:r>
      <w:bookmarkEnd w:id="4"/>
    </w:p>
    <w:p w:rsidR="00A80A89" w:rsidRPr="00FA1732" w:rsidP="00A80A89" w14:paraId="4AE791B0" w14:textId="40ACA7E9">
      <w:pPr>
        <w:pStyle w:val="ATHeading3"/>
      </w:pPr>
      <w:bookmarkStart w:id="5" w:name="Sujet"/>
      <w:r w:rsidRPr="00FA1732">
        <w:t xml:space="preserve">Euroopa Parlamendi </w:t>
      </w:r>
      <w:r w:rsidRPr="00FA1732" w:rsidR="00EB55FE">
        <w:t>28. aprilli</w:t>
      </w:r>
      <w:r w:rsidRPr="00FA1732">
        <w:t xml:space="preserve"> 2026. aasta otsus </w:t>
      </w:r>
      <w:r w:rsidRPr="00FA1732">
        <w:t>Tomasz</w:t>
      </w:r>
      <w:r w:rsidRPr="00FA1732">
        <w:t xml:space="preserve"> </w:t>
      </w:r>
      <w:r w:rsidRPr="00FA1732">
        <w:t>Buczeki</w:t>
      </w:r>
      <w:r w:rsidRPr="00FA1732">
        <w:t xml:space="preserve"> puutumatuse äravõtmise taotluse kohta</w:t>
      </w:r>
      <w:bookmarkEnd w:id="5"/>
      <w:r w:rsidRPr="00FA1732">
        <w:t xml:space="preserve"> </w:t>
      </w:r>
      <w:bookmarkStart w:id="6" w:name="References"/>
      <w:r w:rsidRPr="00FA1732">
        <w:t>(2025/2193(IMM))</w:t>
      </w:r>
      <w:bookmarkEnd w:id="6"/>
    </w:p>
    <w:p w:rsidR="00DF7C5B" w:rsidRPr="00FA1732" w:rsidP="00DF7C5B" w14:paraId="491EBCB1" w14:textId="77777777">
      <w:pPr>
        <w:pStyle w:val="EPComma"/>
      </w:pPr>
      <w:bookmarkStart w:id="7" w:name="TextBodyBegin"/>
      <w:bookmarkEnd w:id="7"/>
      <w:r w:rsidRPr="00FA1732">
        <w:rPr>
          <w:i/>
        </w:rPr>
        <w:t>Euroopa Parlament</w:t>
      </w:r>
      <w:r w:rsidRPr="00FA1732">
        <w:t>,</w:t>
      </w:r>
    </w:p>
    <w:p w:rsidR="00DF7C5B" w:rsidRPr="00FA1732" w:rsidP="00DF7C5B" w14:paraId="3B39A925" w14:textId="47157E46">
      <w:pPr>
        <w:pStyle w:val="NormalHanging12a"/>
      </w:pPr>
      <w:r w:rsidRPr="00FA1732">
        <w:t>–</w:t>
      </w:r>
      <w:r w:rsidRPr="00FA1732">
        <w:tab/>
        <w:t xml:space="preserve">võttes arvesse </w:t>
      </w:r>
      <w:r w:rsidRPr="00FA1732">
        <w:t>Tomasz</w:t>
      </w:r>
      <w:r w:rsidRPr="00FA1732">
        <w:t xml:space="preserve"> </w:t>
      </w:r>
      <w:r w:rsidRPr="00FA1732">
        <w:t>Buczeki</w:t>
      </w:r>
      <w:r w:rsidRPr="00FA1732">
        <w:t xml:space="preserve"> puutumatuse äravõtmise taotlust, mille e</w:t>
      </w:r>
      <w:r w:rsidRPr="00FA1732" w:rsidR="00F328E0">
        <w:t>das</w:t>
      </w:r>
      <w:r w:rsidRPr="00FA1732">
        <w:t xml:space="preserve">tas </w:t>
      </w:r>
      <w:r w:rsidRPr="00FA1732" w:rsidR="00F328E0">
        <w:t xml:space="preserve">12. septembri 2025. aasta kirjaga </w:t>
      </w:r>
      <w:r w:rsidRPr="00FA1732">
        <w:t>Tarnobrzegi</w:t>
      </w:r>
      <w:r w:rsidRPr="00FA1732">
        <w:t xml:space="preserve"> rajoonikohtu teine kriminaalkolleegium</w:t>
      </w:r>
      <w:r w:rsidRPr="00FA1732" w:rsidR="00E236D2">
        <w:t xml:space="preserve"> </w:t>
      </w:r>
      <w:r w:rsidRPr="00FA1732">
        <w:t xml:space="preserve"> seoses </w:t>
      </w:r>
      <w:r w:rsidRPr="00FA1732">
        <w:t>Tomasz</w:t>
      </w:r>
      <w:r w:rsidRPr="00FA1732">
        <w:t xml:space="preserve"> </w:t>
      </w:r>
      <w:r w:rsidRPr="00FA1732">
        <w:t>Buczeki</w:t>
      </w:r>
      <w:r w:rsidRPr="00FA1732">
        <w:t xml:space="preserve"> suhtes käimasoleva kriminaalmenetlusega, mis algatati tema suhtes erasüüdistaja esindaja esitatud erasüüdistuse alusel ja mis tehti teatavaks Euroopa Parlamendi täiskogu istungil 6. oktoobril 2025. aastal,</w:t>
      </w:r>
    </w:p>
    <w:p w:rsidR="00DF7C5B" w:rsidRPr="00FA1732" w:rsidP="00DF7C5B" w14:paraId="2E1AB7ED" w14:textId="79410F06">
      <w:pPr>
        <w:pStyle w:val="NormalHanging12a"/>
      </w:pPr>
      <w:r w:rsidRPr="00FA1732">
        <w:t>–</w:t>
      </w:r>
      <w:r w:rsidRPr="00FA1732">
        <w:tab/>
        <w:t>olles 23. märtsil 2026</w:t>
      </w:r>
      <w:r w:rsidRPr="00FA1732" w:rsidR="001366A1">
        <w:t>. aastal</w:t>
      </w:r>
      <w:r w:rsidRPr="00FA1732">
        <w:t xml:space="preserve"> vastavalt kodukorra artikli 9 lõikele 6 kuulanud ära </w:t>
      </w:r>
      <w:r w:rsidRPr="00FA1732">
        <w:t>Tomasz</w:t>
      </w:r>
      <w:r w:rsidRPr="00FA1732">
        <w:t> </w:t>
      </w:r>
      <w:r w:rsidRPr="00FA1732">
        <w:t>Buczeki</w:t>
      </w:r>
      <w:r w:rsidRPr="00FA1732">
        <w:t xml:space="preserve"> selgitused ja võttes arvesse tema poolt esitatud dokumente,</w:t>
      </w:r>
    </w:p>
    <w:p w:rsidR="00DF7C5B" w:rsidRPr="00FA1732" w:rsidP="00DF7C5B" w14:paraId="520EBD83" w14:textId="77777777">
      <w:pPr>
        <w:pStyle w:val="NormalHanging12a"/>
      </w:pPr>
      <w:r w:rsidRPr="00FA1732">
        <w:t>–</w:t>
      </w:r>
      <w:r w:rsidRPr="00FA1732">
        <w:tab/>
        <w:t>võttes arvesse protokolli nr 7 (Euroopa Liidu privileegide ja immuniteetide kohta) artikleid 8 ja 9 ning otsestel ja üldistel valimistel Euroopa Parlamendi liikmete valimist käsitleva 20. septembri 1976. aasta akti artikli 6 lõiget 2,</w:t>
      </w:r>
    </w:p>
    <w:p w:rsidR="00DF7C5B" w:rsidRPr="00FA1732" w:rsidP="00DF7C5B" w14:paraId="1A893032" w14:textId="77777777">
      <w:pPr>
        <w:pStyle w:val="NormalHanging12a"/>
      </w:pPr>
      <w:r w:rsidRPr="00FA1732">
        <w:t>–</w:t>
      </w:r>
      <w:r w:rsidRPr="00FA1732">
        <w:tab/>
        <w:t>võttes arvesse Euroopa Liidu Kohtu 21. oktoobri 2008. aasta, 19. märtsi 2010. aasta, 6. septembri 2011. aasta, 17. jaanuari 2013. aasta ja 19. detsembri 2019. aasta otsuseid</w:t>
      </w:r>
      <w:r>
        <w:rPr>
          <w:vertAlign w:val="superscript"/>
        </w:rPr>
        <w:footnoteReference w:id="2"/>
      </w:r>
      <w:r w:rsidRPr="00FA1732">
        <w:t>,</w:t>
      </w:r>
    </w:p>
    <w:p w:rsidR="00DF7C5B" w:rsidRPr="00FA1732" w:rsidP="00DF7C5B" w14:paraId="1C0AAD55" w14:textId="77777777">
      <w:pPr>
        <w:pStyle w:val="NormalHanging12a"/>
      </w:pPr>
      <w:r w:rsidRPr="00FA1732">
        <w:t>–</w:t>
      </w:r>
      <w:r w:rsidRPr="00FA1732">
        <w:tab/>
        <w:t>võttes arvesse Poola Vabariigi põhiseaduse artikli 105 lõikeid 2 ja 5,</w:t>
      </w:r>
    </w:p>
    <w:p w:rsidR="00DF7C5B" w:rsidRPr="00FA1732" w:rsidP="00DF7C5B" w14:paraId="60A84E13" w14:textId="77777777">
      <w:pPr>
        <w:pStyle w:val="NormalHanging12a"/>
      </w:pPr>
      <w:r w:rsidRPr="00FA1732">
        <w:t>–</w:t>
      </w:r>
      <w:r w:rsidRPr="00FA1732">
        <w:tab/>
        <w:t>võttes arvesse kodukorra artikli 5 lõiget 2, artikli 6 lõiget 1 ja artiklit 9,</w:t>
      </w:r>
    </w:p>
    <w:p w:rsidR="00DF7C5B" w:rsidRPr="00FA1732" w:rsidP="00DF7C5B" w14:paraId="33C81195" w14:textId="77777777">
      <w:pPr>
        <w:pStyle w:val="NormalHanging12a"/>
      </w:pPr>
      <w:r w:rsidRPr="00FA1732">
        <w:t>–</w:t>
      </w:r>
      <w:r w:rsidRPr="00FA1732">
        <w:tab/>
        <w:t>võttes arvesse õiguskomisjoni raportit (A10-0116/2026),</w:t>
      </w:r>
    </w:p>
    <w:p w:rsidR="00DF7C5B" w:rsidRPr="00FA1732" w:rsidP="00DF7C5B" w14:paraId="1D576370" w14:textId="413448C0">
      <w:pPr>
        <w:pStyle w:val="NormalHanging12a"/>
      </w:pPr>
      <w:r w:rsidRPr="00FA1732">
        <w:t>A.</w:t>
      </w:r>
      <w:r w:rsidRPr="00FA1732">
        <w:tab/>
        <w:t xml:space="preserve">arvestades, et </w:t>
      </w:r>
      <w:r w:rsidRPr="00FA1732">
        <w:t>Tarnobrzegi</w:t>
      </w:r>
      <w:r w:rsidRPr="00FA1732">
        <w:t xml:space="preserve"> rajoonikohtu teine kriminaalkolleegium edastas 12. septembri 2025. aasta kirjaga taotluse võtta</w:t>
      </w:r>
      <w:r w:rsidRPr="00FA1732" w:rsidR="00EB55FE">
        <w:t xml:space="preserve"> </w:t>
      </w:r>
      <w:r w:rsidRPr="00FA1732" w:rsidR="00F328E0">
        <w:t xml:space="preserve">ära </w:t>
      </w:r>
      <w:r w:rsidRPr="00FA1732" w:rsidR="00EB55FE">
        <w:t>Poolas valitud Euroopa Parlamendi liikme</w:t>
      </w:r>
      <w:r w:rsidRPr="00FA1732">
        <w:t xml:space="preserve"> </w:t>
      </w:r>
      <w:r w:rsidRPr="00FA1732">
        <w:t>Tomasz</w:t>
      </w:r>
      <w:r w:rsidRPr="00FA1732">
        <w:t xml:space="preserve"> </w:t>
      </w:r>
      <w:r w:rsidRPr="00FA1732">
        <w:t>Buczeki</w:t>
      </w:r>
      <w:r w:rsidRPr="00FA1732">
        <w:t xml:space="preserve"> puutumatus seoses tema vastu esitatud erasüüdistusega, mis puudutab väidetavat tegu, mis on Poola karistusseadustiku artikli 217 lõike 1 kohaselt käsitatav süüteona;</w:t>
      </w:r>
    </w:p>
    <w:p w:rsidR="00DF7C5B" w:rsidRPr="00FA1732" w:rsidP="00DF7C5B" w14:paraId="3C8E7F27" w14:textId="77ABBC1E">
      <w:pPr>
        <w:pStyle w:val="NormalHanging12a"/>
      </w:pPr>
      <w:r w:rsidRPr="00FA1732">
        <w:t>B.</w:t>
      </w:r>
      <w:r w:rsidRPr="00FA1732">
        <w:tab/>
        <w:t xml:space="preserve">arvestades, et puutumatuse äravõtmise taotluse kohaselt toimus 21. septembril 2024 </w:t>
      </w:r>
      <w:r w:rsidRPr="00FA1732">
        <w:t>Tarnobrzegis</w:t>
      </w:r>
      <w:r w:rsidRPr="00FA1732">
        <w:t xml:space="preserve"> valimiskampaania üritus, millest </w:t>
      </w:r>
      <w:r w:rsidRPr="00FA1732">
        <w:t>Tomasz</w:t>
      </w:r>
      <w:r w:rsidRPr="00FA1732">
        <w:t xml:space="preserve"> </w:t>
      </w:r>
      <w:r w:rsidRPr="00FA1732">
        <w:t>Buczek</w:t>
      </w:r>
      <w:r w:rsidRPr="00FA1732">
        <w:t xml:space="preserve"> osa võttis; arvestades, et sellel üritusel osales ka erasüüdistaja, kes väljendas oma seisukohti poliitilistel teemadel, sealhulgas </w:t>
      </w:r>
      <w:r w:rsidRPr="00FA1732">
        <w:t>Tomasz</w:t>
      </w:r>
      <w:r w:rsidRPr="00FA1732">
        <w:t xml:space="preserve"> </w:t>
      </w:r>
      <w:r w:rsidRPr="00FA1732">
        <w:t>Buczeki</w:t>
      </w:r>
      <w:r w:rsidRPr="00FA1732">
        <w:t xml:space="preserve"> tegevuse kohta; arvestades, et taotluse kohaselt </w:t>
      </w:r>
      <w:r w:rsidRPr="00FA1732">
        <w:t>Tomasz</w:t>
      </w:r>
      <w:r w:rsidRPr="00FA1732">
        <w:t xml:space="preserve"> </w:t>
      </w:r>
      <w:r w:rsidRPr="00FA1732">
        <w:t>Buczek</w:t>
      </w:r>
      <w:r w:rsidRPr="00FA1732">
        <w:t xml:space="preserve"> </w:t>
      </w:r>
      <w:r w:rsidRPr="00FA1732" w:rsidR="0064117B">
        <w:t xml:space="preserve">väidetavalt </w:t>
      </w:r>
      <w:r w:rsidRPr="00FA1732" w:rsidR="00170021">
        <w:t xml:space="preserve">rebis </w:t>
      </w:r>
      <w:r w:rsidRPr="00FA1732">
        <w:t xml:space="preserve">erasüüdistuse esitajalt käest </w:t>
      </w:r>
      <w:r w:rsidRPr="00FA1732" w:rsidR="00F328E0">
        <w:t xml:space="preserve">sedavõrd jõuliselt </w:t>
      </w:r>
      <w:r w:rsidRPr="00FA1732">
        <w:t>miniruupori</w:t>
      </w:r>
      <w:r w:rsidRPr="00FA1732" w:rsidR="0064117B">
        <w:t xml:space="preserve">, mida </w:t>
      </w:r>
      <w:r w:rsidRPr="00FA1732">
        <w:t xml:space="preserve">süüdistuse esitaja kasutas enda kuuldavaks tegemiseks, et selle tulemusena läks ruupor </w:t>
      </w:r>
      <w:r w:rsidRPr="00FA1732" w:rsidR="0064117B">
        <w:t xml:space="preserve">väidetavalt </w:t>
      </w:r>
      <w:r w:rsidRPr="00FA1732">
        <w:t>katki;</w:t>
      </w:r>
    </w:p>
    <w:p w:rsidR="00DF7C5B" w:rsidRPr="00FA1732" w:rsidP="00DF7C5B" w14:paraId="41B0CF3D" w14:textId="0C197F82">
      <w:pPr>
        <w:pStyle w:val="NormalHanging12a"/>
      </w:pPr>
      <w:r w:rsidRPr="00FA1732">
        <w:t>C.</w:t>
      </w:r>
      <w:r w:rsidRPr="00FA1732">
        <w:tab/>
        <w:t xml:space="preserve">arvestades, et </w:t>
      </w:r>
      <w:r w:rsidRPr="00FA1732">
        <w:t>Tomasz</w:t>
      </w:r>
      <w:r w:rsidRPr="00FA1732">
        <w:t xml:space="preserve"> </w:t>
      </w:r>
      <w:r w:rsidRPr="00FA1732">
        <w:t>Buczeki</w:t>
      </w:r>
      <w:r w:rsidRPr="00FA1732">
        <w:t xml:space="preserve"> tegu võib</w:t>
      </w:r>
      <w:r w:rsidRPr="00FA1732" w:rsidR="0064117B">
        <w:t xml:space="preserve"> </w:t>
      </w:r>
      <w:r w:rsidRPr="00FA1732">
        <w:t xml:space="preserve">Poola karistusseadustiku artikli 217 lõike 1 alusel käsitada </w:t>
      </w:r>
      <w:r w:rsidRPr="00FA1732" w:rsidR="00170021">
        <w:t xml:space="preserve">väidetavalt </w:t>
      </w:r>
      <w:r w:rsidRPr="00FA1732">
        <w:t>süüteona, mis seisneb isikupuutumatuse rikkumises;</w:t>
      </w:r>
    </w:p>
    <w:p w:rsidR="00DF7C5B" w:rsidRPr="00FA1732" w:rsidP="00DF7C5B" w14:paraId="370B295B" w14:textId="77777777">
      <w:pPr>
        <w:pStyle w:val="NormalHanging12a"/>
      </w:pPr>
      <w:r w:rsidRPr="00FA1732">
        <w:t>D.</w:t>
      </w:r>
      <w:r w:rsidRPr="00FA1732">
        <w:tab/>
        <w:t xml:space="preserve">arvestades, et </w:t>
      </w:r>
      <w:r w:rsidRPr="00FA1732">
        <w:t>Tomasz</w:t>
      </w:r>
      <w:r w:rsidRPr="00FA1732">
        <w:t xml:space="preserve"> </w:t>
      </w:r>
      <w:r w:rsidRPr="00FA1732">
        <w:t>Buczek</w:t>
      </w:r>
      <w:r w:rsidRPr="00FA1732">
        <w:t xml:space="preserve"> valiti Euroopa Parlamenti 2024. aasta juunis toimunud Euroopa Parlamendi valimistel ja ta oli väidetava süüteo toimepanemise ajal Euroopa Parlamendi liige;</w:t>
      </w:r>
    </w:p>
    <w:p w:rsidR="00DF7C5B" w:rsidRPr="00FA1732" w:rsidP="00DF7C5B" w14:paraId="423E6BDD" w14:textId="4FE75E66">
      <w:pPr>
        <w:pStyle w:val="NormalHanging12a"/>
      </w:pPr>
      <w:r w:rsidRPr="00FA1732">
        <w:t>E.</w:t>
      </w:r>
      <w:r w:rsidRPr="00FA1732">
        <w:tab/>
        <w:t>arvestades, et väidetav süütegu ja selle</w:t>
      </w:r>
      <w:r w:rsidRPr="00FA1732" w:rsidR="00F328E0">
        <w:t>le järgnenud taotlus võtta ära</w:t>
      </w:r>
      <w:r w:rsidRPr="00FA1732" w:rsidR="0064117B">
        <w:t xml:space="preserve"> </w:t>
      </w:r>
      <w:r w:rsidRPr="00FA1732" w:rsidR="0064117B">
        <w:t>Tomasz</w:t>
      </w:r>
      <w:r w:rsidRPr="00FA1732" w:rsidR="0064117B">
        <w:t xml:space="preserve"> </w:t>
      </w:r>
      <w:r w:rsidRPr="00FA1732" w:rsidR="0064117B">
        <w:t>Buczeki</w:t>
      </w:r>
      <w:r w:rsidRPr="00FA1732">
        <w:t xml:space="preserve"> puutumatus ei ole seotud </w:t>
      </w:r>
      <w:r w:rsidRPr="00FA1732">
        <w:t>Tomasz</w:t>
      </w:r>
      <w:r w:rsidRPr="00FA1732">
        <w:t xml:space="preserve"> </w:t>
      </w:r>
      <w:r w:rsidRPr="00FA1732">
        <w:t>Buczeki</w:t>
      </w:r>
      <w:r w:rsidRPr="00FA1732">
        <w:t xml:space="preserve"> kui parlamendiliikme kohustuste täitmisel avaldatud arvamuste ega antud häältega protokolli nr 7 (Euroopa Liidu privileegide ja immuniteetide kohta) artikli 8 tähenduses;</w:t>
      </w:r>
    </w:p>
    <w:p w:rsidR="00DF7C5B" w:rsidRPr="00FA1732" w:rsidP="00DF7C5B" w14:paraId="6FBCD506" w14:textId="7A1D528E">
      <w:pPr>
        <w:pStyle w:val="NormalHanging12a"/>
      </w:pPr>
      <w:r w:rsidRPr="00FA1732">
        <w:t>F.</w:t>
      </w:r>
      <w:r w:rsidRPr="00FA1732">
        <w:tab/>
        <w:t xml:space="preserve">arvestades, et protokolli nr 7 (Euroopa Liidu privileegide ja immuniteetide kohta) artikli 9 esimese lõigu punktis a on sätestatud, et Euroopa Parlamendi </w:t>
      </w:r>
      <w:r w:rsidRPr="00FA1732" w:rsidR="00520A26">
        <w:t xml:space="preserve">istungijärkude ajal on Euroopa Parlamendi </w:t>
      </w:r>
      <w:r w:rsidRPr="00FA1732">
        <w:t>liikmetel oma riigi territooriumil samasugune immuniteet nagu selle riigi parlamendi liikmetel;</w:t>
      </w:r>
    </w:p>
    <w:p w:rsidR="00DF7C5B" w:rsidRPr="00FA1732" w:rsidP="00DF7C5B" w14:paraId="3A453BEB" w14:textId="3D53E2EA">
      <w:pPr>
        <w:pStyle w:val="NormalHanging12a"/>
      </w:pPr>
      <w:r w:rsidRPr="00FA1732">
        <w:t>G.</w:t>
      </w:r>
      <w:r w:rsidRPr="00FA1732">
        <w:tab/>
        <w:t xml:space="preserve">arvestades, et Poola </w:t>
      </w:r>
      <w:r w:rsidRPr="00FA1732" w:rsidR="00B36A00">
        <w:t xml:space="preserve">Vabariigi </w:t>
      </w:r>
      <w:r w:rsidRPr="00FA1732">
        <w:t>põhiseaduse artikli 105 lõigete 2 ja 5 kohaselt ei või parlamendiliikme suhtes alates valimistulemuste teatavakstegemise päevast kuni tema mandaadi lõppemiseni kohaldada kriminaalvastutust ilma Seimi nõusolekuta ja teda ei või kinni pidada ega vahistada ilma Seimi nõusolekuta, välja arvatud juhul, kui ta tabatakse süüteo toimepanemisel ja kui tema kinnipidamine on vajalik menetluse nõuetekohase läbiviimise tagamiseks;</w:t>
      </w:r>
    </w:p>
    <w:p w:rsidR="00DF7C5B" w:rsidRPr="00FA1732" w:rsidP="00DF7C5B" w14:paraId="0D188037" w14:textId="51F51A2E">
      <w:pPr>
        <w:pStyle w:val="NormalHanging12a"/>
      </w:pPr>
      <w:r w:rsidRPr="00FA1732">
        <w:t>H.</w:t>
      </w:r>
      <w:r w:rsidRPr="00FA1732">
        <w:tab/>
        <w:t xml:space="preserve">arvestades, et kodukorra artikli 5 lõike 2 kohaselt ei ole parlamentaarne puutumatus parlamendiliikme isiklik eesõigus, vaid </w:t>
      </w:r>
      <w:r w:rsidRPr="00FA1732" w:rsidR="00B36A00">
        <w:t>Euroopa P</w:t>
      </w:r>
      <w:r w:rsidRPr="00FA1732">
        <w:t>arlamendi kui terviku ja selle liikmete sõltumatuse tagatis;</w:t>
      </w:r>
    </w:p>
    <w:p w:rsidR="00DF7C5B" w:rsidRPr="00FA1732" w:rsidP="00DF7C5B" w14:paraId="7FFB6949" w14:textId="21BA23F9">
      <w:pPr>
        <w:pStyle w:val="NormalHanging12a"/>
      </w:pPr>
      <w:r w:rsidRPr="00FA1732">
        <w:t>I.</w:t>
      </w:r>
      <w:r w:rsidRPr="00FA1732">
        <w:tab/>
        <w:t xml:space="preserve">arvestades, et </w:t>
      </w:r>
      <w:bookmarkStart w:id="8" w:name="_Hlk228271837"/>
      <w:r w:rsidRPr="00FA1732" w:rsidR="00B36A00">
        <w:t>protokoll</w:t>
      </w:r>
      <w:r w:rsidRPr="00FA1732" w:rsidR="008D7EC8">
        <w:t>is</w:t>
      </w:r>
      <w:r w:rsidRPr="00FA1732" w:rsidR="00B36A00">
        <w:t xml:space="preserve"> nr 7 (Euroopa Liidu privileegide ja immuniteetide kohta)</w:t>
      </w:r>
      <w:bookmarkEnd w:id="8"/>
      <w:r w:rsidRPr="00FA1732">
        <w:t xml:space="preserve"> </w:t>
      </w:r>
      <w:r w:rsidRPr="00FA1732" w:rsidR="008D7EC8">
        <w:t xml:space="preserve">sätestatud puutumatuse </w:t>
      </w:r>
      <w:r w:rsidRPr="00FA1732">
        <w:t>eesmärk on kaitsta Euroopa Parlamenti ja selle liikmeid kohtumenetluste eest, mi</w:t>
      </w:r>
      <w:r w:rsidRPr="00FA1732" w:rsidR="008D7EC8">
        <w:t>lle</w:t>
      </w:r>
      <w:r w:rsidRPr="00FA1732">
        <w:t xml:space="preserve">s </w:t>
      </w:r>
      <w:r w:rsidRPr="00FA1732">
        <w:t>käsitle</w:t>
      </w:r>
      <w:r w:rsidRPr="00FA1732" w:rsidR="008D7EC8">
        <w:t>takse</w:t>
      </w:r>
      <w:r w:rsidRPr="00FA1732">
        <w:t>parlamendiliikme</w:t>
      </w:r>
      <w:r w:rsidRPr="00FA1732">
        <w:t xml:space="preserve"> kohustuste täitmise</w:t>
      </w:r>
      <w:r w:rsidRPr="00FA1732" w:rsidR="008D7EC8">
        <w:t xml:space="preserve"> käigus toimunud</w:t>
      </w:r>
      <w:r w:rsidRPr="00FA1732">
        <w:t xml:space="preserve"> ja nendega lahutamatult seotud teg</w:t>
      </w:r>
      <w:r w:rsidRPr="00FA1732" w:rsidR="008D7EC8">
        <w:t>evust</w:t>
      </w:r>
      <w:r w:rsidRPr="00FA1732">
        <w:t>;</w:t>
      </w:r>
    </w:p>
    <w:p w:rsidR="00DF7C5B" w:rsidRPr="00FA1732" w:rsidP="00DF7C5B" w14:paraId="6B031545" w14:textId="4D3E12CA">
      <w:pPr>
        <w:pStyle w:val="NormalHanging12a"/>
      </w:pPr>
      <w:r w:rsidRPr="00FA1732">
        <w:t>J.</w:t>
      </w:r>
      <w:r w:rsidRPr="00FA1732">
        <w:tab/>
        <w:t xml:space="preserve">arvestades, et Euroopa Parlament ei ole selle juhtumi puhul leidnud tõendeid </w:t>
      </w:r>
      <w:r w:rsidRPr="00FA1732">
        <w:rPr>
          <w:i/>
        </w:rPr>
        <w:t>fumus</w:t>
      </w:r>
      <w:r w:rsidRPr="00FA1732">
        <w:rPr>
          <w:i/>
        </w:rPr>
        <w:t xml:space="preserve"> </w:t>
      </w:r>
      <w:r w:rsidRPr="00FA1732">
        <w:rPr>
          <w:i/>
        </w:rPr>
        <w:t>persecutionis</w:t>
      </w:r>
      <w:r w:rsidRPr="00FA1732">
        <w:t>’e</w:t>
      </w:r>
      <w:r w:rsidRPr="00FA1732">
        <w:t xml:space="preserve"> kohta, s.t mis</w:t>
      </w:r>
      <w:r w:rsidRPr="00FA1732" w:rsidR="00C20D2F">
        <w:t>ki ei</w:t>
      </w:r>
      <w:r w:rsidRPr="00FA1732">
        <w:t xml:space="preserve"> viita sellele, et kohtumenetluse tegelik eesmärk on kahjustada </w:t>
      </w:r>
      <w:r w:rsidRPr="00FA1732">
        <w:t>Tomasz</w:t>
      </w:r>
      <w:r w:rsidRPr="00FA1732">
        <w:t xml:space="preserve"> </w:t>
      </w:r>
      <w:r w:rsidRPr="00FA1732">
        <w:t>Buczeki</w:t>
      </w:r>
      <w:r w:rsidRPr="00FA1732">
        <w:t xml:space="preserve"> kui Euroopa Parlamendi liikme</w:t>
      </w:r>
      <w:r w:rsidRPr="00FA1732" w:rsidR="008D7EC8">
        <w:t xml:space="preserve"> poliitilist tegevust </w:t>
      </w:r>
      <w:r w:rsidRPr="00FA1732" w:rsidR="00C20D2F">
        <w:t>ja seega Euroopa Parlamendi sõltumatust</w:t>
      </w:r>
      <w:r w:rsidRPr="00FA1732">
        <w:t>;</w:t>
      </w:r>
    </w:p>
    <w:p w:rsidR="00DF7C5B" w:rsidRPr="00FA1732" w:rsidP="00DF7C5B" w14:paraId="7053ECBA" w14:textId="61639B95">
      <w:pPr>
        <w:pStyle w:val="NormalHanging12a"/>
      </w:pPr>
      <w:r w:rsidRPr="00FA1732">
        <w:t>K.</w:t>
      </w:r>
      <w:r w:rsidRPr="00FA1732">
        <w:tab/>
        <w:t xml:space="preserve">arvestades, et esiteks ei saa </w:t>
      </w:r>
      <w:r w:rsidRPr="00FA1732" w:rsidR="00C20D2F">
        <w:t>Euroopa P</w:t>
      </w:r>
      <w:r w:rsidRPr="00FA1732">
        <w:t>arlamenti võrdsustada kohtuga ja teiseks ei tohi parlamendiliiget pidada puutumatuse äravõtmise menetluse raames süüdistatavaks</w:t>
      </w:r>
      <w:r>
        <w:rPr>
          <w:vertAlign w:val="superscript"/>
        </w:rPr>
        <w:footnoteReference w:id="3"/>
      </w:r>
      <w:r w:rsidRPr="00FA1732">
        <w:t>;</w:t>
      </w:r>
    </w:p>
    <w:p w:rsidR="00DF7C5B" w:rsidRPr="00FA1732" w:rsidP="00DF7C5B" w14:paraId="5EAD94BA" w14:textId="77777777">
      <w:pPr>
        <w:pStyle w:val="NormalHanging12a"/>
      </w:pPr>
      <w:r w:rsidRPr="00FA1732">
        <w:t>1.</w:t>
      </w:r>
      <w:r w:rsidRPr="00FA1732">
        <w:tab/>
        <w:t xml:space="preserve">otsustab </w:t>
      </w:r>
      <w:r w:rsidRPr="00FA1732">
        <w:t>Tomasz</w:t>
      </w:r>
      <w:r w:rsidRPr="00FA1732">
        <w:t xml:space="preserve"> </w:t>
      </w:r>
      <w:r w:rsidRPr="00FA1732">
        <w:t>Buczeki</w:t>
      </w:r>
      <w:r w:rsidRPr="00FA1732">
        <w:t xml:space="preserve"> puutumatuse ära võtta;</w:t>
      </w:r>
    </w:p>
    <w:p w:rsidR="00E365E1" w:rsidRPr="00FA1732" w:rsidP="00FA1732" w14:paraId="54CC402D" w14:textId="15487979">
      <w:pPr>
        <w:pStyle w:val="NormalHanging12a"/>
      </w:pPr>
      <w:r w:rsidRPr="00FA1732">
        <w:t>2.</w:t>
      </w:r>
      <w:r w:rsidRPr="00FA1732">
        <w:tab/>
        <w:t xml:space="preserve">teeb presidendile ülesandeks edastada käesolev otsus ja vastutava parlamendikomisjoni raport viivitamatult Poola Vabariigi pädevale ametiasutusele ja </w:t>
      </w:r>
      <w:r w:rsidRPr="00FA1732">
        <w:t>Tomasz</w:t>
      </w:r>
      <w:r w:rsidRPr="00FA1732">
        <w:t xml:space="preserve"> </w:t>
      </w:r>
      <w:r w:rsidRPr="00FA1732">
        <w:t>Buczekile</w:t>
      </w:r>
      <w:r w:rsidRPr="00FA1732">
        <w:t>.</w:t>
      </w:r>
    </w:p>
    <w:sectPr w:rsidSect="0060133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33D" w14:paraId="4B0D0EB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33D" w14:paraId="742DA48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33D" w14:paraId="4505A4E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80A89" w:rsidRPr="0060133D" w14:paraId="750A84E2" w14:textId="77777777">
      <w:r w:rsidRPr="0060133D">
        <w:separator/>
      </w:r>
    </w:p>
  </w:footnote>
  <w:footnote w:type="continuationSeparator" w:id="1">
    <w:p w:rsidR="00A80A89" w:rsidRPr="0060133D" w14:paraId="1467107C" w14:textId="77777777">
      <w:r w:rsidRPr="0060133D">
        <w:continuationSeparator/>
      </w:r>
    </w:p>
  </w:footnote>
  <w:footnote w:id="2">
    <w:p w:rsidR="00DF7C5B" w:rsidRPr="0060133D" w:rsidP="0060133D" w14:paraId="35B6ED4D" w14:textId="210E4814">
      <w:pPr>
        <w:pStyle w:val="FootnoteText"/>
        <w:ind w:left="567" w:hanging="567"/>
        <w:rPr>
          <w:sz w:val="24"/>
          <w:lang w:val="et-EE"/>
        </w:rPr>
      </w:pPr>
      <w:r w:rsidRPr="0060133D">
        <w:rPr>
          <w:rStyle w:val="FootnoteReference"/>
          <w:sz w:val="24"/>
          <w:lang w:val="et-EE"/>
        </w:rPr>
        <w:footnoteRef/>
      </w:r>
      <w:r w:rsidRPr="0060133D" w:rsidR="0060133D">
        <w:rPr>
          <w:sz w:val="24"/>
          <w:lang w:val="et-EE"/>
        </w:rPr>
        <w:tab/>
      </w:r>
      <w:r w:rsidRPr="0060133D">
        <w:rPr>
          <w:sz w:val="24"/>
          <w:lang w:val="et-EE"/>
        </w:rPr>
        <w:t xml:space="preserve">kohtuotsus, Euroopa Kohus, 21. oktoober 2008, </w:t>
      </w:r>
      <w:r w:rsidRPr="0060133D">
        <w:rPr>
          <w:sz w:val="24"/>
          <w:lang w:val="et-EE"/>
        </w:rPr>
        <w:t>Marra</w:t>
      </w:r>
      <w:r w:rsidRPr="0060133D">
        <w:rPr>
          <w:sz w:val="24"/>
          <w:lang w:val="et-EE"/>
        </w:rPr>
        <w:t xml:space="preserve"> </w:t>
      </w:r>
      <w:r w:rsidRPr="0060133D">
        <w:rPr>
          <w:i/>
          <w:iCs/>
          <w:sz w:val="24"/>
          <w:lang w:val="et-EE"/>
        </w:rPr>
        <w:t>vs</w:t>
      </w:r>
      <w:r w:rsidRPr="0060133D">
        <w:rPr>
          <w:sz w:val="24"/>
          <w:lang w:val="et-EE"/>
        </w:rPr>
        <w:t xml:space="preserve">. De </w:t>
      </w:r>
      <w:r w:rsidRPr="0060133D">
        <w:rPr>
          <w:sz w:val="24"/>
          <w:lang w:val="et-EE"/>
        </w:rPr>
        <w:t>Gregorio</w:t>
      </w:r>
      <w:r w:rsidRPr="0060133D">
        <w:rPr>
          <w:sz w:val="24"/>
          <w:lang w:val="et-EE"/>
        </w:rPr>
        <w:t xml:space="preserve"> ja </w:t>
      </w:r>
      <w:r w:rsidRPr="0060133D">
        <w:rPr>
          <w:sz w:val="24"/>
          <w:lang w:val="et-EE"/>
        </w:rPr>
        <w:t>Clemente</w:t>
      </w:r>
      <w:r w:rsidRPr="0060133D">
        <w:rPr>
          <w:sz w:val="24"/>
          <w:lang w:val="et-EE"/>
        </w:rPr>
        <w:t xml:space="preserve">, C-200/07 ja C-201/07, ECLI:EU:C:2008:579; kohtuotsus, </w:t>
      </w:r>
      <w:r w:rsidRPr="0060133D">
        <w:rPr>
          <w:sz w:val="24"/>
          <w:lang w:val="et-EE"/>
        </w:rPr>
        <w:t>Üldkohus</w:t>
      </w:r>
      <w:r w:rsidRPr="0060133D">
        <w:rPr>
          <w:sz w:val="24"/>
          <w:lang w:val="et-EE"/>
        </w:rPr>
        <w:t xml:space="preserve">, 19. märts 2010, </w:t>
      </w:r>
      <w:r w:rsidRPr="0060133D">
        <w:rPr>
          <w:sz w:val="24"/>
          <w:lang w:val="et-EE"/>
        </w:rPr>
        <w:t>Gollnisch</w:t>
      </w:r>
      <w:r w:rsidRPr="0060133D">
        <w:rPr>
          <w:sz w:val="24"/>
          <w:lang w:val="et-EE"/>
        </w:rPr>
        <w:t xml:space="preserve"> </w:t>
      </w:r>
      <w:r w:rsidRPr="0060133D">
        <w:rPr>
          <w:i/>
          <w:iCs/>
          <w:sz w:val="24"/>
          <w:lang w:val="et-EE"/>
        </w:rPr>
        <w:t>vs</w:t>
      </w:r>
      <w:r w:rsidRPr="0060133D">
        <w:rPr>
          <w:sz w:val="24"/>
          <w:lang w:val="et-EE"/>
        </w:rPr>
        <w:t xml:space="preserve">. </w:t>
      </w:r>
      <w:r w:rsidR="00F328E0">
        <w:rPr>
          <w:sz w:val="24"/>
          <w:lang w:val="et-EE"/>
        </w:rPr>
        <w:t>Euroopa P</w:t>
      </w:r>
      <w:r w:rsidRPr="0060133D">
        <w:rPr>
          <w:sz w:val="24"/>
          <w:lang w:val="et-EE"/>
        </w:rPr>
        <w:t xml:space="preserve">arlament, T-42/06, ECLI:EU:T:2010:102; kohtuotsus, Euroopa Kohus, 6. september 2011, </w:t>
      </w:r>
      <w:r w:rsidRPr="0060133D">
        <w:rPr>
          <w:sz w:val="24"/>
          <w:lang w:val="et-EE"/>
        </w:rPr>
        <w:t>Patriciello</w:t>
      </w:r>
      <w:r w:rsidRPr="0060133D">
        <w:rPr>
          <w:sz w:val="24"/>
          <w:lang w:val="et-EE"/>
        </w:rPr>
        <w:t xml:space="preserve">, C-163/10, ECLI: EU:C:2011:543; kohtuotsus, </w:t>
      </w:r>
      <w:r w:rsidRPr="0060133D">
        <w:rPr>
          <w:sz w:val="24"/>
          <w:lang w:val="et-EE"/>
        </w:rPr>
        <w:t>Üldkohus</w:t>
      </w:r>
      <w:r w:rsidRPr="0060133D">
        <w:rPr>
          <w:sz w:val="24"/>
          <w:lang w:val="et-EE"/>
        </w:rPr>
        <w:t xml:space="preserve">, 17. jaanuar 2013, </w:t>
      </w:r>
      <w:r w:rsidRPr="0060133D">
        <w:rPr>
          <w:sz w:val="24"/>
          <w:lang w:val="et-EE"/>
        </w:rPr>
        <w:t>Gollnisch</w:t>
      </w:r>
      <w:r w:rsidRPr="0060133D">
        <w:rPr>
          <w:sz w:val="24"/>
          <w:lang w:val="et-EE"/>
        </w:rPr>
        <w:t xml:space="preserve"> </w:t>
      </w:r>
      <w:r w:rsidRPr="0060133D">
        <w:rPr>
          <w:i/>
          <w:iCs/>
          <w:sz w:val="24"/>
          <w:lang w:val="et-EE"/>
        </w:rPr>
        <w:t>vs</w:t>
      </w:r>
      <w:r w:rsidRPr="0060133D">
        <w:rPr>
          <w:sz w:val="24"/>
          <w:lang w:val="et-EE"/>
        </w:rPr>
        <w:t xml:space="preserve">. </w:t>
      </w:r>
      <w:r w:rsidR="00F328E0">
        <w:rPr>
          <w:sz w:val="24"/>
          <w:lang w:val="et-EE"/>
        </w:rPr>
        <w:t>Euroopa P</w:t>
      </w:r>
      <w:r w:rsidRPr="0060133D">
        <w:rPr>
          <w:sz w:val="24"/>
          <w:lang w:val="et-EE"/>
        </w:rPr>
        <w:t xml:space="preserve">arlament, T-346/11 ja T-347/11, ECLI:EU:T:2013:23; kohtuotsus, Euroopa Kohus, 19. detsember 2019, </w:t>
      </w:r>
      <w:r w:rsidRPr="0060133D">
        <w:rPr>
          <w:sz w:val="24"/>
          <w:lang w:val="et-EE"/>
        </w:rPr>
        <w:t>Junqueras</w:t>
      </w:r>
      <w:r w:rsidRPr="0060133D">
        <w:rPr>
          <w:sz w:val="24"/>
          <w:lang w:val="et-EE"/>
        </w:rPr>
        <w:t xml:space="preserve"> </w:t>
      </w:r>
      <w:r w:rsidRPr="0060133D">
        <w:rPr>
          <w:sz w:val="24"/>
          <w:lang w:val="et-EE"/>
        </w:rPr>
        <w:t>Vies</w:t>
      </w:r>
      <w:r w:rsidRPr="0060133D">
        <w:rPr>
          <w:sz w:val="24"/>
          <w:lang w:val="et-EE"/>
        </w:rPr>
        <w:t>, C-502/19, ECLI:EU:C:2019:1115.</w:t>
      </w:r>
    </w:p>
  </w:footnote>
  <w:footnote w:id="3">
    <w:p w:rsidR="00DF7C5B" w:rsidRPr="0060133D" w:rsidP="0060133D" w14:paraId="45BA60F0" w14:textId="3BEFE9CD">
      <w:pPr>
        <w:pStyle w:val="FootnoteText"/>
        <w:ind w:left="567" w:hanging="567"/>
        <w:rPr>
          <w:sz w:val="24"/>
          <w:lang w:val="et-EE"/>
        </w:rPr>
      </w:pPr>
      <w:r w:rsidRPr="0060133D">
        <w:rPr>
          <w:rStyle w:val="FootnoteReference"/>
          <w:sz w:val="24"/>
          <w:lang w:val="et-EE"/>
        </w:rPr>
        <w:footnoteRef/>
      </w:r>
      <w:r w:rsidRPr="0060133D" w:rsidR="0060133D">
        <w:rPr>
          <w:sz w:val="24"/>
          <w:lang w:val="et-EE"/>
        </w:rPr>
        <w:tab/>
      </w:r>
      <w:r w:rsidRPr="0060133D">
        <w:rPr>
          <w:sz w:val="24"/>
          <w:lang w:val="et-EE"/>
        </w:rPr>
        <w:t xml:space="preserve">Kohtuotsus, </w:t>
      </w:r>
      <w:r w:rsidRPr="0060133D">
        <w:rPr>
          <w:sz w:val="24"/>
          <w:lang w:val="et-EE"/>
        </w:rPr>
        <w:t>Üldkohus</w:t>
      </w:r>
      <w:r w:rsidRPr="0060133D">
        <w:rPr>
          <w:sz w:val="24"/>
          <w:lang w:val="et-EE"/>
        </w:rPr>
        <w:t xml:space="preserve">, 30. aprill 2019, </w:t>
      </w:r>
      <w:r w:rsidRPr="0060133D">
        <w:rPr>
          <w:sz w:val="24"/>
          <w:lang w:val="et-EE"/>
        </w:rPr>
        <w:t>Briois</w:t>
      </w:r>
      <w:r w:rsidRPr="0060133D">
        <w:rPr>
          <w:sz w:val="24"/>
          <w:lang w:val="et-EE"/>
        </w:rPr>
        <w:t xml:space="preserve"> </w:t>
      </w:r>
      <w:r w:rsidRPr="0060133D">
        <w:rPr>
          <w:i/>
          <w:iCs/>
          <w:sz w:val="24"/>
          <w:lang w:val="et-EE"/>
        </w:rPr>
        <w:t>vs</w:t>
      </w:r>
      <w:r w:rsidRPr="0060133D">
        <w:rPr>
          <w:sz w:val="24"/>
          <w:lang w:val="et-EE"/>
        </w:rPr>
        <w:t xml:space="preserve">. </w:t>
      </w:r>
      <w:r w:rsidR="00170021">
        <w:rPr>
          <w:sz w:val="24"/>
          <w:lang w:val="et-EE"/>
        </w:rPr>
        <w:t>Euroopa P</w:t>
      </w:r>
      <w:r w:rsidRPr="0060133D">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33D" w14:paraId="125F489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33D" w14:paraId="1FA1126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33D" w14:paraId="1051C70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283180">
    <w:abstractNumId w:val="9"/>
  </w:num>
  <w:num w:numId="2" w16cid:durableId="1731269735">
    <w:abstractNumId w:val="9"/>
  </w:num>
  <w:num w:numId="3" w16cid:durableId="535582949">
    <w:abstractNumId w:val="7"/>
  </w:num>
  <w:num w:numId="4" w16cid:durableId="1916552413">
    <w:abstractNumId w:val="7"/>
  </w:num>
  <w:num w:numId="5" w16cid:durableId="1270043530">
    <w:abstractNumId w:val="6"/>
  </w:num>
  <w:num w:numId="6" w16cid:durableId="46532947">
    <w:abstractNumId w:val="6"/>
  </w:num>
  <w:num w:numId="7" w16cid:durableId="1979259999">
    <w:abstractNumId w:val="5"/>
  </w:num>
  <w:num w:numId="8" w16cid:durableId="525824735">
    <w:abstractNumId w:val="5"/>
  </w:num>
  <w:num w:numId="9" w16cid:durableId="1938757324">
    <w:abstractNumId w:val="4"/>
  </w:num>
  <w:num w:numId="10" w16cid:durableId="103113460">
    <w:abstractNumId w:val="4"/>
  </w:num>
  <w:num w:numId="11" w16cid:durableId="305859107">
    <w:abstractNumId w:val="8"/>
  </w:num>
  <w:num w:numId="12" w16cid:durableId="2033221357">
    <w:abstractNumId w:val="8"/>
  </w:num>
  <w:num w:numId="13" w16cid:durableId="1048997557">
    <w:abstractNumId w:val="3"/>
  </w:num>
  <w:num w:numId="14" w16cid:durableId="1728410138">
    <w:abstractNumId w:val="3"/>
  </w:num>
  <w:num w:numId="15" w16cid:durableId="371806891">
    <w:abstractNumId w:val="2"/>
  </w:num>
  <w:num w:numId="16" w16cid:durableId="274096086">
    <w:abstractNumId w:val="2"/>
  </w:num>
  <w:num w:numId="17" w16cid:durableId="757408305">
    <w:abstractNumId w:val="1"/>
  </w:num>
  <w:num w:numId="18" w16cid:durableId="2096896688">
    <w:abstractNumId w:val="1"/>
  </w:num>
  <w:num w:numId="19" w16cid:durableId="983510552">
    <w:abstractNumId w:val="0"/>
  </w:num>
  <w:num w:numId="20" w16cid:durableId="1759597595">
    <w:abstractNumId w:val="0"/>
  </w:num>
  <w:num w:numId="21" w16cid:durableId="994407761">
    <w:abstractNumId w:val="9"/>
  </w:num>
  <w:num w:numId="22" w16cid:durableId="1454207073">
    <w:abstractNumId w:val="7"/>
  </w:num>
  <w:num w:numId="23" w16cid:durableId="890925429">
    <w:abstractNumId w:val="6"/>
  </w:num>
  <w:num w:numId="24" w16cid:durableId="223835099">
    <w:abstractNumId w:val="5"/>
  </w:num>
  <w:num w:numId="25" w16cid:durableId="1677687943">
    <w:abstractNumId w:val="4"/>
  </w:num>
  <w:num w:numId="26" w16cid:durableId="1067455532">
    <w:abstractNumId w:val="8"/>
  </w:num>
  <w:num w:numId="27" w16cid:durableId="1349671585">
    <w:abstractNumId w:val="3"/>
  </w:num>
  <w:num w:numId="28" w16cid:durableId="1394502428">
    <w:abstractNumId w:val="2"/>
  </w:num>
  <w:num w:numId="29" w16cid:durableId="942107765">
    <w:abstractNumId w:val="1"/>
  </w:num>
  <w:num w:numId="30" w16cid:durableId="85150541">
    <w:abstractNumId w:val="0"/>
  </w:num>
  <w:num w:numId="31" w16cid:durableId="1716852618">
    <w:abstractNumId w:val="9"/>
  </w:num>
  <w:num w:numId="32" w16cid:durableId="287397425">
    <w:abstractNumId w:val="7"/>
  </w:num>
  <w:num w:numId="33" w16cid:durableId="543367737">
    <w:abstractNumId w:val="6"/>
  </w:num>
  <w:num w:numId="34" w16cid:durableId="235290553">
    <w:abstractNumId w:val="5"/>
  </w:num>
  <w:num w:numId="35" w16cid:durableId="1195654276">
    <w:abstractNumId w:val="4"/>
  </w:num>
  <w:num w:numId="36" w16cid:durableId="1620988692">
    <w:abstractNumId w:val="8"/>
  </w:num>
  <w:num w:numId="37" w16cid:durableId="1703281224">
    <w:abstractNumId w:val="3"/>
  </w:num>
  <w:num w:numId="38" w16cid:durableId="721634018">
    <w:abstractNumId w:val="2"/>
  </w:num>
  <w:num w:numId="39" w16cid:durableId="301466770">
    <w:abstractNumId w:val="1"/>
  </w:num>
  <w:num w:numId="40" w16cid:durableId="1901208199">
    <w:abstractNumId w:val="0"/>
  </w:num>
  <w:num w:numId="41" w16cid:durableId="602147462">
    <w:abstractNumId w:val="10"/>
  </w:num>
  <w:num w:numId="42" w16cid:durableId="1315646288">
    <w:abstractNumId w:val="10"/>
  </w:num>
  <w:num w:numId="43" w16cid:durableId="585769435">
    <w:abstractNumId w:val="10"/>
  </w:num>
  <w:num w:numId="44" w16cid:durableId="17312696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A89"/>
    <w:rsid w:val="00002272"/>
    <w:rsid w:val="00064002"/>
    <w:rsid w:val="000677B9"/>
    <w:rsid w:val="000831BA"/>
    <w:rsid w:val="000A42CC"/>
    <w:rsid w:val="000E7DD9"/>
    <w:rsid w:val="0010095E"/>
    <w:rsid w:val="00115490"/>
    <w:rsid w:val="00125B37"/>
    <w:rsid w:val="001366A1"/>
    <w:rsid w:val="00170021"/>
    <w:rsid w:val="00187494"/>
    <w:rsid w:val="001F32AE"/>
    <w:rsid w:val="002767FF"/>
    <w:rsid w:val="002B18FE"/>
    <w:rsid w:val="002B5493"/>
    <w:rsid w:val="002F63DF"/>
    <w:rsid w:val="00343214"/>
    <w:rsid w:val="00361C00"/>
    <w:rsid w:val="00395FA1"/>
    <w:rsid w:val="003E15D4"/>
    <w:rsid w:val="00411CCE"/>
    <w:rsid w:val="0041666E"/>
    <w:rsid w:val="00421060"/>
    <w:rsid w:val="00471C19"/>
    <w:rsid w:val="00481BFA"/>
    <w:rsid w:val="004867E3"/>
    <w:rsid w:val="00494A28"/>
    <w:rsid w:val="004C0004"/>
    <w:rsid w:val="004C5D52"/>
    <w:rsid w:val="0050519A"/>
    <w:rsid w:val="005072A1"/>
    <w:rsid w:val="00514517"/>
    <w:rsid w:val="00520A26"/>
    <w:rsid w:val="00545827"/>
    <w:rsid w:val="00560270"/>
    <w:rsid w:val="005C2568"/>
    <w:rsid w:val="005F1B17"/>
    <w:rsid w:val="0060133D"/>
    <w:rsid w:val="006037C0"/>
    <w:rsid w:val="0064117B"/>
    <w:rsid w:val="006631B6"/>
    <w:rsid w:val="00680577"/>
    <w:rsid w:val="006F6D8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EC8"/>
    <w:rsid w:val="00930C23"/>
    <w:rsid w:val="0093193B"/>
    <w:rsid w:val="009509D8"/>
    <w:rsid w:val="00950B64"/>
    <w:rsid w:val="00981893"/>
    <w:rsid w:val="00A1687D"/>
    <w:rsid w:val="00A43E52"/>
    <w:rsid w:val="00A4678D"/>
    <w:rsid w:val="00A778C7"/>
    <w:rsid w:val="00A80A89"/>
    <w:rsid w:val="00AB441E"/>
    <w:rsid w:val="00AB6293"/>
    <w:rsid w:val="00AE0928"/>
    <w:rsid w:val="00AF3B82"/>
    <w:rsid w:val="00B12E95"/>
    <w:rsid w:val="00B22876"/>
    <w:rsid w:val="00B36A00"/>
    <w:rsid w:val="00B558F0"/>
    <w:rsid w:val="00BD48FE"/>
    <w:rsid w:val="00BD7BD8"/>
    <w:rsid w:val="00BE6ADC"/>
    <w:rsid w:val="00C03987"/>
    <w:rsid w:val="00C05BFE"/>
    <w:rsid w:val="00C20D2F"/>
    <w:rsid w:val="00C23CD4"/>
    <w:rsid w:val="00C61C0C"/>
    <w:rsid w:val="00C941CB"/>
    <w:rsid w:val="00CC2357"/>
    <w:rsid w:val="00CF071A"/>
    <w:rsid w:val="00D058B8"/>
    <w:rsid w:val="00D25ABA"/>
    <w:rsid w:val="00D56C11"/>
    <w:rsid w:val="00D834A0"/>
    <w:rsid w:val="00D872DF"/>
    <w:rsid w:val="00D91E21"/>
    <w:rsid w:val="00DA7FCD"/>
    <w:rsid w:val="00DF7C5B"/>
    <w:rsid w:val="00E236D2"/>
    <w:rsid w:val="00E365E1"/>
    <w:rsid w:val="00E820A4"/>
    <w:rsid w:val="00EB006A"/>
    <w:rsid w:val="00EB4772"/>
    <w:rsid w:val="00EB55FE"/>
    <w:rsid w:val="00ED169E"/>
    <w:rsid w:val="00ED4235"/>
    <w:rsid w:val="00F04346"/>
    <w:rsid w:val="00F075DC"/>
    <w:rsid w:val="00F149E9"/>
    <w:rsid w:val="00F328E0"/>
    <w:rsid w:val="00F5134D"/>
    <w:rsid w:val="00F70717"/>
    <w:rsid w:val="00F74202"/>
    <w:rsid w:val="00F87713"/>
    <w:rsid w:val="00FA1732"/>
    <w:rsid w:val="00FB4360"/>
    <w:rsid w:val="00FD0C70"/>
  </w:rsids>
  <w:docVars>
    <w:docVar w:name="dvdocse" w:val="A10-0116/2026"/>
    <w:docVar w:name="dvlangue" w:val="ET"/>
    <w:docVar w:name="dvnumam" w:val="0"/>
    <w:docVar w:name="dvpe" w:val="786.694"/>
    <w:docVar w:name="dvrapporteur" w:val="Raportöör: "/>
    <w:docVar w:name="dvtitre" w:val="Euroopa Parlamendi .... 2026. aasta otsus Tomasz Buczeki puutumatuse äravõtmise taotluse kohta(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6DA4439"/>
  <w15:chartTrackingRefBased/>
  <w15:docId w15:val="{0187D1F8-59B3-42E3-90E9-2EA474D43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F7C5B"/>
    <w:pPr>
      <w:spacing w:after="240"/>
      <w:ind w:left="567" w:hanging="567"/>
    </w:pPr>
  </w:style>
  <w:style w:type="paragraph" w:customStyle="1" w:styleId="EPComma">
    <w:name w:val="EPComma"/>
    <w:basedOn w:val="Normal"/>
    <w:rsid w:val="00DF7C5B"/>
    <w:pPr>
      <w:spacing w:before="480" w:after="240"/>
    </w:pPr>
  </w:style>
  <w:style w:type="paragraph" w:styleId="Revision">
    <w:name w:val="Revision"/>
    <w:hidden/>
    <w:uiPriority w:val="99"/>
    <w:semiHidden/>
    <w:rsid w:val="00EB55F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628</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2026-04-28T10:47:00Z</dcterms:created>
  <dcterms:modified xsi:type="dcterms:W3CDTF">2026-04-28T11:42:00Z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A10-0116/2026</vt:lpwstr>
  </property>
  <property fmtid="{D5CDD505-2E9C-101B-9397-08002B2CF9AE}" pid="4" name="&lt;Type&gt;">
    <vt:lpwstr>RR</vt:lpwstr>
  </property>
</Properties>
</file>