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12EB159" w14:textId="77777777" w:rsidTr="0010095E">
        <w:tblPrEx>
          <w:tblW w:w="9072" w:type="dxa"/>
          <w:tblLook w:val="01E0"/>
        </w:tblPrEx>
        <w:trPr>
          <w:trHeight w:hRule="exact" w:val="1418"/>
        </w:trPr>
        <w:tc>
          <w:tcPr>
            <w:tcW w:w="6804" w:type="dxa"/>
            <w:shd w:val="clear" w:color="auto" w:fill="auto"/>
            <w:vAlign w:val="center"/>
          </w:tcPr>
          <w:p w:rsidR="00751A4A" w:rsidRPr="004E6783" w:rsidP="0010095E" w14:paraId="3B061C42" w14:textId="77777777">
            <w:pPr>
              <w:pStyle w:val="EPName"/>
            </w:pPr>
            <w:r w:rsidRPr="004E6783">
              <w:t>Euroopan parlamentti</w:t>
            </w:r>
          </w:p>
          <w:p w:rsidR="00751A4A" w:rsidRPr="004E6783" w:rsidP="005F1B17" w14:paraId="7476F1D4" w14:textId="77777777">
            <w:pPr>
              <w:pStyle w:val="EPTerm"/>
              <w:rPr>
                <w:rStyle w:val="HideTWBExt"/>
                <w:noProof w:val="0"/>
                <w:vanish w:val="0"/>
                <w:color w:val="auto"/>
              </w:rPr>
            </w:pPr>
            <w:r w:rsidRPr="004E6783">
              <w:t>2024</w:t>
            </w:r>
            <w:r w:rsidRPr="004E6783" w:rsidR="00817416">
              <w:t>-202</w:t>
            </w:r>
            <w:r w:rsidRPr="004E6783">
              <w:t>9</w:t>
            </w:r>
          </w:p>
        </w:tc>
        <w:tc>
          <w:tcPr>
            <w:tcW w:w="2268" w:type="dxa"/>
            <w:shd w:val="clear" w:color="auto" w:fill="auto"/>
          </w:tcPr>
          <w:p w:rsidR="00751A4A" w:rsidRPr="004E6783" w:rsidP="0010095E" w14:paraId="12285AC3" w14:textId="77777777">
            <w:pPr>
              <w:pStyle w:val="EPLogo"/>
            </w:pPr>
            <w:r w:rsidRPr="004E678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E6783" w:rsidP="004C5D52" w14:paraId="67567A3F" w14:textId="77777777">
      <w:pPr>
        <w:pStyle w:val="LineTop"/>
      </w:pPr>
    </w:p>
    <w:p w:rsidR="00680577" w:rsidRPr="004E6783" w:rsidP="00680577" w14:paraId="7B9CB7B2" w14:textId="77777777">
      <w:pPr>
        <w:pStyle w:val="EPBodyTA1"/>
      </w:pPr>
      <w:r w:rsidRPr="004E6783">
        <w:t>HYVÄKSYTYT TEKSTIT</w:t>
      </w:r>
    </w:p>
    <w:p w:rsidR="00D058B8" w:rsidRPr="004E6783" w:rsidP="00D058B8" w14:paraId="46402EAF" w14:textId="77777777">
      <w:pPr>
        <w:pStyle w:val="LineBottom"/>
      </w:pPr>
    </w:p>
    <w:p w:rsidR="00120FBC" w:rsidRPr="004E6783" w:rsidP="00120FBC" w14:paraId="274BD5B4" w14:textId="72E9E849">
      <w:pPr>
        <w:pStyle w:val="ATHeading1"/>
      </w:pPr>
      <w:bookmarkStart w:id="0" w:name="TANumber"/>
      <w:r w:rsidRPr="004E6783">
        <w:t>P10_TA(2026)0</w:t>
      </w:r>
      <w:r w:rsidRPr="004E6783" w:rsidR="004E6783">
        <w:t>107</w:t>
      </w:r>
      <w:bookmarkEnd w:id="0"/>
    </w:p>
    <w:p w:rsidR="00120FBC" w:rsidRPr="004E6783" w:rsidP="00120FBC" w14:paraId="235223F9" w14:textId="739A5EF5">
      <w:pPr>
        <w:pStyle w:val="ATHeading2"/>
      </w:pPr>
      <w:bookmarkStart w:id="1" w:name="title"/>
      <w:r w:rsidRPr="004E6783">
        <w:t>Tomasz</w:t>
      </w:r>
      <w:r w:rsidRPr="004E6783">
        <w:t xml:space="preserve"> </w:t>
      </w:r>
      <w:r w:rsidRPr="004E6783">
        <w:t>Buczekin</w:t>
      </w:r>
      <w:r w:rsidRPr="004E6783">
        <w:t xml:space="preserve"> koskemattomuuden pidättämistä koskeva</w:t>
      </w:r>
      <w:bookmarkEnd w:id="1"/>
      <w:r w:rsidRPr="004E6783">
        <w:t xml:space="preserve"> pyyntö</w:t>
      </w:r>
    </w:p>
    <w:p w:rsidR="00120FBC" w:rsidRPr="004E6783" w:rsidP="00120FBC" w14:paraId="213AC92C" w14:textId="77777777">
      <w:pPr>
        <w:rPr>
          <w:i/>
          <w:vanish/>
        </w:rPr>
      </w:pPr>
      <w:r>
        <w:rPr>
          <w:i/>
        </w:rPr>
        <w:fldChar w:fldCharType="begin"/>
      </w:r>
      <w:r w:rsidRPr="004E6783">
        <w:rPr>
          <w:i/>
        </w:rPr>
        <w:instrText xml:space="preserve"> TC"(</w:instrText>
      </w:r>
      <w:bookmarkStart w:id="2" w:name="DocNumber"/>
      <w:r w:rsidRPr="004E6783">
        <w:rPr>
          <w:i/>
        </w:rPr>
        <w:instrText>A10-0116/2026</w:instrText>
      </w:r>
      <w:bookmarkEnd w:id="2"/>
      <w:r w:rsidRPr="004E6783">
        <w:rPr>
          <w:i/>
        </w:rPr>
        <w:instrText xml:space="preserve"> - Esittelijä: David Cormand)"\l3 \n&gt; \* MERGEFORMAT </w:instrText>
      </w:r>
      <w:r>
        <w:rPr>
          <w:i/>
        </w:rPr>
        <w:fldChar w:fldCharType="end"/>
      </w:r>
    </w:p>
    <w:p w:rsidR="00120FBC" w:rsidRPr="004E6783" w:rsidP="00120FBC" w14:paraId="67445BEC" w14:textId="77777777">
      <w:pPr>
        <w:rPr>
          <w:vanish/>
        </w:rPr>
      </w:pPr>
      <w:bookmarkStart w:id="3" w:name="Commission"/>
      <w:r w:rsidRPr="004E6783">
        <w:rPr>
          <w:vanish/>
        </w:rPr>
        <w:t>Oikeudellisten asioiden valiokunta</w:t>
      </w:r>
      <w:bookmarkEnd w:id="3"/>
    </w:p>
    <w:p w:rsidR="00120FBC" w:rsidRPr="004E6783" w:rsidP="00120FBC" w14:paraId="44875CC1" w14:textId="77777777">
      <w:pPr>
        <w:rPr>
          <w:vanish/>
        </w:rPr>
      </w:pPr>
      <w:bookmarkStart w:id="4" w:name="PE"/>
      <w:r w:rsidRPr="004E6783">
        <w:rPr>
          <w:vanish/>
        </w:rPr>
        <w:t>PE786.694</w:t>
      </w:r>
      <w:bookmarkEnd w:id="4"/>
    </w:p>
    <w:p w:rsidR="00120FBC" w:rsidRPr="004E6783" w:rsidP="00120FBC" w14:paraId="17FE20CC" w14:textId="6DAACF89">
      <w:pPr>
        <w:pStyle w:val="ATHeading3"/>
      </w:pPr>
      <w:bookmarkStart w:id="5" w:name="Sujet"/>
      <w:r w:rsidRPr="004E6783">
        <w:t xml:space="preserve">Euroopan parlamentin päätös </w:t>
      </w:r>
      <w:r w:rsidRPr="004E6783" w:rsidR="008E38BA">
        <w:t>28</w:t>
      </w:r>
      <w:r w:rsidRPr="004E6783">
        <w:t xml:space="preserve">. huhtikuuta 2026 </w:t>
      </w:r>
      <w:r w:rsidRPr="004E6783">
        <w:t>Tomasz</w:t>
      </w:r>
      <w:r w:rsidRPr="004E6783">
        <w:t xml:space="preserve"> </w:t>
      </w:r>
      <w:r w:rsidRPr="004E6783">
        <w:t>Buczekin</w:t>
      </w:r>
      <w:r w:rsidRPr="004E6783">
        <w:t xml:space="preserve"> koskemattomuuden pidättämistä koskevasta pyynnöstä</w:t>
      </w:r>
      <w:bookmarkEnd w:id="5"/>
      <w:r w:rsidRPr="004E6783">
        <w:t xml:space="preserve"> </w:t>
      </w:r>
      <w:bookmarkStart w:id="6" w:name="References"/>
      <w:r w:rsidRPr="004E6783">
        <w:t>(2025/2193(IMM))</w:t>
      </w:r>
      <w:bookmarkEnd w:id="6"/>
    </w:p>
    <w:p w:rsidR="002D6757" w:rsidRPr="004E6783" w:rsidP="008E38BA" w14:paraId="71F6BE66" w14:textId="77777777">
      <w:pPr>
        <w:pStyle w:val="EPComma"/>
        <w:widowControl/>
      </w:pPr>
      <w:bookmarkStart w:id="7" w:name="TextBodyBegin"/>
      <w:bookmarkEnd w:id="7"/>
      <w:r w:rsidRPr="004E6783">
        <w:rPr>
          <w:i/>
          <w:iCs/>
        </w:rPr>
        <w:t>Euroopan parlamentti</w:t>
      </w:r>
      <w:r w:rsidRPr="004E6783">
        <w:t>, joka</w:t>
      </w:r>
    </w:p>
    <w:p w:rsidR="002D6757" w:rsidRPr="004E6783" w:rsidP="008E38BA" w14:paraId="21F33AE1" w14:textId="7DC8BA5D">
      <w:pPr>
        <w:pStyle w:val="NormalHanging12a"/>
        <w:widowControl/>
      </w:pPr>
      <w:r w:rsidRPr="004E6783">
        <w:t>–</w:t>
      </w:r>
      <w:r w:rsidRPr="004E6783">
        <w:tab/>
        <w:t xml:space="preserve">ottaa huomioon </w:t>
      </w:r>
      <w:r w:rsidRPr="004E6783">
        <w:t>Tomasz</w:t>
      </w:r>
      <w:r w:rsidRPr="004E6783">
        <w:t xml:space="preserve"> </w:t>
      </w:r>
      <w:r w:rsidRPr="004E6783">
        <w:t>Buczekin</w:t>
      </w:r>
      <w:r w:rsidRPr="004E6783">
        <w:t xml:space="preserve"> koskemattomuuden pidättämistä koskevan pyynnön, jonka toimitti </w:t>
      </w:r>
      <w:r w:rsidRPr="004E6783" w:rsidR="00D77A56">
        <w:t xml:space="preserve">12. syyskuuta 2025 päivätyllä kirjeellä </w:t>
      </w:r>
      <w:r w:rsidRPr="004E6783">
        <w:t>Tarnobrzegin</w:t>
      </w:r>
      <w:r w:rsidRPr="004E6783">
        <w:t xml:space="preserve"> piirioikeuden toinen rikosasioiden jaosto</w:t>
      </w:r>
      <w:r w:rsidRPr="004E6783" w:rsidR="00D77A56">
        <w:t xml:space="preserve"> </w:t>
      </w:r>
      <w:r w:rsidRPr="004E6783">
        <w:t>Tomasz</w:t>
      </w:r>
      <w:r w:rsidRPr="004E6783">
        <w:t xml:space="preserve"> </w:t>
      </w:r>
      <w:r w:rsidRPr="004E6783">
        <w:t>Buczekia</w:t>
      </w:r>
      <w:r w:rsidRPr="004E6783">
        <w:t xml:space="preserve"> vastaan asianomistajan laillisen edustajan esittämän haastehakemuksen nojalla aloitettavassa rikosoikeudellisessa menettelyssä ja josta ilmoitettiin täysistunnossa 6. lokakuuta 2025,</w:t>
      </w:r>
    </w:p>
    <w:p w:rsidR="002D6757" w:rsidRPr="004E6783" w:rsidP="008E38BA" w14:paraId="0B268BE7" w14:textId="18A27D58">
      <w:pPr>
        <w:pStyle w:val="NormalHanging12a"/>
        <w:widowControl/>
      </w:pPr>
      <w:r w:rsidRPr="004E6783">
        <w:t>–</w:t>
      </w:r>
      <w:r w:rsidRPr="004E6783">
        <w:tab/>
        <w:t xml:space="preserve">on kuullut </w:t>
      </w:r>
      <w:r w:rsidRPr="004E6783">
        <w:t>Tomasz</w:t>
      </w:r>
      <w:r w:rsidRPr="004E6783">
        <w:t> </w:t>
      </w:r>
      <w:r w:rsidRPr="004E6783">
        <w:t>Buczekia</w:t>
      </w:r>
      <w:r w:rsidRPr="004E6783">
        <w:t xml:space="preserve"> 23. maaliskuuta 2026</w:t>
      </w:r>
      <w:r w:rsidRPr="004E6783" w:rsidR="00D9486C">
        <w:t xml:space="preserve"> ja ottaa huomioon tämän toimittamat asiakirjat</w:t>
      </w:r>
      <w:r w:rsidRPr="004E6783">
        <w:t xml:space="preserve"> työjärjestyksen 9 artiklan 6 kohdan mukaisesti,</w:t>
      </w:r>
    </w:p>
    <w:p w:rsidR="002D6757" w:rsidRPr="004E6783" w:rsidP="008E38BA" w14:paraId="60D1DF4E" w14:textId="77777777">
      <w:pPr>
        <w:pStyle w:val="NormalHanging12a"/>
        <w:widowControl/>
      </w:pPr>
      <w:r w:rsidRPr="004E6783">
        <w:t>–</w:t>
      </w:r>
      <w:r w:rsidRPr="004E6783">
        <w:tab/>
        <w:t>ottaa huomioon Euroopan unionin erioikeuksista ja vapauksista tehdyssä pöytäkirjassa N:o 7 olevan 8 ja 9 artiklan sekä Euroopan parlamentin jäsenten valitsemisesta yleisillä välittömillä vaaleilla 20. syyskuuta 1976 annetun säädöksen 6 artiklan 2 kohdan,</w:t>
      </w:r>
    </w:p>
    <w:p w:rsidR="002D6757" w:rsidRPr="004E6783" w:rsidP="008E38BA" w14:paraId="6E708AA0" w14:textId="77777777">
      <w:pPr>
        <w:pStyle w:val="NormalHanging12a"/>
        <w:widowControl/>
      </w:pPr>
      <w:r w:rsidRPr="004E6783">
        <w:t>–</w:t>
      </w:r>
      <w:r w:rsidRPr="004E6783">
        <w:tab/>
        <w:t>ottaa huomioon Euroopan unionin tuomioistuimen 21. lokakuuta 2008, 19. maaliskuuta 2010, 6. syyskuuta 2011, 17. tammikuuta 2013 ja 19. joulukuuta 2019 antamat tuomiot</w:t>
      </w:r>
      <w:r>
        <w:rPr>
          <w:vertAlign w:val="superscript"/>
        </w:rPr>
        <w:footnoteReference w:id="2"/>
      </w:r>
      <w:r w:rsidRPr="004E6783">
        <w:t>,</w:t>
      </w:r>
    </w:p>
    <w:p w:rsidR="002D6757" w:rsidRPr="004E6783" w:rsidP="008E38BA" w14:paraId="6E830D6A" w14:textId="77777777">
      <w:pPr>
        <w:pStyle w:val="NormalHanging12a"/>
        <w:widowControl/>
      </w:pPr>
      <w:r w:rsidRPr="004E6783">
        <w:t>–</w:t>
      </w:r>
      <w:r w:rsidRPr="004E6783">
        <w:tab/>
        <w:t>ottaa huomioon Puolan tasavallan perustuslain 105 §:n 2 ja 5 momentin,</w:t>
      </w:r>
    </w:p>
    <w:p w:rsidR="002D6757" w:rsidRPr="004E6783" w:rsidP="008E38BA" w14:paraId="34A68DED" w14:textId="77777777">
      <w:pPr>
        <w:pStyle w:val="NormalHanging12a"/>
        <w:widowControl/>
      </w:pPr>
      <w:r w:rsidRPr="004E6783">
        <w:t>–</w:t>
      </w:r>
      <w:r w:rsidRPr="004E6783">
        <w:tab/>
        <w:t>ottaa huomioon työjärjestyksen 5 artiklan 2 kohdan, 6 artiklan 1 kohdan ja 9 artiklan,</w:t>
      </w:r>
    </w:p>
    <w:p w:rsidR="002D6757" w:rsidRPr="004E6783" w:rsidP="008E38BA" w14:paraId="749F7EA8" w14:textId="77777777">
      <w:pPr>
        <w:pStyle w:val="NormalHanging12a"/>
        <w:widowControl/>
      </w:pPr>
      <w:r w:rsidRPr="004E6783">
        <w:t>–</w:t>
      </w:r>
      <w:r w:rsidRPr="004E6783">
        <w:tab/>
        <w:t>ottaa huomioon oikeudellisten asioiden valiokunnan mietinnön (A10-0116/2026),</w:t>
      </w:r>
    </w:p>
    <w:p w:rsidR="002D6757" w:rsidRPr="004E6783" w:rsidP="008E38BA" w14:paraId="25CAF0C3" w14:textId="35BE957F">
      <w:pPr>
        <w:pStyle w:val="NormalHanging12a"/>
        <w:widowControl/>
      </w:pPr>
      <w:r w:rsidRPr="004E6783">
        <w:t>A.</w:t>
      </w:r>
      <w:r w:rsidRPr="004E6783">
        <w:tab/>
        <w:t xml:space="preserve">ottaa huomioon, että </w:t>
      </w:r>
      <w:r w:rsidRPr="004E6783">
        <w:t>Tarnobrzegin</w:t>
      </w:r>
      <w:r w:rsidRPr="004E6783">
        <w:t xml:space="preserve"> piirioikeuden toinen rikosasioiden jaosto toimitti 12. syyskuuta 2025 päivätyllä kirjeellä </w:t>
      </w:r>
      <w:r w:rsidRPr="004E6783" w:rsidR="008E38BA">
        <w:t>Puolasta valitun Euroopan parlamentin jäsen</w:t>
      </w:r>
      <w:r w:rsidRPr="004E6783" w:rsidR="00B0721C">
        <w:t>en</w:t>
      </w:r>
      <w:r w:rsidRPr="004E6783" w:rsidR="008E38BA">
        <w:t xml:space="preserve"> </w:t>
      </w:r>
      <w:r w:rsidRPr="004E6783">
        <w:t>Tomasz</w:t>
      </w:r>
      <w:r w:rsidRPr="004E6783">
        <w:t xml:space="preserve"> </w:t>
      </w:r>
      <w:r w:rsidRPr="004E6783">
        <w:t>Buczekin</w:t>
      </w:r>
      <w:r w:rsidRPr="004E6783">
        <w:t xml:space="preserve"> koskemattomuuden pidättämistä koskevan pyynnön, joka liittyy </w:t>
      </w:r>
      <w:r w:rsidRPr="004E6783">
        <w:t>häntä vastaan esitettyyn asianomistajan haastehakemukseen Puolan rikoslain 217 §:n 1 momentin mukaisesta väitetystä rikoksesta;</w:t>
      </w:r>
    </w:p>
    <w:p w:rsidR="002D6757" w:rsidRPr="004E6783" w:rsidP="008E38BA" w14:paraId="75833AE2" w14:textId="77777777">
      <w:pPr>
        <w:pStyle w:val="NormalHanging12a"/>
        <w:widowControl/>
      </w:pPr>
      <w:r w:rsidRPr="004E6783">
        <w:t>B.</w:t>
      </w:r>
      <w:r w:rsidRPr="004E6783">
        <w:tab/>
        <w:t xml:space="preserve">ottaa huomioon, että koskemattomuuden pidättämistä koskevan pyynnön mukaan </w:t>
      </w:r>
      <w:r w:rsidRPr="004E6783">
        <w:t>Tarnobrzegissa</w:t>
      </w:r>
      <w:r w:rsidRPr="004E6783">
        <w:t xml:space="preserve"> järjestettiin 21. syyskuuta 2024 vaalitilaisuus, jossa </w:t>
      </w:r>
      <w:r w:rsidRPr="004E6783">
        <w:t>Tomasz</w:t>
      </w:r>
      <w:r w:rsidRPr="004E6783">
        <w:t xml:space="preserve"> </w:t>
      </w:r>
      <w:r w:rsidRPr="004E6783">
        <w:t>Buczek</w:t>
      </w:r>
      <w:r w:rsidRPr="004E6783">
        <w:t xml:space="preserve"> oli läsnä; ottaa huomioon, että asianomistaja osallistui edellä mainittuun tilaisuuteen ja ilmaisi siellä näkemyksiään poliittisista aiheista, muun muassa </w:t>
      </w:r>
      <w:r w:rsidRPr="004E6783">
        <w:t>Tomasz</w:t>
      </w:r>
      <w:r w:rsidRPr="004E6783">
        <w:t xml:space="preserve"> </w:t>
      </w:r>
      <w:r w:rsidRPr="004E6783">
        <w:t>Buczekin</w:t>
      </w:r>
      <w:r w:rsidRPr="004E6783">
        <w:t xml:space="preserve"> toiminnasta; ottaa huomioon, että koskemattomuuden pidättämistä koskevan pyynnön mukaan </w:t>
      </w:r>
      <w:r w:rsidRPr="004E6783">
        <w:t>Tomasz</w:t>
      </w:r>
      <w:r w:rsidRPr="004E6783">
        <w:t xml:space="preserve"> </w:t>
      </w:r>
      <w:r w:rsidRPr="004E6783">
        <w:t>Buczek</w:t>
      </w:r>
      <w:r w:rsidRPr="004E6783">
        <w:t xml:space="preserve"> väitetysti riuhtaisi asianomistajan käsistä pienikokoisen megafonin, jota tämä käytti saadakseen äänensä kuuluviin, ja että </w:t>
      </w:r>
      <w:r w:rsidRPr="004E6783">
        <w:t>Buczekin</w:t>
      </w:r>
      <w:r w:rsidRPr="004E6783">
        <w:t xml:space="preserve"> ele oli väitetysti niin väkivaltainen, ettei megafoni ole enää toimintakunnossa;</w:t>
      </w:r>
    </w:p>
    <w:p w:rsidR="002D6757" w:rsidRPr="004E6783" w:rsidP="008E38BA" w14:paraId="4676EC55" w14:textId="77777777">
      <w:pPr>
        <w:pStyle w:val="NormalHanging12a"/>
        <w:widowControl/>
      </w:pPr>
      <w:r w:rsidRPr="004E6783">
        <w:t>C.</w:t>
      </w:r>
      <w:r w:rsidRPr="004E6783">
        <w:tab/>
        <w:t xml:space="preserve">ottaa huomioon, että </w:t>
      </w:r>
      <w:r w:rsidRPr="004E6783">
        <w:t>Tomasz</w:t>
      </w:r>
      <w:r w:rsidRPr="004E6783">
        <w:t xml:space="preserve"> </w:t>
      </w:r>
      <w:r w:rsidRPr="004E6783">
        <w:t>Buczekin</w:t>
      </w:r>
      <w:r w:rsidRPr="004E6783">
        <w:t xml:space="preserve"> eleen väitetään täyttävän Puolan rikoslain 217 §:n 1 momentissa tarkoitetun rikoksen eli ruumiillisen koskemattomuuden loukkauksen tunnusmerkistön;</w:t>
      </w:r>
    </w:p>
    <w:p w:rsidR="002D6757" w:rsidRPr="004E6783" w:rsidP="008E38BA" w14:paraId="5B555903" w14:textId="508B69A7">
      <w:pPr>
        <w:pStyle w:val="NormalHanging12a"/>
        <w:widowControl/>
      </w:pPr>
      <w:r w:rsidRPr="004E6783">
        <w:t>D.</w:t>
      </w:r>
      <w:r w:rsidRPr="004E6783">
        <w:tab/>
        <w:t xml:space="preserve">ottaa huomioon, että </w:t>
      </w:r>
      <w:r w:rsidRPr="004E6783">
        <w:t>Tomasz</w:t>
      </w:r>
      <w:r w:rsidRPr="004E6783">
        <w:t xml:space="preserve"> </w:t>
      </w:r>
      <w:r w:rsidRPr="004E6783">
        <w:t>Buczek</w:t>
      </w:r>
      <w:r w:rsidRPr="004E6783">
        <w:t xml:space="preserve"> valittiin Euroopan parlamenttiin kesäkuussa 2024 pidetyissä EU-vaaleissa ja että hän oli </w:t>
      </w:r>
      <w:r w:rsidRPr="004E6783" w:rsidR="001E029F">
        <w:t xml:space="preserve">siten </w:t>
      </w:r>
      <w:r w:rsidRPr="004E6783">
        <w:t>Euroopan parlamentin jäsen väitetyn rikoksen tekohetkellä;</w:t>
      </w:r>
    </w:p>
    <w:p w:rsidR="002D6757" w:rsidRPr="004E6783" w:rsidP="008E38BA" w14:paraId="7444A3A6" w14:textId="2D53F6A4">
      <w:pPr>
        <w:pStyle w:val="NormalHanging12a"/>
        <w:widowControl/>
      </w:pPr>
      <w:r w:rsidRPr="004E6783">
        <w:t>E.</w:t>
      </w:r>
      <w:r w:rsidRPr="004E6783">
        <w:tab/>
      </w:r>
      <w:r w:rsidRPr="004E6783" w:rsidR="009666C1">
        <w:t>toteaa</w:t>
      </w:r>
      <w:r w:rsidRPr="004E6783">
        <w:t xml:space="preserve">, että väitetty rikos ja sen </w:t>
      </w:r>
      <w:r w:rsidRPr="004E6783">
        <w:t>johdosta</w:t>
      </w:r>
      <w:r w:rsidRPr="004E6783">
        <w:t xml:space="preserve"> esitetty </w:t>
      </w:r>
      <w:r w:rsidRPr="004E6783" w:rsidR="008E38BA">
        <w:t>Tomasz</w:t>
      </w:r>
      <w:r w:rsidRPr="004E6783" w:rsidR="008E38BA">
        <w:t xml:space="preserve"> </w:t>
      </w:r>
      <w:r w:rsidRPr="004E6783" w:rsidR="008E38BA">
        <w:t>Buczekin</w:t>
      </w:r>
      <w:r w:rsidRPr="004E6783" w:rsidR="008E38BA">
        <w:t xml:space="preserve"> </w:t>
      </w:r>
      <w:r w:rsidRPr="004E6783">
        <w:t>koskemattomuuden pidättämistä koskeva pyyntö eivät liity Euroopan unionin erioikeuksista ja vapauksista tehdyssä pöytäkirjassa N:o 7 olevassa 8 artiklassa tarkoitettu</w:t>
      </w:r>
      <w:r w:rsidR="00E05CC5">
        <w:t>un</w:t>
      </w:r>
      <w:r w:rsidRPr="004E6783">
        <w:t xml:space="preserve"> </w:t>
      </w:r>
      <w:r w:rsidRPr="004E6783" w:rsidR="008E38BA">
        <w:t>hänen</w:t>
      </w:r>
      <w:r w:rsidRPr="004E6783">
        <w:t xml:space="preserve"> tehtäviään hoitaessaan ilmaisem</w:t>
      </w:r>
      <w:r w:rsidR="00E05CC5">
        <w:t>aan</w:t>
      </w:r>
      <w:r w:rsidRPr="004E6783">
        <w:t xml:space="preserve"> mielipite</w:t>
      </w:r>
      <w:r w:rsidR="00E05CC5">
        <w:t>eseen</w:t>
      </w:r>
      <w:r w:rsidRPr="004E6783">
        <w:t xml:space="preserve"> tai äänestyks</w:t>
      </w:r>
      <w:r w:rsidR="00E05CC5">
        <w:t>een</w:t>
      </w:r>
      <w:r w:rsidRPr="004E6783">
        <w:t>;</w:t>
      </w:r>
    </w:p>
    <w:p w:rsidR="002D6757" w:rsidRPr="004E6783" w:rsidP="008E38BA" w14:paraId="08471629" w14:textId="2FEB15AA">
      <w:pPr>
        <w:pStyle w:val="NormalHanging12a"/>
        <w:widowControl/>
      </w:pPr>
      <w:r w:rsidRPr="004E6783">
        <w:t>F.</w:t>
      </w:r>
      <w:r w:rsidRPr="004E6783">
        <w:tab/>
        <w:t xml:space="preserve">ottaa huomioon, että Euroopan unionin erioikeuksista ja vapauksista tehdyssä pöytäkirjassa N:o 7 olevan 9 artiklan ensimmäisen kohdan a alakohdassa määrätään, että Euroopan parlamentin </w:t>
      </w:r>
      <w:r w:rsidRPr="004E6783" w:rsidR="00F73EA8">
        <w:t>istuntojen ajan</w:t>
      </w:r>
      <w:r w:rsidRPr="004E6783" w:rsidR="00594144">
        <w:t xml:space="preserve"> sen jäsenillä on</w:t>
      </w:r>
      <w:r w:rsidRPr="004E6783" w:rsidR="00F73EA8">
        <w:t xml:space="preserve"> </w:t>
      </w:r>
      <w:r w:rsidRPr="004E6783">
        <w:t xml:space="preserve">oman </w:t>
      </w:r>
      <w:r w:rsidRPr="004E6783" w:rsidR="00B0721C">
        <w:t>jäsen</w:t>
      </w:r>
      <w:r w:rsidRPr="004E6783">
        <w:t>valtionsa alueella kansanedustajille myönnetty koskemattomuus;</w:t>
      </w:r>
    </w:p>
    <w:p w:rsidR="002D6757" w:rsidRPr="004E6783" w:rsidP="008E38BA" w14:paraId="2A29EA4E" w14:textId="4880EE3F">
      <w:pPr>
        <w:pStyle w:val="NormalHanging12a"/>
        <w:widowControl/>
      </w:pPr>
      <w:r w:rsidRPr="004E6783">
        <w:t>G.</w:t>
      </w:r>
      <w:r w:rsidRPr="004E6783">
        <w:tab/>
        <w:t xml:space="preserve">ottaa huomioon, että Puolan </w:t>
      </w:r>
      <w:r w:rsidRPr="004E6783" w:rsidR="008E38BA">
        <w:t xml:space="preserve">tasavallan </w:t>
      </w:r>
      <w:r w:rsidRPr="004E6783">
        <w:t>perustuslain 105 §:n 2 ja 5 momentin mukaan Puolan parlamentin alahuoneen (Sejm) jäsentä ei voida vaalien tulosten julkistamispäivästä jäsenen toimikauden päättymispäivään saakka asettaa rikosoikeudelliseen vastuuseen ilman Sejmin suostumusta eikä häntä voida pidättää tai vangita ilman Sejmin suostumusta, paitsi silloin, kun jäsen tavataan itse teossa tai kun hänen pidättämisensä on tarpeen asianmukaisen menettelyn varmistamiseksi;</w:t>
      </w:r>
    </w:p>
    <w:p w:rsidR="002D6757" w:rsidRPr="004E6783" w:rsidP="008E38BA" w14:paraId="250E69C9" w14:textId="77777777">
      <w:pPr>
        <w:pStyle w:val="NormalHanging12a"/>
        <w:widowControl/>
      </w:pPr>
      <w:r w:rsidRPr="004E6783">
        <w:t>H.</w:t>
      </w:r>
      <w:r w:rsidRPr="004E6783">
        <w:tab/>
        <w:t>ottaa huomioon, että Euroopan parlamentin työjärjestyksen 5 artiklan 2 kohdan mukaan parlamentaarinen koskemattomuus ei ole jäsenen henkilökohtainen erioikeus vaan tae koko parlamentin ja sen jäsenten riippumattomuudesta;</w:t>
      </w:r>
    </w:p>
    <w:p w:rsidR="002D6757" w:rsidRPr="004E6783" w:rsidP="008E38BA" w14:paraId="34FD0762" w14:textId="47C5AB28">
      <w:pPr>
        <w:pStyle w:val="NormalHanging12a"/>
        <w:widowControl/>
      </w:pPr>
      <w:r w:rsidRPr="004E6783">
        <w:t>I.</w:t>
      </w:r>
      <w:r w:rsidRPr="004E6783">
        <w:tab/>
        <w:t xml:space="preserve">ottaa huomioon, että </w:t>
      </w:r>
      <w:r w:rsidRPr="004E6783" w:rsidR="002B2392">
        <w:t xml:space="preserve">Euroopan unionin erioikeuksista ja vapauksista tehdyssä pöytäkirjassa N:o 7 määrätyn </w:t>
      </w:r>
      <w:r w:rsidRPr="004E6783">
        <w:t>parlamentaarisen koskemattomuuden tarkoituksena on suojella parlamenttia ja sen jäseniä oikeudenkäynneiltä, jotka liittyvät toimintaan, jota harjoitetaan hoidettaessa parlamentin jäsenten tehtäviä ja jota ei voida erottaa kyseisistä tehtävistä;</w:t>
      </w:r>
    </w:p>
    <w:p w:rsidR="002D6757" w:rsidRPr="004E6783" w:rsidP="008E38BA" w14:paraId="6A10F964" w14:textId="7E1DC9CA">
      <w:pPr>
        <w:pStyle w:val="NormalHanging12a"/>
        <w:widowControl/>
      </w:pPr>
      <w:r w:rsidRPr="004E6783">
        <w:t>J.</w:t>
      </w:r>
      <w:r w:rsidRPr="004E6783">
        <w:tab/>
        <w:t xml:space="preserve">ottaa huomioon, että tässä tapauksessa parlamentti ei löytänyt todisteita </w:t>
      </w:r>
      <w:r w:rsidRPr="008503F5">
        <w:rPr>
          <w:i/>
          <w:iCs/>
        </w:rPr>
        <w:t>fumus</w:t>
      </w:r>
      <w:r w:rsidRPr="008503F5">
        <w:rPr>
          <w:i/>
          <w:iCs/>
        </w:rPr>
        <w:t xml:space="preserve"> </w:t>
      </w:r>
      <w:r w:rsidRPr="008503F5">
        <w:rPr>
          <w:i/>
          <w:iCs/>
        </w:rPr>
        <w:t>persecutionis</w:t>
      </w:r>
      <w:r w:rsidRPr="004E6783">
        <w:t xml:space="preserve"> -tilanteesta eli </w:t>
      </w:r>
      <w:r w:rsidRPr="004E6783" w:rsidR="000B13EB">
        <w:t xml:space="preserve">ei vaikuta siltä, </w:t>
      </w:r>
      <w:r w:rsidRPr="004E6783">
        <w:t xml:space="preserve">että kyseisen oikeusmenettelyn tarkoituksena olisi vahingoittaa </w:t>
      </w:r>
      <w:r w:rsidRPr="004E6783">
        <w:t>Tomasz</w:t>
      </w:r>
      <w:r w:rsidRPr="004E6783">
        <w:t xml:space="preserve"> </w:t>
      </w:r>
      <w:r w:rsidRPr="004E6783">
        <w:t>Buczekin</w:t>
      </w:r>
      <w:r w:rsidRPr="004E6783">
        <w:t xml:space="preserve"> poliittista toimintaa Euroopan parlamentin jäsenenä</w:t>
      </w:r>
      <w:r w:rsidRPr="004E6783" w:rsidR="00F73EA8">
        <w:t xml:space="preserve"> ja siten parlamentin riippumattomuutta</w:t>
      </w:r>
      <w:r w:rsidRPr="004E6783">
        <w:t>;</w:t>
      </w:r>
    </w:p>
    <w:p w:rsidR="002D6757" w:rsidRPr="004E6783" w:rsidP="008E38BA" w14:paraId="283C5369" w14:textId="77777777">
      <w:pPr>
        <w:pStyle w:val="NormalHanging12a"/>
        <w:widowControl/>
      </w:pPr>
      <w:r w:rsidRPr="004E6783">
        <w:t>K.</w:t>
      </w:r>
      <w:r w:rsidRPr="004E6783">
        <w:tab/>
        <w:t>ottaa huomioon, että parlamenttia ei voida rinnastaa tuomioistuimeen eikä parlamentin jäsentä voida pitää koskemattomuuden pidättämistä koskevassa menettelyssä ”syytettynä”</w:t>
      </w:r>
      <w:r>
        <w:rPr>
          <w:vertAlign w:val="superscript"/>
        </w:rPr>
        <w:footnoteReference w:id="3"/>
      </w:r>
      <w:r w:rsidRPr="004E6783">
        <w:t>;</w:t>
      </w:r>
    </w:p>
    <w:p w:rsidR="002D6757" w:rsidRPr="004E6783" w:rsidP="008E38BA" w14:paraId="2D58B412" w14:textId="77777777">
      <w:pPr>
        <w:pStyle w:val="NormalHanging12a"/>
        <w:widowControl/>
      </w:pPr>
      <w:r w:rsidRPr="004E6783">
        <w:t>1.</w:t>
      </w:r>
      <w:r w:rsidRPr="004E6783">
        <w:tab/>
        <w:t xml:space="preserve">päättää pidättää </w:t>
      </w:r>
      <w:r w:rsidRPr="004E6783">
        <w:t>Tomasz</w:t>
      </w:r>
      <w:r w:rsidRPr="004E6783">
        <w:t xml:space="preserve"> </w:t>
      </w:r>
      <w:r w:rsidRPr="004E6783">
        <w:t>Buczekin</w:t>
      </w:r>
      <w:r w:rsidRPr="004E6783">
        <w:t xml:space="preserve"> koskemattomuuden;</w:t>
      </w:r>
    </w:p>
    <w:p w:rsidR="00D90F61" w:rsidRPr="00D90F61" w:rsidP="004E6783" w14:paraId="3F00D09C" w14:textId="22A2ABE8">
      <w:pPr>
        <w:pStyle w:val="NormalHanging12a"/>
        <w:widowControl/>
      </w:pPr>
      <w:r w:rsidRPr="004E6783">
        <w:t>2.</w:t>
      </w:r>
      <w:r w:rsidRPr="004E6783">
        <w:tab/>
        <w:t xml:space="preserve">kehottaa puhemiestä välittämään tämän päätöksen sekä asiasta vastaavan valiokunnan mietinnön viipymättä Puolan toimivaltaiselle viranomaiselle ja </w:t>
      </w:r>
      <w:r w:rsidRPr="004E6783">
        <w:t>Tomasz</w:t>
      </w:r>
      <w:r w:rsidRPr="004E6783">
        <w:t xml:space="preserve"> </w:t>
      </w:r>
      <w:r w:rsidRPr="004E6783">
        <w:t>Buczekille</w:t>
      </w:r>
      <w:r w:rsidRPr="004E6783">
        <w:t>.</w:t>
      </w:r>
    </w:p>
    <w:sectPr w:rsidSect="00D90F6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20FBC" w:rsidRPr="00D90F61" w14:paraId="3DF5A99A" w14:textId="77777777">
      <w:r w:rsidRPr="00D90F61">
        <w:separator/>
      </w:r>
    </w:p>
  </w:footnote>
  <w:footnote w:type="continuationSeparator" w:id="1">
    <w:p w:rsidR="00120FBC" w:rsidRPr="00D90F61" w14:paraId="6649437C" w14:textId="77777777">
      <w:r w:rsidRPr="00D90F61">
        <w:continuationSeparator/>
      </w:r>
    </w:p>
  </w:footnote>
  <w:footnote w:id="2">
    <w:p w:rsidR="002D6757" w:rsidRPr="00D90F61" w:rsidP="008E38BA" w14:paraId="4B0AE06F" w14:textId="1AFB45BE">
      <w:pPr>
        <w:pStyle w:val="FootnoteText"/>
        <w:keepLines w:val="0"/>
        <w:ind w:left="567" w:hanging="567"/>
        <w:rPr>
          <w:sz w:val="24"/>
          <w:lang w:val="fi-FI"/>
        </w:rPr>
      </w:pPr>
      <w:r w:rsidRPr="00D90F61">
        <w:rPr>
          <w:rStyle w:val="FootnoteReference"/>
          <w:sz w:val="24"/>
          <w:lang w:val="fi-FI"/>
        </w:rPr>
        <w:footnoteRef/>
      </w:r>
      <w:r w:rsidRPr="00D90F61" w:rsidR="00D90F61">
        <w:rPr>
          <w:sz w:val="24"/>
          <w:lang w:val="fi-FI"/>
        </w:rPr>
        <w:t xml:space="preserve"> </w:t>
      </w:r>
      <w:r w:rsidRPr="00D90F61" w:rsidR="00D90F61">
        <w:rPr>
          <w:sz w:val="24"/>
          <w:lang w:val="fi-FI"/>
        </w:rPr>
        <w:tab/>
      </w:r>
      <w:r w:rsidRPr="00D90F61">
        <w:rPr>
          <w:sz w:val="24"/>
          <w:lang w:val="fi-FI"/>
        </w:rPr>
        <w:t xml:space="preserve">Yhteisöjen tuomioistuimen tuomio 21.10.2008, </w:t>
      </w:r>
      <w:r w:rsidRPr="00D90F61">
        <w:rPr>
          <w:sz w:val="24"/>
          <w:lang w:val="fi-FI"/>
        </w:rPr>
        <w:t>Marra</w:t>
      </w:r>
      <w:r w:rsidRPr="00D90F61">
        <w:rPr>
          <w:sz w:val="24"/>
          <w:lang w:val="fi-FI"/>
        </w:rPr>
        <w:t xml:space="preserve"> v. De </w:t>
      </w:r>
      <w:r w:rsidRPr="00D90F61">
        <w:rPr>
          <w:sz w:val="24"/>
          <w:lang w:val="fi-FI"/>
        </w:rPr>
        <w:t>Gregorio</w:t>
      </w:r>
      <w:r w:rsidRPr="00D90F61">
        <w:rPr>
          <w:sz w:val="24"/>
          <w:lang w:val="fi-FI"/>
        </w:rPr>
        <w:t xml:space="preserve"> ja </w:t>
      </w:r>
      <w:r w:rsidRPr="00D90F61">
        <w:rPr>
          <w:sz w:val="24"/>
          <w:lang w:val="fi-FI"/>
        </w:rPr>
        <w:t>Clemente</w:t>
      </w:r>
      <w:r w:rsidRPr="00D90F61">
        <w:rPr>
          <w:sz w:val="24"/>
          <w:lang w:val="fi-FI"/>
        </w:rPr>
        <w:t xml:space="preserve">, C-200/07 ja C-201/07, ECLI:EU:C:2008:579, unionin yleisen tuomioistuimen tuomio 19.3.2010, </w:t>
      </w:r>
      <w:r w:rsidRPr="00D90F61">
        <w:rPr>
          <w:sz w:val="24"/>
          <w:lang w:val="fi-FI"/>
        </w:rPr>
        <w:t>Gollnisch</w:t>
      </w:r>
      <w:r w:rsidRPr="00D90F61">
        <w:rPr>
          <w:sz w:val="24"/>
          <w:lang w:val="fi-FI"/>
        </w:rPr>
        <w:t xml:space="preserve"> v. parlamentti, T-42/06, ECLI:EU:T:2010:102, unionin tuomioistuimen tuomio 6.9.2011, </w:t>
      </w:r>
      <w:r w:rsidRPr="00D90F61">
        <w:rPr>
          <w:sz w:val="24"/>
          <w:lang w:val="fi-FI"/>
        </w:rPr>
        <w:t>Patriciello</w:t>
      </w:r>
      <w:r w:rsidRPr="00D90F61">
        <w:rPr>
          <w:sz w:val="24"/>
          <w:lang w:val="fi-FI"/>
        </w:rPr>
        <w:t xml:space="preserve">, C-163/10, ECLI:EU:C:2011:543, unionin yleisen tuomioistuimen tuomio 17.1.2013, </w:t>
      </w:r>
      <w:r w:rsidRPr="00D90F61">
        <w:rPr>
          <w:sz w:val="24"/>
          <w:lang w:val="fi-FI"/>
        </w:rPr>
        <w:t>Gollnisch</w:t>
      </w:r>
      <w:r w:rsidRPr="00D90F61">
        <w:rPr>
          <w:sz w:val="24"/>
          <w:lang w:val="fi-FI"/>
        </w:rPr>
        <w:t xml:space="preserve"> v. parlamentti, T-346/11 ja T-347/11, ECLI:EU:T:2013:23 sekä unionin tuomioistuimen tuomio 19.12.2019, </w:t>
      </w:r>
      <w:r w:rsidRPr="00D90F61">
        <w:rPr>
          <w:sz w:val="24"/>
          <w:lang w:val="fi-FI"/>
        </w:rPr>
        <w:t>Junqueras</w:t>
      </w:r>
      <w:r w:rsidRPr="00D90F61">
        <w:rPr>
          <w:sz w:val="24"/>
          <w:lang w:val="fi-FI"/>
        </w:rPr>
        <w:t xml:space="preserve"> Vies, C-502/19, ECLI:EU:C:2019:1115.</w:t>
      </w:r>
    </w:p>
  </w:footnote>
  <w:footnote w:id="3">
    <w:p w:rsidR="002D6757" w:rsidRPr="00D90F61" w:rsidP="008E38BA" w14:paraId="7B50EA79" w14:textId="606CFAAE">
      <w:pPr>
        <w:pStyle w:val="FootnoteText"/>
        <w:keepLines w:val="0"/>
        <w:ind w:left="567" w:hanging="567"/>
        <w:rPr>
          <w:sz w:val="24"/>
          <w:lang w:val="fi-FI"/>
        </w:rPr>
      </w:pPr>
      <w:r w:rsidRPr="00D90F61">
        <w:rPr>
          <w:rStyle w:val="FootnoteReference"/>
          <w:sz w:val="24"/>
          <w:lang w:val="fi-FI"/>
        </w:rPr>
        <w:footnoteRef/>
      </w:r>
      <w:r w:rsidRPr="00D90F61" w:rsidR="00D90F61">
        <w:rPr>
          <w:sz w:val="24"/>
          <w:lang w:val="fi-FI"/>
        </w:rPr>
        <w:t xml:space="preserve"> </w:t>
      </w:r>
      <w:r w:rsidRPr="00D90F61" w:rsidR="00D90F61">
        <w:rPr>
          <w:sz w:val="24"/>
          <w:lang w:val="fi-FI"/>
        </w:rPr>
        <w:tab/>
      </w:r>
      <w:r w:rsidRPr="00D90F61">
        <w:rPr>
          <w:sz w:val="24"/>
          <w:lang w:val="fi-FI"/>
        </w:rPr>
        <w:t xml:space="preserve">Unionin yleisen tuomioistuimen tuomio 30.4.2019, </w:t>
      </w:r>
      <w:r w:rsidRPr="00D90F61">
        <w:rPr>
          <w:sz w:val="24"/>
          <w:lang w:val="fi-FI"/>
        </w:rPr>
        <w:t>Briois</w:t>
      </w:r>
      <w:r w:rsidRPr="00D90F61">
        <w:rPr>
          <w:sz w:val="24"/>
          <w:lang w:val="fi-FI"/>
        </w:rPr>
        <w:t xml:space="preserve"> v. parlamentti, T-214/18, ECLI:EU:T:2019:266.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33636415">
    <w:abstractNumId w:val="9"/>
  </w:num>
  <w:num w:numId="2" w16cid:durableId="900940645">
    <w:abstractNumId w:val="9"/>
  </w:num>
  <w:num w:numId="3" w16cid:durableId="318118018">
    <w:abstractNumId w:val="7"/>
  </w:num>
  <w:num w:numId="4" w16cid:durableId="1416169521">
    <w:abstractNumId w:val="7"/>
  </w:num>
  <w:num w:numId="5" w16cid:durableId="907376168">
    <w:abstractNumId w:val="6"/>
  </w:num>
  <w:num w:numId="6" w16cid:durableId="509293041">
    <w:abstractNumId w:val="6"/>
  </w:num>
  <w:num w:numId="7" w16cid:durableId="86582337">
    <w:abstractNumId w:val="5"/>
  </w:num>
  <w:num w:numId="8" w16cid:durableId="1159806205">
    <w:abstractNumId w:val="5"/>
  </w:num>
  <w:num w:numId="9" w16cid:durableId="1626351433">
    <w:abstractNumId w:val="4"/>
  </w:num>
  <w:num w:numId="10" w16cid:durableId="650645298">
    <w:abstractNumId w:val="4"/>
  </w:num>
  <w:num w:numId="11" w16cid:durableId="827986260">
    <w:abstractNumId w:val="8"/>
  </w:num>
  <w:num w:numId="12" w16cid:durableId="1363704234">
    <w:abstractNumId w:val="8"/>
  </w:num>
  <w:num w:numId="13" w16cid:durableId="1229654214">
    <w:abstractNumId w:val="3"/>
  </w:num>
  <w:num w:numId="14" w16cid:durableId="593131231">
    <w:abstractNumId w:val="3"/>
  </w:num>
  <w:num w:numId="15" w16cid:durableId="631138147">
    <w:abstractNumId w:val="2"/>
  </w:num>
  <w:num w:numId="16" w16cid:durableId="1968312686">
    <w:abstractNumId w:val="2"/>
  </w:num>
  <w:num w:numId="17" w16cid:durableId="1798375986">
    <w:abstractNumId w:val="1"/>
  </w:num>
  <w:num w:numId="18" w16cid:durableId="776564714">
    <w:abstractNumId w:val="1"/>
  </w:num>
  <w:num w:numId="19" w16cid:durableId="396900573">
    <w:abstractNumId w:val="0"/>
  </w:num>
  <w:num w:numId="20" w16cid:durableId="717246829">
    <w:abstractNumId w:val="0"/>
  </w:num>
  <w:num w:numId="21" w16cid:durableId="304822236">
    <w:abstractNumId w:val="9"/>
  </w:num>
  <w:num w:numId="22" w16cid:durableId="1715815112">
    <w:abstractNumId w:val="7"/>
  </w:num>
  <w:num w:numId="23" w16cid:durableId="2110734121">
    <w:abstractNumId w:val="6"/>
  </w:num>
  <w:num w:numId="24" w16cid:durableId="1601796063">
    <w:abstractNumId w:val="5"/>
  </w:num>
  <w:num w:numId="25" w16cid:durableId="1298992946">
    <w:abstractNumId w:val="4"/>
  </w:num>
  <w:num w:numId="26" w16cid:durableId="1796171937">
    <w:abstractNumId w:val="8"/>
  </w:num>
  <w:num w:numId="27" w16cid:durableId="1360859174">
    <w:abstractNumId w:val="3"/>
  </w:num>
  <w:num w:numId="28" w16cid:durableId="715666929">
    <w:abstractNumId w:val="2"/>
  </w:num>
  <w:num w:numId="29" w16cid:durableId="1446191086">
    <w:abstractNumId w:val="1"/>
  </w:num>
  <w:num w:numId="30" w16cid:durableId="2050765170">
    <w:abstractNumId w:val="0"/>
  </w:num>
  <w:num w:numId="31" w16cid:durableId="334920301">
    <w:abstractNumId w:val="9"/>
  </w:num>
  <w:num w:numId="32" w16cid:durableId="2109496798">
    <w:abstractNumId w:val="7"/>
  </w:num>
  <w:num w:numId="33" w16cid:durableId="1776752999">
    <w:abstractNumId w:val="6"/>
  </w:num>
  <w:num w:numId="34" w16cid:durableId="1575703484">
    <w:abstractNumId w:val="5"/>
  </w:num>
  <w:num w:numId="35" w16cid:durableId="1407453162">
    <w:abstractNumId w:val="4"/>
  </w:num>
  <w:num w:numId="36" w16cid:durableId="1624728679">
    <w:abstractNumId w:val="8"/>
  </w:num>
  <w:num w:numId="37" w16cid:durableId="138495988">
    <w:abstractNumId w:val="3"/>
  </w:num>
  <w:num w:numId="38" w16cid:durableId="74324913">
    <w:abstractNumId w:val="2"/>
  </w:num>
  <w:num w:numId="39" w16cid:durableId="759373200">
    <w:abstractNumId w:val="1"/>
  </w:num>
  <w:num w:numId="40" w16cid:durableId="1104424536">
    <w:abstractNumId w:val="0"/>
  </w:num>
  <w:num w:numId="41" w16cid:durableId="1152331382">
    <w:abstractNumId w:val="10"/>
  </w:num>
  <w:num w:numId="42" w16cid:durableId="1933666058">
    <w:abstractNumId w:val="10"/>
  </w:num>
  <w:num w:numId="43" w16cid:durableId="163515402">
    <w:abstractNumId w:val="10"/>
  </w:num>
  <w:num w:numId="44" w16cid:durableId="12464525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FBC"/>
    <w:rsid w:val="00002272"/>
    <w:rsid w:val="00026376"/>
    <w:rsid w:val="00064002"/>
    <w:rsid w:val="000677B9"/>
    <w:rsid w:val="000831BA"/>
    <w:rsid w:val="000A42CC"/>
    <w:rsid w:val="000B13EB"/>
    <w:rsid w:val="000E7DD9"/>
    <w:rsid w:val="0010095E"/>
    <w:rsid w:val="00120FBC"/>
    <w:rsid w:val="00125B37"/>
    <w:rsid w:val="00145588"/>
    <w:rsid w:val="00187494"/>
    <w:rsid w:val="00196F3A"/>
    <w:rsid w:val="001E029F"/>
    <w:rsid w:val="001F32AE"/>
    <w:rsid w:val="002767FF"/>
    <w:rsid w:val="002B18FE"/>
    <w:rsid w:val="002B2392"/>
    <w:rsid w:val="002B5493"/>
    <w:rsid w:val="002D6757"/>
    <w:rsid w:val="002F1E42"/>
    <w:rsid w:val="00343214"/>
    <w:rsid w:val="00361C00"/>
    <w:rsid w:val="00395FA1"/>
    <w:rsid w:val="003E15D4"/>
    <w:rsid w:val="00411CCE"/>
    <w:rsid w:val="0041666E"/>
    <w:rsid w:val="00421060"/>
    <w:rsid w:val="00471C19"/>
    <w:rsid w:val="004867E3"/>
    <w:rsid w:val="00494A28"/>
    <w:rsid w:val="004C0004"/>
    <w:rsid w:val="004C5D52"/>
    <w:rsid w:val="004D3DF9"/>
    <w:rsid w:val="004E6783"/>
    <w:rsid w:val="0050519A"/>
    <w:rsid w:val="005072A1"/>
    <w:rsid w:val="00514517"/>
    <w:rsid w:val="00545827"/>
    <w:rsid w:val="00560270"/>
    <w:rsid w:val="00594144"/>
    <w:rsid w:val="005C2568"/>
    <w:rsid w:val="005F1B17"/>
    <w:rsid w:val="006037C0"/>
    <w:rsid w:val="006631B6"/>
    <w:rsid w:val="00680577"/>
    <w:rsid w:val="006B5164"/>
    <w:rsid w:val="006F74FA"/>
    <w:rsid w:val="00731ADD"/>
    <w:rsid w:val="00734777"/>
    <w:rsid w:val="00747932"/>
    <w:rsid w:val="00751A4A"/>
    <w:rsid w:val="00756632"/>
    <w:rsid w:val="00762C74"/>
    <w:rsid w:val="00786EC0"/>
    <w:rsid w:val="007D1690"/>
    <w:rsid w:val="007E22AD"/>
    <w:rsid w:val="00817416"/>
    <w:rsid w:val="00842779"/>
    <w:rsid w:val="008503F5"/>
    <w:rsid w:val="00865F67"/>
    <w:rsid w:val="00881A7B"/>
    <w:rsid w:val="008840E5"/>
    <w:rsid w:val="00887B3E"/>
    <w:rsid w:val="008C2AC6"/>
    <w:rsid w:val="008E38BA"/>
    <w:rsid w:val="00930C23"/>
    <w:rsid w:val="0093193B"/>
    <w:rsid w:val="009509D8"/>
    <w:rsid w:val="00950B64"/>
    <w:rsid w:val="009666C1"/>
    <w:rsid w:val="00981893"/>
    <w:rsid w:val="00A1687D"/>
    <w:rsid w:val="00A43E52"/>
    <w:rsid w:val="00A4678D"/>
    <w:rsid w:val="00A778C7"/>
    <w:rsid w:val="00AB441E"/>
    <w:rsid w:val="00AB6293"/>
    <w:rsid w:val="00AE0928"/>
    <w:rsid w:val="00AF3B82"/>
    <w:rsid w:val="00B0721C"/>
    <w:rsid w:val="00B12E95"/>
    <w:rsid w:val="00B22876"/>
    <w:rsid w:val="00B558F0"/>
    <w:rsid w:val="00BD48FE"/>
    <w:rsid w:val="00BD7BD8"/>
    <w:rsid w:val="00BE6ADC"/>
    <w:rsid w:val="00BF0C74"/>
    <w:rsid w:val="00C05BFE"/>
    <w:rsid w:val="00C23CD4"/>
    <w:rsid w:val="00C61C0C"/>
    <w:rsid w:val="00C941CB"/>
    <w:rsid w:val="00CC2357"/>
    <w:rsid w:val="00CF071A"/>
    <w:rsid w:val="00D058B8"/>
    <w:rsid w:val="00D40F65"/>
    <w:rsid w:val="00D56C11"/>
    <w:rsid w:val="00D77A56"/>
    <w:rsid w:val="00D834A0"/>
    <w:rsid w:val="00D872DF"/>
    <w:rsid w:val="00D90F61"/>
    <w:rsid w:val="00D91E21"/>
    <w:rsid w:val="00D9486C"/>
    <w:rsid w:val="00DA7FCD"/>
    <w:rsid w:val="00DD1103"/>
    <w:rsid w:val="00E05CC5"/>
    <w:rsid w:val="00E365E1"/>
    <w:rsid w:val="00E820A4"/>
    <w:rsid w:val="00EB006A"/>
    <w:rsid w:val="00EB4772"/>
    <w:rsid w:val="00ED169E"/>
    <w:rsid w:val="00ED4235"/>
    <w:rsid w:val="00EF6A74"/>
    <w:rsid w:val="00F04346"/>
    <w:rsid w:val="00F075DC"/>
    <w:rsid w:val="00F149E9"/>
    <w:rsid w:val="00F5134D"/>
    <w:rsid w:val="00F73EA8"/>
    <w:rsid w:val="00F74202"/>
    <w:rsid w:val="00F87713"/>
    <w:rsid w:val="00FB4360"/>
    <w:rsid w:val="00FD0C70"/>
  </w:rsids>
  <w:docVars>
    <w:docVar w:name="dvdocse" w:val="A10-0116/2026"/>
    <w:docVar w:name="dvlangue" w:val="FI"/>
    <w:docVar w:name="dvnumam" w:val="0"/>
    <w:docVar w:name="dvpe" w:val="786.694"/>
    <w:docVar w:name="dvrapporteur" w:val="Esittelijä: "/>
    <w:docVar w:name="dvtitre" w:val="Euroopan parlamentin päätös xx. huhtikuuta 2026 Tomasz Buczekin koskemattomuuden pidättämistä koskevasta pyynnöstä(2025/2193(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E9C1DBC"/>
  <w15:chartTrackingRefBased/>
  <w15:docId w15:val="{114B6064-B7A6-4389-BAA8-DC0B61C57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D6757"/>
    <w:pPr>
      <w:spacing w:after="240"/>
      <w:ind w:left="567" w:hanging="567"/>
    </w:pPr>
  </w:style>
  <w:style w:type="paragraph" w:customStyle="1" w:styleId="EPComma">
    <w:name w:val="EPComma"/>
    <w:basedOn w:val="Normal"/>
    <w:rsid w:val="002D6757"/>
    <w:pPr>
      <w:spacing w:before="480" w:after="240"/>
    </w:pPr>
  </w:style>
  <w:style w:type="paragraph" w:styleId="Footer">
    <w:name w:val="footer"/>
    <w:basedOn w:val="Normal"/>
    <w:link w:val="FooterChar"/>
    <w:rsid w:val="008E38BA"/>
    <w:pPr>
      <w:tabs>
        <w:tab w:val="center" w:pos="4513"/>
        <w:tab w:val="right" w:pos="9026"/>
      </w:tabs>
    </w:pPr>
  </w:style>
  <w:style w:type="character" w:customStyle="1" w:styleId="FooterChar">
    <w:name w:val="Footer Char"/>
    <w:basedOn w:val="DefaultParagraphFont"/>
    <w:link w:val="Footer"/>
    <w:rsid w:val="008E38BA"/>
    <w:rPr>
      <w:sz w:val="24"/>
      <w:lang w:val="fi-FI"/>
    </w:rPr>
  </w:style>
  <w:style w:type="paragraph" w:styleId="Revision">
    <w:name w:val="Revision"/>
    <w:hidden/>
    <w:uiPriority w:val="99"/>
    <w:semiHidden/>
    <w:rsid w:val="008E38BA"/>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805</Words>
  <Characters>4589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2026-04-28T11:09:00Z</dcterms:created>
  <dcterms:modified xsi:type="dcterms:W3CDTF">2026-04-28T11:09:00Z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A10-0116/2026</vt:lpwstr>
  </property>
  <property fmtid="{D5CDD505-2E9C-101B-9397-08002B2CF9AE}" pid="4" name="&lt;Type&gt;">
    <vt:lpwstr>RR</vt:lpwstr>
  </property>
</Properties>
</file>