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A9CBAC9" w14:textId="77777777" w:rsidTr="0010095E">
        <w:tblPrEx>
          <w:tblW w:w="9072" w:type="dxa"/>
          <w:tblLook w:val="01E0"/>
        </w:tblPrEx>
        <w:trPr>
          <w:trHeight w:hRule="exact" w:val="1418"/>
        </w:trPr>
        <w:tc>
          <w:tcPr>
            <w:tcW w:w="6804" w:type="dxa"/>
            <w:shd w:val="clear" w:color="auto" w:fill="auto"/>
            <w:vAlign w:val="center"/>
          </w:tcPr>
          <w:p w:rsidR="00751A4A" w:rsidRPr="003E5519" w:rsidP="0010095E" w14:paraId="641B34CC" w14:textId="4B802A98">
            <w:pPr>
              <w:pStyle w:val="EPName"/>
            </w:pPr>
            <w:r w:rsidRPr="003E5519">
              <w:t>Parlement européen</w:t>
            </w:r>
          </w:p>
          <w:p w:rsidR="00751A4A" w:rsidRPr="003E5519" w:rsidP="005F1B17" w14:paraId="02C55E44" w14:textId="77777777">
            <w:pPr>
              <w:pStyle w:val="EPTerm"/>
              <w:rPr>
                <w:rStyle w:val="HideTWBExt"/>
                <w:noProof w:val="0"/>
                <w:vanish w:val="0"/>
                <w:color w:val="auto"/>
              </w:rPr>
            </w:pPr>
            <w:r w:rsidRPr="003E5519">
              <w:t>2024</w:t>
            </w:r>
            <w:r w:rsidRPr="003E5519" w:rsidR="00817416">
              <w:t>-202</w:t>
            </w:r>
            <w:r w:rsidRPr="003E5519">
              <w:t>9</w:t>
            </w:r>
          </w:p>
        </w:tc>
        <w:tc>
          <w:tcPr>
            <w:tcW w:w="2268" w:type="dxa"/>
            <w:shd w:val="clear" w:color="auto" w:fill="auto"/>
          </w:tcPr>
          <w:p w:rsidR="00751A4A" w:rsidRPr="003E5519" w:rsidP="0010095E" w14:paraId="68BDF63F" w14:textId="77777777">
            <w:pPr>
              <w:pStyle w:val="EPLogo"/>
            </w:pPr>
            <w:r w:rsidRPr="003E551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E5519" w:rsidP="004C5D52" w14:paraId="49B69114" w14:textId="77777777">
      <w:pPr>
        <w:pStyle w:val="LineTop"/>
      </w:pPr>
    </w:p>
    <w:p w:rsidR="00680577" w:rsidRPr="003E5519" w:rsidP="00680577" w14:paraId="7BE880DB" w14:textId="7E0DC22B">
      <w:pPr>
        <w:pStyle w:val="EPBodyTA1"/>
      </w:pPr>
      <w:r w:rsidRPr="003E5519">
        <w:t>TEXTES ADOPTÉS</w:t>
      </w:r>
    </w:p>
    <w:p w:rsidR="00D058B8" w:rsidRPr="003E5519" w:rsidP="00D058B8" w14:paraId="21A45489" w14:textId="77777777">
      <w:pPr>
        <w:pStyle w:val="LineBottom"/>
      </w:pPr>
    </w:p>
    <w:p w:rsidR="00DD3EA8" w:rsidRPr="003E5519" w:rsidP="00DD3EA8" w14:paraId="710049DC" w14:textId="4FFE1312">
      <w:pPr>
        <w:pStyle w:val="ATHeading1"/>
      </w:pPr>
      <w:bookmarkStart w:id="0" w:name="TANumber"/>
      <w:r w:rsidRPr="003E5519">
        <w:t>P10_TA(2026)0</w:t>
      </w:r>
      <w:bookmarkEnd w:id="0"/>
      <w:r w:rsidRPr="003E5519" w:rsidR="00631042">
        <w:t>107</w:t>
      </w:r>
    </w:p>
    <w:p w:rsidR="00DD3EA8" w:rsidRPr="003E5519" w:rsidP="00DD3EA8" w14:paraId="40DE686A" w14:textId="77777777">
      <w:pPr>
        <w:pStyle w:val="ATHeading2"/>
      </w:pPr>
      <w:bookmarkStart w:id="1" w:name="title"/>
      <w:r w:rsidRPr="003E5519">
        <w:t>Demande de levée de l’immunité de Tomasz Buczek</w:t>
      </w:r>
      <w:bookmarkEnd w:id="1"/>
    </w:p>
    <w:p w:rsidR="00DD3EA8" w:rsidRPr="003E5519" w:rsidP="00DD3EA8" w14:paraId="7B66EAD4" w14:textId="77777777">
      <w:pPr>
        <w:rPr>
          <w:i/>
          <w:vanish/>
        </w:rPr>
      </w:pPr>
      <w:r>
        <w:rPr>
          <w:i/>
        </w:rPr>
        <w:fldChar w:fldCharType="begin"/>
      </w:r>
      <w:r w:rsidRPr="003E5519">
        <w:rPr>
          <w:i/>
        </w:rPr>
        <w:instrText xml:space="preserve"> TC"(</w:instrText>
      </w:r>
      <w:bookmarkStart w:id="2" w:name="DocNumber"/>
      <w:r w:rsidRPr="003E5519">
        <w:rPr>
          <w:i/>
        </w:rPr>
        <w:instrText>A10-0116/2026</w:instrText>
      </w:r>
      <w:bookmarkEnd w:id="2"/>
      <w:r w:rsidRPr="003E5519">
        <w:rPr>
          <w:i/>
        </w:rPr>
        <w:instrText xml:space="preserve"> - Rapporteur: David Cormand)"\l3 \n&gt; \* MERGEFORMAT </w:instrText>
      </w:r>
      <w:r>
        <w:rPr>
          <w:i/>
        </w:rPr>
        <w:fldChar w:fldCharType="end"/>
      </w:r>
    </w:p>
    <w:p w:rsidR="00DD3EA8" w:rsidRPr="003E5519" w:rsidP="00DD3EA8" w14:paraId="20E1DC04" w14:textId="77777777">
      <w:pPr>
        <w:rPr>
          <w:vanish/>
        </w:rPr>
      </w:pPr>
      <w:bookmarkStart w:id="3" w:name="Commission"/>
      <w:r w:rsidRPr="003E5519">
        <w:rPr>
          <w:vanish/>
        </w:rPr>
        <w:t>Commission des affaires juridiques</w:t>
      </w:r>
      <w:bookmarkEnd w:id="3"/>
    </w:p>
    <w:p w:rsidR="00DD3EA8" w:rsidRPr="003E5519" w:rsidP="00DD3EA8" w14:paraId="09E29648" w14:textId="77777777">
      <w:pPr>
        <w:rPr>
          <w:vanish/>
        </w:rPr>
      </w:pPr>
      <w:bookmarkStart w:id="4" w:name="PE"/>
      <w:r w:rsidRPr="003E5519">
        <w:rPr>
          <w:vanish/>
        </w:rPr>
        <w:t>PE786.694</w:t>
      </w:r>
      <w:bookmarkEnd w:id="4"/>
    </w:p>
    <w:p w:rsidR="00DD3EA8" w:rsidRPr="003E5519" w:rsidP="00DD3EA8" w14:paraId="2E56873E" w14:textId="4DCAA30F">
      <w:pPr>
        <w:pStyle w:val="ATHeading3"/>
      </w:pPr>
      <w:bookmarkStart w:id="5" w:name="Sujet"/>
      <w:r w:rsidRPr="003E5519">
        <w:t xml:space="preserve">Décision du Parlement européen du </w:t>
      </w:r>
      <w:r w:rsidRPr="003E5519" w:rsidR="007E477F">
        <w:t>28</w:t>
      </w:r>
      <w:r w:rsidRPr="003E5519">
        <w:t xml:space="preserve"> avril 2026 sur la demande de levée de l’immunité de Tomasz Buczek</w:t>
      </w:r>
      <w:bookmarkEnd w:id="5"/>
      <w:r w:rsidRPr="003E5519">
        <w:t xml:space="preserve"> </w:t>
      </w:r>
      <w:bookmarkStart w:id="6" w:name="References"/>
      <w:r w:rsidRPr="003E5519">
        <w:t>(2025/2193(IMM))</w:t>
      </w:r>
      <w:bookmarkEnd w:id="6"/>
    </w:p>
    <w:p w:rsidR="00CC6B7F" w:rsidRPr="003E5519" w:rsidP="00CC6B7F" w14:paraId="50D7BC60" w14:textId="77777777">
      <w:pPr>
        <w:pStyle w:val="EPComma"/>
        <w:rPr>
          <w:lang w:val="fr-FR"/>
        </w:rPr>
      </w:pPr>
      <w:bookmarkStart w:id="7" w:name="TextBodyBegin"/>
      <w:bookmarkEnd w:id="7"/>
      <w:r w:rsidRPr="003E5519">
        <w:rPr>
          <w:i/>
          <w:lang w:val="fr-FR"/>
        </w:rPr>
        <w:t>Le Parlement européen</w:t>
      </w:r>
      <w:r w:rsidRPr="003E5519">
        <w:rPr>
          <w:lang w:val="fr-FR"/>
        </w:rPr>
        <w:t>,</w:t>
      </w:r>
    </w:p>
    <w:p w:rsidR="00CC6B7F" w:rsidRPr="003E5519" w:rsidP="00CC6B7F" w14:paraId="7F62845D" w14:textId="023E1417">
      <w:pPr>
        <w:pStyle w:val="NormalHanging12a"/>
        <w:rPr>
          <w:lang w:val="fr-FR"/>
        </w:rPr>
      </w:pPr>
      <w:r w:rsidRPr="003E5519">
        <w:rPr>
          <w:lang w:val="fr-FR"/>
        </w:rPr>
        <w:t>–</w:t>
      </w:r>
      <w:r w:rsidRPr="003E5519">
        <w:rPr>
          <w:lang w:val="fr-FR"/>
        </w:rPr>
        <w:tab/>
        <w:t>vu la demande de levée de l’immunité de Tomasz Buczek</w:t>
      </w:r>
      <w:r w:rsidRPr="003E5519" w:rsidR="007E477F">
        <w:rPr>
          <w:lang w:val="fr-FR"/>
        </w:rPr>
        <w:t>,</w:t>
      </w:r>
      <w:r w:rsidRPr="003E5519">
        <w:rPr>
          <w:lang w:val="fr-FR"/>
        </w:rPr>
        <w:t xml:space="preserve"> présentée par le tribunal d’arrondissement de Tarnobrzeg, deuxième chambre pénale, </w:t>
      </w:r>
      <w:r w:rsidRPr="003E5519" w:rsidR="007271B1">
        <w:rPr>
          <w:lang w:val="fr-FR"/>
        </w:rPr>
        <w:t xml:space="preserve">par lettre datée du 12 septembre 2025, </w:t>
      </w:r>
      <w:r w:rsidRPr="003E5519" w:rsidR="007E477F">
        <w:rPr>
          <w:lang w:val="fr-FR"/>
        </w:rPr>
        <w:t xml:space="preserve">en liaison avec </w:t>
      </w:r>
      <w:r w:rsidRPr="003E5519">
        <w:rPr>
          <w:lang w:val="fr-FR"/>
        </w:rPr>
        <w:t>une procédure pénale engagée à son encontre par un acte d’accusation privé introduit par le représentant légal de la requérante privée, et communiquée en séance plénière le 6 octobre 2025,</w:t>
      </w:r>
    </w:p>
    <w:p w:rsidR="00CC6B7F" w:rsidRPr="003E5519" w:rsidP="00CC6B7F" w14:paraId="017CEDA8" w14:textId="58494AB7">
      <w:pPr>
        <w:pStyle w:val="NormalHanging12a"/>
        <w:rPr>
          <w:lang w:val="fr-FR"/>
        </w:rPr>
      </w:pPr>
      <w:r w:rsidRPr="003E5519">
        <w:rPr>
          <w:lang w:val="fr-FR"/>
        </w:rPr>
        <w:t>–</w:t>
      </w:r>
      <w:r w:rsidRPr="003E5519">
        <w:rPr>
          <w:lang w:val="fr-FR"/>
        </w:rPr>
        <w:tab/>
        <w:t>ayant entendu Tomasz Buczek le 23 mars 2026</w:t>
      </w:r>
      <w:r w:rsidRPr="003E5519" w:rsidR="008E74CD">
        <w:rPr>
          <w:lang w:val="fr-FR"/>
        </w:rPr>
        <w:t xml:space="preserve"> </w:t>
      </w:r>
      <w:r w:rsidRPr="003E5519">
        <w:rPr>
          <w:lang w:val="fr-FR"/>
        </w:rPr>
        <w:t xml:space="preserve">et vu les documents qu’il a </w:t>
      </w:r>
      <w:r w:rsidRPr="003E5519" w:rsidR="00517227">
        <w:rPr>
          <w:lang w:val="fr-FR"/>
        </w:rPr>
        <w:t>présentés</w:t>
      </w:r>
      <w:r w:rsidRPr="003E5519">
        <w:rPr>
          <w:lang w:val="fr-FR"/>
        </w:rPr>
        <w:t>,</w:t>
      </w:r>
      <w:r w:rsidRPr="003E5519" w:rsidR="007E477F">
        <w:rPr>
          <w:lang w:val="fr-FR"/>
        </w:rPr>
        <w:t xml:space="preserve"> conformément à l’article 9, paragraphe 6, de son règlement intérieur,</w:t>
      </w:r>
    </w:p>
    <w:p w:rsidR="00CC6B7F" w:rsidRPr="003E5519" w:rsidP="00CC6B7F" w14:paraId="30B601E6" w14:textId="77777777">
      <w:pPr>
        <w:pStyle w:val="NormalHanging12a"/>
        <w:rPr>
          <w:lang w:val="fr-FR"/>
        </w:rPr>
      </w:pPr>
      <w:r w:rsidRPr="003E5519">
        <w:rPr>
          <w:lang w:val="fr-FR"/>
        </w:rPr>
        <w:t>–</w:t>
      </w:r>
      <w:r w:rsidRPr="003E5519">
        <w:rPr>
          <w:lang w:val="fr-FR"/>
        </w:rPr>
        <w:tab/>
        <w:t>vu les articles 8 et 9 du protocole nº 7 sur les privilèges et immunités de l’Union européenne ainsi que l’article 6, paragraphe 2, de l’acte portant élection des membres du Parlement européen au suffrage universel direct, du 20 septembre 1976,</w:t>
      </w:r>
    </w:p>
    <w:p w:rsidR="00CC6B7F" w:rsidRPr="003E5519" w:rsidP="00CC6B7F" w14:paraId="5173B36A" w14:textId="77777777">
      <w:pPr>
        <w:pStyle w:val="NormalHanging12a"/>
        <w:rPr>
          <w:lang w:val="fr-FR"/>
        </w:rPr>
      </w:pPr>
      <w:r w:rsidRPr="003E5519">
        <w:rPr>
          <w:lang w:val="fr-FR"/>
        </w:rPr>
        <w:t>–</w:t>
      </w:r>
      <w:r w:rsidRPr="003E5519">
        <w:rPr>
          <w:lang w:val="fr-FR"/>
        </w:rPr>
        <w:tab/>
        <w:t>vu les arrêts rendus par la Cour de justice de l’Union européenne les 21 octobre 2008, 19 mars 2010, 6 septembre 2011, 17 janvier 2013 et 19 décembre 2019</w:t>
      </w:r>
      <w:r>
        <w:rPr>
          <w:vertAlign w:val="superscript"/>
          <w:lang w:val="fr-FR"/>
        </w:rPr>
        <w:footnoteReference w:id="2"/>
      </w:r>
      <w:r w:rsidRPr="003E5519">
        <w:rPr>
          <w:lang w:val="fr-FR"/>
        </w:rPr>
        <w:t>,</w:t>
      </w:r>
    </w:p>
    <w:p w:rsidR="00CC6B7F" w:rsidRPr="003E5519" w:rsidP="00CC6B7F" w14:paraId="5EB6CD33" w14:textId="77777777">
      <w:pPr>
        <w:pStyle w:val="NormalHanging12a"/>
        <w:rPr>
          <w:lang w:val="fr-FR"/>
        </w:rPr>
      </w:pPr>
      <w:r w:rsidRPr="003E5519">
        <w:rPr>
          <w:lang w:val="fr-FR"/>
        </w:rPr>
        <w:t>–</w:t>
      </w:r>
      <w:r w:rsidRPr="003E5519">
        <w:rPr>
          <w:lang w:val="fr-FR"/>
        </w:rPr>
        <w:tab/>
        <w:t>vu l’article 105, paragraphes 2 et 5, de la Constitution de la République de Pologne,</w:t>
      </w:r>
    </w:p>
    <w:p w:rsidR="00CC6B7F" w:rsidRPr="003E5519" w:rsidP="00CC6B7F" w14:paraId="25EAFE09" w14:textId="77777777">
      <w:pPr>
        <w:pStyle w:val="NormalHanging12a"/>
        <w:rPr>
          <w:lang w:val="fr-FR"/>
        </w:rPr>
      </w:pPr>
      <w:r w:rsidRPr="003E5519">
        <w:rPr>
          <w:lang w:val="fr-FR"/>
        </w:rPr>
        <w:t>–</w:t>
      </w:r>
      <w:r w:rsidRPr="003E5519">
        <w:rPr>
          <w:lang w:val="fr-FR"/>
        </w:rPr>
        <w:tab/>
        <w:t>vu l’article 5, paragraphe 2, l’article 6, paragraphe 1, et l’article 9 de son règlement intérieur,</w:t>
      </w:r>
    </w:p>
    <w:p w:rsidR="00CC6B7F" w:rsidRPr="003E5519" w:rsidP="00CC6B7F" w14:paraId="4320774F" w14:textId="77777777">
      <w:pPr>
        <w:pStyle w:val="NormalHanging12a"/>
        <w:rPr>
          <w:lang w:val="fr-FR"/>
        </w:rPr>
      </w:pPr>
      <w:r w:rsidRPr="003E5519">
        <w:rPr>
          <w:lang w:val="fr-FR"/>
        </w:rPr>
        <w:t>–</w:t>
      </w:r>
      <w:r w:rsidRPr="003E5519">
        <w:rPr>
          <w:lang w:val="fr-FR"/>
        </w:rPr>
        <w:tab/>
        <w:t>vu le rapport de la commission des affaires juridiques (A10-0116/2026),</w:t>
      </w:r>
    </w:p>
    <w:p w:rsidR="00CC6B7F" w:rsidRPr="003E5519" w:rsidP="00CC6B7F" w14:paraId="4F8DFBF2" w14:textId="195D074E">
      <w:pPr>
        <w:pStyle w:val="NormalHanging12a"/>
        <w:rPr>
          <w:lang w:val="fr-FR"/>
        </w:rPr>
      </w:pPr>
      <w:r w:rsidRPr="003E5519">
        <w:rPr>
          <w:lang w:val="fr-FR"/>
        </w:rPr>
        <w:t>A.</w:t>
      </w:r>
      <w:r w:rsidRPr="003E5519">
        <w:rPr>
          <w:lang w:val="fr-FR"/>
        </w:rPr>
        <w:tab/>
        <w:t xml:space="preserve">considérant que, par lettre </w:t>
      </w:r>
      <w:r w:rsidRPr="003E5519" w:rsidR="007E477F">
        <w:rPr>
          <w:lang w:val="fr-FR"/>
        </w:rPr>
        <w:t xml:space="preserve">datée </w:t>
      </w:r>
      <w:r w:rsidRPr="003E5519">
        <w:rPr>
          <w:lang w:val="fr-FR"/>
        </w:rPr>
        <w:t xml:space="preserve">du 12 septembre 2025, le tribunal d’arrondissement de Tarnobrzeg, deuxième chambre pénale, a </w:t>
      </w:r>
      <w:r w:rsidRPr="003E5519" w:rsidR="00517227">
        <w:rPr>
          <w:lang w:val="fr-FR"/>
        </w:rPr>
        <w:t>présenté une</w:t>
      </w:r>
      <w:r w:rsidRPr="003E5519">
        <w:rPr>
          <w:lang w:val="fr-FR"/>
        </w:rPr>
        <w:t xml:space="preserve"> demande de levée de l’immunité de Tomasz Buczek</w:t>
      </w:r>
      <w:r w:rsidRPr="003E5519" w:rsidR="007E477F">
        <w:rPr>
          <w:lang w:val="fr-FR"/>
        </w:rPr>
        <w:t>, député au Parlement européen élu en Pologne,</w:t>
      </w:r>
      <w:r w:rsidRPr="003E5519">
        <w:rPr>
          <w:lang w:val="fr-FR"/>
        </w:rPr>
        <w:t xml:space="preserve"> en liaison avec un acte d’accusation privé déposé contre lui pour une infraction présumée relevant de l’article 217, paragraphe 1, du code pénal polonais;</w:t>
      </w:r>
    </w:p>
    <w:p w:rsidR="00CC6B7F" w:rsidRPr="003E5519" w:rsidP="00CC6B7F" w14:paraId="1507627C" w14:textId="668469FA">
      <w:pPr>
        <w:pStyle w:val="NormalHanging12a"/>
        <w:rPr>
          <w:lang w:val="fr-FR"/>
        </w:rPr>
      </w:pPr>
      <w:r w:rsidRPr="003E5519">
        <w:rPr>
          <w:lang w:val="fr-FR"/>
        </w:rPr>
        <w:t>B.</w:t>
      </w:r>
      <w:r w:rsidRPr="003E5519">
        <w:rPr>
          <w:lang w:val="fr-FR"/>
        </w:rPr>
        <w:tab/>
        <w:t xml:space="preserve">considérant que, selon la demande de levée d’immunité, le 21 septembre 2024, un rassemblement électoral s’est tenu à Tarnobrzeg en présence de Tomasz Buczek; que la requérante privée a pris part au rassemblement susmentionné, notamment en exprimant ses opinions sur des sujets politiques, y compris </w:t>
      </w:r>
      <w:r w:rsidRPr="003E5519" w:rsidR="00821796">
        <w:rPr>
          <w:lang w:val="fr-FR"/>
        </w:rPr>
        <w:t>l</w:t>
      </w:r>
      <w:r w:rsidRPr="003E5519">
        <w:rPr>
          <w:lang w:val="fr-FR"/>
        </w:rPr>
        <w:t>es activités de Tomasz Buczek; que, selon la demande, Tomasz Buczek aurait arraché le mégaphone miniature que la requérante privée tenait entre ses mains pour se faire entendre et que le geste aurait été si violent que le mégaphone n’est plus en état de fonctionner;</w:t>
      </w:r>
    </w:p>
    <w:p w:rsidR="00CC6B7F" w:rsidRPr="003E5519" w:rsidP="00CC6B7F" w14:paraId="5759F448" w14:textId="00E29150">
      <w:pPr>
        <w:pStyle w:val="NormalHanging12a"/>
        <w:rPr>
          <w:lang w:val="fr-FR"/>
        </w:rPr>
      </w:pPr>
      <w:r w:rsidRPr="003E5519">
        <w:rPr>
          <w:lang w:val="fr-FR"/>
        </w:rPr>
        <w:t>C.</w:t>
      </w:r>
      <w:r w:rsidRPr="003E5519">
        <w:rPr>
          <w:lang w:val="fr-FR"/>
        </w:rPr>
        <w:tab/>
        <w:t>considérant que</w:t>
      </w:r>
      <w:r w:rsidRPr="003E5519">
        <w:rPr>
          <w:color w:val="000000"/>
          <w:lang w:val="fr-FR"/>
        </w:rPr>
        <w:t xml:space="preserve"> le geste de</w:t>
      </w:r>
      <w:r w:rsidRPr="003E5519">
        <w:rPr>
          <w:lang w:val="fr-FR"/>
        </w:rPr>
        <w:t xml:space="preserve"> </w:t>
      </w:r>
      <w:r w:rsidRPr="003E5519">
        <w:rPr>
          <w:color w:val="000000"/>
          <w:lang w:val="fr-FR"/>
        </w:rPr>
        <w:t xml:space="preserve">Tomasz Buczek </w:t>
      </w:r>
      <w:r w:rsidRPr="003E5519" w:rsidR="00821796">
        <w:rPr>
          <w:color w:val="000000"/>
          <w:lang w:val="fr-FR"/>
        </w:rPr>
        <w:t xml:space="preserve">constituerait </w:t>
      </w:r>
      <w:r w:rsidRPr="003E5519">
        <w:rPr>
          <w:color w:val="000000"/>
          <w:lang w:val="fr-FR"/>
        </w:rPr>
        <w:t xml:space="preserve">une </w:t>
      </w:r>
      <w:r w:rsidRPr="003E5519" w:rsidR="00821796">
        <w:rPr>
          <w:color w:val="000000"/>
          <w:lang w:val="fr-FR"/>
        </w:rPr>
        <w:t>infraction d’</w:t>
      </w:r>
      <w:r w:rsidRPr="003E5519">
        <w:rPr>
          <w:color w:val="000000"/>
          <w:lang w:val="fr-FR"/>
        </w:rPr>
        <w:t>atteinte à l’intégrité physique, infraction visée à l’article 217, paragraphe 1, du code pénal</w:t>
      </w:r>
      <w:r w:rsidRPr="003E5519">
        <w:rPr>
          <w:lang w:val="fr-FR"/>
        </w:rPr>
        <w:t xml:space="preserve"> </w:t>
      </w:r>
      <w:r w:rsidRPr="003E5519">
        <w:rPr>
          <w:color w:val="000000"/>
          <w:lang w:val="fr-FR"/>
        </w:rPr>
        <w:t>polonais</w:t>
      </w:r>
      <w:r w:rsidRPr="003E5519">
        <w:rPr>
          <w:lang w:val="fr-FR"/>
        </w:rPr>
        <w:t>;</w:t>
      </w:r>
    </w:p>
    <w:p w:rsidR="00CC6B7F" w:rsidRPr="003E5519" w:rsidP="00CC6B7F" w14:paraId="30FD41B4" w14:textId="1D40F9B2">
      <w:pPr>
        <w:pStyle w:val="NormalHanging12a"/>
        <w:rPr>
          <w:lang w:val="fr-FR"/>
        </w:rPr>
      </w:pPr>
      <w:r w:rsidRPr="003E5519">
        <w:rPr>
          <w:lang w:val="fr-FR"/>
        </w:rPr>
        <w:t>D.</w:t>
      </w:r>
      <w:r w:rsidRPr="003E5519">
        <w:rPr>
          <w:lang w:val="fr-FR"/>
        </w:rPr>
        <w:tab/>
        <w:t xml:space="preserve">considérant que Tomasz Buczek a été élu au Parlement européen lors des élections européennes de juin 2024 et qu’il était </w:t>
      </w:r>
      <w:r w:rsidRPr="003E5519" w:rsidR="008F772F">
        <w:rPr>
          <w:lang w:val="fr-FR"/>
        </w:rPr>
        <w:t xml:space="preserve">donc </w:t>
      </w:r>
      <w:r w:rsidRPr="003E5519">
        <w:rPr>
          <w:lang w:val="fr-FR"/>
        </w:rPr>
        <w:t>député au Parlement européen au moment de l’infraction présumée;</w:t>
      </w:r>
    </w:p>
    <w:p w:rsidR="00CC6B7F" w:rsidRPr="003E5519" w:rsidP="00CC6B7F" w14:paraId="7ECE5E2B" w14:textId="0EED5659">
      <w:pPr>
        <w:pStyle w:val="NormalHanging12a"/>
        <w:rPr>
          <w:lang w:val="fr-FR"/>
        </w:rPr>
      </w:pPr>
      <w:r w:rsidRPr="003E5519">
        <w:rPr>
          <w:lang w:val="fr-FR"/>
        </w:rPr>
        <w:t>E.</w:t>
      </w:r>
      <w:r w:rsidRPr="003E5519">
        <w:rPr>
          <w:lang w:val="fr-FR"/>
        </w:rPr>
        <w:tab/>
        <w:t xml:space="preserve">considérant que l’infraction présumée </w:t>
      </w:r>
      <w:r w:rsidRPr="003E5519" w:rsidR="008F772F">
        <w:rPr>
          <w:lang w:val="fr-FR"/>
        </w:rPr>
        <w:t>n’est pas constitutive d’une opinion ou d’un vote</w:t>
      </w:r>
      <w:r w:rsidRPr="003E5519">
        <w:rPr>
          <w:lang w:val="fr-FR"/>
        </w:rPr>
        <w:t xml:space="preserve"> émis par Tomasz Buczek dans l’exercice de ses fonctions au sens de l’article 8 du protocole nº 7 sur les privilèges et immunités de l’Union européenne</w:t>
      </w:r>
      <w:r w:rsidRPr="003E5519" w:rsidR="008F772F">
        <w:rPr>
          <w:lang w:val="fr-FR"/>
        </w:rPr>
        <w:t xml:space="preserve"> et que la demande de levée de son immunité qui en découle n’est pas liée à une telle opinion ou à un tel vote</w:t>
      </w:r>
      <w:r w:rsidRPr="003E5519">
        <w:rPr>
          <w:lang w:val="fr-FR"/>
        </w:rPr>
        <w:t>;</w:t>
      </w:r>
    </w:p>
    <w:p w:rsidR="00CC6B7F" w:rsidRPr="003E5519" w:rsidP="00CC6B7F" w14:paraId="4DFF9846" w14:textId="42165539">
      <w:pPr>
        <w:pStyle w:val="NormalHanging12a"/>
        <w:rPr>
          <w:lang w:val="fr-FR"/>
        </w:rPr>
      </w:pPr>
      <w:r w:rsidRPr="003E5519">
        <w:rPr>
          <w:lang w:val="fr-FR"/>
        </w:rPr>
        <w:t>F.</w:t>
      </w:r>
      <w:r w:rsidRPr="003E5519">
        <w:rPr>
          <w:lang w:val="fr-FR"/>
        </w:rPr>
        <w:tab/>
        <w:t>considérant que l’article 9, premier alinéa, point a), du protocole nº 7 sur les privilèges et immunités de l’Union européenne dispose que</w:t>
      </w:r>
      <w:r w:rsidRPr="003E5519" w:rsidR="008E74CD">
        <w:rPr>
          <w:lang w:val="fr-FR"/>
        </w:rPr>
        <w:t>,</w:t>
      </w:r>
      <w:r w:rsidRPr="003E5519">
        <w:rPr>
          <w:lang w:val="fr-FR"/>
        </w:rPr>
        <w:t xml:space="preserve"> </w:t>
      </w:r>
      <w:r w:rsidRPr="003E5519" w:rsidR="008E74CD">
        <w:rPr>
          <w:lang w:val="fr-BE"/>
        </w:rPr>
        <w:t>pendant la durée des sessions du Parlement européen,</w:t>
      </w:r>
      <w:r w:rsidRPr="003E5519" w:rsidR="008E74CD">
        <w:rPr>
          <w:lang w:val="fr-FR"/>
        </w:rPr>
        <w:t xml:space="preserve"> </w:t>
      </w:r>
      <w:r w:rsidRPr="003E5519">
        <w:rPr>
          <w:lang w:val="fr-FR"/>
        </w:rPr>
        <w:t xml:space="preserve">les membres du Parlement européen bénéficient, sur leur territoire national, des immunités reconnues aux membres du parlement de leur </w:t>
      </w:r>
      <w:r w:rsidRPr="003E5519" w:rsidR="006E5D75">
        <w:rPr>
          <w:lang w:val="fr-FR"/>
        </w:rPr>
        <w:t>État</w:t>
      </w:r>
      <w:r w:rsidRPr="003E5519">
        <w:rPr>
          <w:lang w:val="fr-FR"/>
        </w:rPr>
        <w:t>;</w:t>
      </w:r>
    </w:p>
    <w:p w:rsidR="00CC6B7F" w:rsidRPr="003E5519" w:rsidP="00CC6B7F" w14:paraId="61818A9F" w14:textId="5B00D344">
      <w:pPr>
        <w:pStyle w:val="NormalHanging12a"/>
        <w:rPr>
          <w:lang w:val="fr-FR"/>
        </w:rPr>
      </w:pPr>
      <w:r w:rsidRPr="003E5519">
        <w:rPr>
          <w:lang w:val="fr-FR"/>
        </w:rPr>
        <w:t>G.</w:t>
      </w:r>
      <w:r w:rsidRPr="003E5519">
        <w:rPr>
          <w:lang w:val="fr-FR"/>
        </w:rPr>
        <w:tab/>
        <w:t>considérant qu</w:t>
      </w:r>
      <w:r w:rsidRPr="003E5519" w:rsidR="00FF63F4">
        <w:rPr>
          <w:lang w:val="fr-FR"/>
        </w:rPr>
        <w:t xml:space="preserve">e, </w:t>
      </w:r>
      <w:r w:rsidRPr="003E5519">
        <w:rPr>
          <w:lang w:val="fr-FR"/>
        </w:rPr>
        <w:t xml:space="preserve">en vertu de l’article 105, paragraphes 2 et 5, de la Constitution </w:t>
      </w:r>
      <w:r w:rsidRPr="003E5519" w:rsidR="006E5D75">
        <w:rPr>
          <w:lang w:val="fr-FR"/>
        </w:rPr>
        <w:t>de la République de Pologne</w:t>
      </w:r>
      <w:r w:rsidRPr="003E5519">
        <w:rPr>
          <w:lang w:val="fr-FR"/>
        </w:rPr>
        <w:t xml:space="preserve">, un député ne peut encourir </w:t>
      </w:r>
      <w:r w:rsidRPr="003E5519" w:rsidR="00821796">
        <w:rPr>
          <w:lang w:val="fr-FR"/>
        </w:rPr>
        <w:t xml:space="preserve">de </w:t>
      </w:r>
      <w:r w:rsidRPr="003E5519">
        <w:rPr>
          <w:lang w:val="fr-FR"/>
        </w:rPr>
        <w:t xml:space="preserve">responsabilité pénale qu’avec l’autorisation </w:t>
      </w:r>
      <w:r w:rsidRPr="003E5519" w:rsidR="008F772F">
        <w:rPr>
          <w:lang w:val="fr-FR"/>
        </w:rPr>
        <w:t>de la Diète polonaise</w:t>
      </w:r>
      <w:r w:rsidRPr="003E5519">
        <w:rPr>
          <w:lang w:val="fr-FR"/>
        </w:rPr>
        <w:t xml:space="preserve">, depuis la date de la publication des résultats des élections jusqu’à la date de l’expiration de son mandat, et qu’il ne peut être arrêté ou détenu qu’avec l’autorisation </w:t>
      </w:r>
      <w:r w:rsidRPr="003E5519" w:rsidR="008F772F">
        <w:rPr>
          <w:lang w:val="fr-FR"/>
        </w:rPr>
        <w:t>de la Diète</w:t>
      </w:r>
      <w:r w:rsidRPr="003E5519">
        <w:rPr>
          <w:lang w:val="fr-FR"/>
        </w:rPr>
        <w:t xml:space="preserve">, sauf en cas de flagrant délit ou lorsque sa détention est indispensable au </w:t>
      </w:r>
      <w:r w:rsidRPr="003E5519" w:rsidR="00821796">
        <w:rPr>
          <w:lang w:val="fr-FR"/>
        </w:rPr>
        <w:t xml:space="preserve">bon </w:t>
      </w:r>
      <w:r w:rsidRPr="003E5519">
        <w:rPr>
          <w:lang w:val="fr-FR"/>
        </w:rPr>
        <w:t>déroulement de la procédure;</w:t>
      </w:r>
    </w:p>
    <w:p w:rsidR="00CC6B7F" w:rsidRPr="003E5519" w:rsidP="00CC6B7F" w14:paraId="41AFE3C2" w14:textId="77777777">
      <w:pPr>
        <w:pStyle w:val="NormalHanging12a"/>
        <w:rPr>
          <w:lang w:val="fr-FR"/>
        </w:rPr>
      </w:pPr>
      <w:r w:rsidRPr="003E5519">
        <w:rPr>
          <w:lang w:val="fr-FR"/>
        </w:rPr>
        <w:t>H.</w:t>
      </w:r>
      <w:r w:rsidRPr="003E5519">
        <w:rPr>
          <w:lang w:val="fr-FR"/>
        </w:rPr>
        <w:tab/>
        <w:t>considérant que, conformément à l’article 5, paragraphe 2, de son règlement intérieur, l’immunité parlementaire n’est pas un privilège personnel du député, mais une garantie d’indépendance du Parlement dans son ensemble et de ses députés;</w:t>
      </w:r>
    </w:p>
    <w:p w:rsidR="00CC6B7F" w:rsidRPr="003E5519" w:rsidP="00CC6B7F" w14:paraId="13C155D5" w14:textId="49B5C626">
      <w:pPr>
        <w:pStyle w:val="NormalHanging12a"/>
        <w:rPr>
          <w:lang w:val="fr-FR"/>
        </w:rPr>
      </w:pPr>
      <w:r w:rsidRPr="003E5519">
        <w:rPr>
          <w:lang w:val="fr-FR"/>
        </w:rPr>
        <w:t>I.</w:t>
      </w:r>
      <w:r w:rsidRPr="003E5519">
        <w:rPr>
          <w:lang w:val="fr-FR"/>
        </w:rPr>
        <w:tab/>
        <w:t xml:space="preserve">considérant que l’immunité </w:t>
      </w:r>
      <w:r w:rsidRPr="003E5519" w:rsidR="006E5D75">
        <w:rPr>
          <w:lang w:val="fr-FR"/>
        </w:rPr>
        <w:t xml:space="preserve">prévue au protocole nº 7 sur les privilèges et immunités de l’Union européenne </w:t>
      </w:r>
      <w:r w:rsidRPr="003E5519">
        <w:rPr>
          <w:lang w:val="fr-FR"/>
        </w:rPr>
        <w:t>a pour objet de protéger le Parlement et ses députés contre des procédures judiciaires visant des activités menées dans l’exercice des fonctions parlementaires et indissociables de celles-ci;</w:t>
      </w:r>
    </w:p>
    <w:p w:rsidR="00CC6B7F" w:rsidRPr="003E5519" w:rsidP="00CC6B7F" w14:paraId="7B06835F" w14:textId="7CE951F1">
      <w:pPr>
        <w:pStyle w:val="NormalHanging12a"/>
        <w:rPr>
          <w:lang w:val="fr-FR"/>
        </w:rPr>
      </w:pPr>
      <w:r w:rsidRPr="003E5519">
        <w:rPr>
          <w:lang w:val="fr-FR"/>
        </w:rPr>
        <w:t>J.</w:t>
      </w:r>
      <w:r w:rsidRPr="003E5519">
        <w:rPr>
          <w:lang w:val="fr-FR"/>
        </w:rPr>
        <w:tab/>
        <w:t xml:space="preserve">considérant que, en l’espèce, le Parlement n’a trouvé aucun élément de preuve </w:t>
      </w:r>
      <w:r w:rsidRPr="003E5519">
        <w:rPr>
          <w:lang w:val="fr-FR"/>
        </w:rPr>
        <w:t xml:space="preserve">établissant l’existence d’un </w:t>
      </w:r>
      <w:r w:rsidRPr="003E5519">
        <w:rPr>
          <w:i/>
          <w:lang w:val="fr-FR"/>
        </w:rPr>
        <w:t>fumus persecutionis</w:t>
      </w:r>
      <w:r w:rsidRPr="003E5519">
        <w:rPr>
          <w:lang w:val="fr-FR"/>
        </w:rPr>
        <w:t xml:space="preserve">, c’est-à-dire </w:t>
      </w:r>
      <w:r w:rsidRPr="003E5519" w:rsidR="006E5D75">
        <w:rPr>
          <w:lang w:val="fr-FR"/>
        </w:rPr>
        <w:t xml:space="preserve">qu’il n’apparaît pas </w:t>
      </w:r>
      <w:r w:rsidRPr="003E5519">
        <w:rPr>
          <w:lang w:val="fr-FR"/>
        </w:rPr>
        <w:t>que les poursuites en question ont été engagées dans l’intention de nuire à l’activité politique de Tomasz Buczek en tant que député au Parlement européen</w:t>
      </w:r>
      <w:r w:rsidRPr="003E5519" w:rsidR="00712CBA">
        <w:rPr>
          <w:lang w:val="fr-FR"/>
        </w:rPr>
        <w:t xml:space="preserve"> et donc à l’indépendance du Parlement</w:t>
      </w:r>
      <w:r w:rsidRPr="003E5519">
        <w:rPr>
          <w:lang w:val="fr-FR"/>
        </w:rPr>
        <w:t>;</w:t>
      </w:r>
    </w:p>
    <w:p w:rsidR="00CC6B7F" w:rsidRPr="003E5519" w:rsidP="00CC6B7F" w14:paraId="43EAE027" w14:textId="77777777">
      <w:pPr>
        <w:pStyle w:val="NormalHanging12a"/>
        <w:rPr>
          <w:lang w:val="fr-FR"/>
        </w:rPr>
      </w:pPr>
      <w:r w:rsidRPr="003E5519">
        <w:rPr>
          <w:lang w:val="fr-FR"/>
        </w:rPr>
        <w:t>K.</w:t>
      </w:r>
      <w:r w:rsidRPr="003E5519">
        <w:rPr>
          <w:lang w:val="fr-FR"/>
        </w:rPr>
        <w:tab/>
        <w:t>considérant, d’une part, que le Parlement ne saurait être assimilé à un tribunal et, d’autre part, que le député ne saurait, dans le contexte d’une procédure de levée d’immunité, être considéré comme un «accusé»</w:t>
      </w:r>
      <w:r>
        <w:rPr>
          <w:vertAlign w:val="superscript"/>
          <w:lang w:val="fr-FR"/>
        </w:rPr>
        <w:footnoteReference w:id="3"/>
      </w:r>
      <w:r w:rsidRPr="003E5519">
        <w:rPr>
          <w:lang w:val="fr-FR"/>
        </w:rPr>
        <w:t>;</w:t>
      </w:r>
    </w:p>
    <w:p w:rsidR="00CC6B7F" w:rsidRPr="003E5519" w:rsidP="00CC6B7F" w14:paraId="24A60FC3" w14:textId="77777777">
      <w:pPr>
        <w:pStyle w:val="NormalHanging12a"/>
        <w:rPr>
          <w:lang w:val="fr-FR"/>
        </w:rPr>
      </w:pPr>
      <w:r w:rsidRPr="003E5519">
        <w:rPr>
          <w:lang w:val="fr-FR"/>
        </w:rPr>
        <w:t>1.</w:t>
      </w:r>
      <w:r w:rsidRPr="003E5519">
        <w:rPr>
          <w:lang w:val="fr-FR"/>
        </w:rPr>
        <w:tab/>
        <w:t>décide de lever l’immunité de Tomasz Buczek;</w:t>
      </w:r>
    </w:p>
    <w:p w:rsidR="00E365E1" w:rsidRPr="003E5519" w:rsidP="00E3289F" w14:paraId="1CC2E23A" w14:textId="7B8E51F3">
      <w:pPr>
        <w:ind w:left="567" w:hanging="567"/>
      </w:pPr>
      <w:r w:rsidRPr="003E5519">
        <w:t>2.</w:t>
      </w:r>
      <w:r w:rsidRPr="003E5519">
        <w:tab/>
        <w:t xml:space="preserve">charge sa Présidente de transmettre immédiatement la présente décision et le rapport de sa commission compétente à l’autorité compétente de la </w:t>
      </w:r>
      <w:r w:rsidRPr="003E5519" w:rsidR="008E74CD">
        <w:t xml:space="preserve">République de </w:t>
      </w:r>
      <w:r w:rsidRPr="003E5519">
        <w:t>Pologne et à Tomasz Buczek.</w:t>
      </w:r>
    </w:p>
    <w:sectPr w:rsidSect="00610E4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0E49" w14:paraId="6D1E88A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0E49" w14:paraId="2416417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0E49" w14:paraId="7707159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D3EA8" w:rsidRPr="00610E49" w14:paraId="6C480916" w14:textId="77777777">
      <w:r w:rsidRPr="00610E49">
        <w:separator/>
      </w:r>
    </w:p>
  </w:footnote>
  <w:footnote w:type="continuationSeparator" w:id="1">
    <w:p w:rsidR="00DD3EA8" w:rsidRPr="00610E49" w14:paraId="407716A5" w14:textId="77777777">
      <w:r w:rsidRPr="00610E49">
        <w:continuationSeparator/>
      </w:r>
    </w:p>
  </w:footnote>
  <w:footnote w:id="2">
    <w:p w:rsidR="00CC6B7F" w:rsidRPr="00610E49" w:rsidP="00610E49" w14:paraId="5831BF8E" w14:textId="05C088BB">
      <w:pPr>
        <w:pStyle w:val="FootnoteText"/>
        <w:ind w:left="567" w:hanging="567"/>
        <w:rPr>
          <w:sz w:val="24"/>
        </w:rPr>
      </w:pPr>
      <w:r w:rsidRPr="00610E49">
        <w:rPr>
          <w:rStyle w:val="FootnoteReference"/>
          <w:sz w:val="24"/>
        </w:rPr>
        <w:footnoteRef/>
      </w:r>
      <w:r w:rsidRPr="00610E49" w:rsidR="00610E49">
        <w:rPr>
          <w:sz w:val="24"/>
        </w:rPr>
        <w:tab/>
      </w:r>
      <w:r w:rsidRPr="00610E49">
        <w:rPr>
          <w:sz w:val="24"/>
        </w:rPr>
        <w:t>Arrêt de la Cour de justice du 21 octobre 2008, Marra/De Gregorio et Clemente, C-200/07 et C-201/07, ECLI:EU:C:2008:579; arrêt du Tribunal du 19 mars 2010, Gollnisch/Parlement, T-42/06, ECLI:EU:T:2010:102; arrêt de la Cour de justice du 6 septembre 2011, Patriciello, C-163/10, ECLI: EU:C:2011:543; arrêt du Tribunal du 17 janvier 2013, Gollnisch/Parlement, T-346/11 et T-347/11, ECLI:EU:T:2013:23; arrêt de la Cour de justice du 19 décembre 2019, Junqueras Vies, C-502/19, ECLI:EU:C:2019:1115.</w:t>
      </w:r>
      <w:r w:rsidRPr="00610E49" w:rsidR="00610E49">
        <w:rPr>
          <w:sz w:val="24"/>
        </w:rPr>
        <w:tab/>
      </w:r>
    </w:p>
  </w:footnote>
  <w:footnote w:id="3">
    <w:p w:rsidR="00CC6B7F" w:rsidRPr="00610E49" w:rsidP="00610E49" w14:paraId="078E9344" w14:textId="1DF97314">
      <w:pPr>
        <w:pStyle w:val="FootnoteText"/>
        <w:ind w:left="567" w:hanging="567"/>
        <w:rPr>
          <w:sz w:val="24"/>
        </w:rPr>
      </w:pPr>
      <w:r w:rsidRPr="00610E49">
        <w:rPr>
          <w:rStyle w:val="FootnoteReference"/>
          <w:sz w:val="24"/>
        </w:rPr>
        <w:footnoteRef/>
      </w:r>
      <w:r w:rsidRPr="00610E49" w:rsidR="00610E49">
        <w:rPr>
          <w:sz w:val="24"/>
        </w:rPr>
        <w:tab/>
      </w:r>
      <w:r w:rsidRPr="00610E49">
        <w:rPr>
          <w:sz w:val="24"/>
        </w:rPr>
        <w:t>Arrêt du Tribunal du 30 avril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0E49" w14:paraId="265093E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0E49" w14:paraId="2543E19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0E49" w14:paraId="6569125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0744908">
    <w:abstractNumId w:val="9"/>
  </w:num>
  <w:num w:numId="2" w16cid:durableId="1573469482">
    <w:abstractNumId w:val="9"/>
  </w:num>
  <w:num w:numId="3" w16cid:durableId="1710910692">
    <w:abstractNumId w:val="7"/>
  </w:num>
  <w:num w:numId="4" w16cid:durableId="1362197674">
    <w:abstractNumId w:val="7"/>
  </w:num>
  <w:num w:numId="5" w16cid:durableId="974792472">
    <w:abstractNumId w:val="6"/>
  </w:num>
  <w:num w:numId="6" w16cid:durableId="2118987764">
    <w:abstractNumId w:val="6"/>
  </w:num>
  <w:num w:numId="7" w16cid:durableId="1953047305">
    <w:abstractNumId w:val="5"/>
  </w:num>
  <w:num w:numId="8" w16cid:durableId="665016549">
    <w:abstractNumId w:val="5"/>
  </w:num>
  <w:num w:numId="9" w16cid:durableId="1013188375">
    <w:abstractNumId w:val="4"/>
  </w:num>
  <w:num w:numId="10" w16cid:durableId="1445147599">
    <w:abstractNumId w:val="4"/>
  </w:num>
  <w:num w:numId="11" w16cid:durableId="1529371015">
    <w:abstractNumId w:val="8"/>
  </w:num>
  <w:num w:numId="12" w16cid:durableId="625626716">
    <w:abstractNumId w:val="8"/>
  </w:num>
  <w:num w:numId="13" w16cid:durableId="1360278048">
    <w:abstractNumId w:val="3"/>
  </w:num>
  <w:num w:numId="14" w16cid:durableId="976758719">
    <w:abstractNumId w:val="3"/>
  </w:num>
  <w:num w:numId="15" w16cid:durableId="1898398724">
    <w:abstractNumId w:val="2"/>
  </w:num>
  <w:num w:numId="16" w16cid:durableId="1922451468">
    <w:abstractNumId w:val="2"/>
  </w:num>
  <w:num w:numId="17" w16cid:durableId="1453280218">
    <w:abstractNumId w:val="1"/>
  </w:num>
  <w:num w:numId="18" w16cid:durableId="1238977156">
    <w:abstractNumId w:val="1"/>
  </w:num>
  <w:num w:numId="19" w16cid:durableId="2139183842">
    <w:abstractNumId w:val="0"/>
  </w:num>
  <w:num w:numId="20" w16cid:durableId="235940364">
    <w:abstractNumId w:val="0"/>
  </w:num>
  <w:num w:numId="21" w16cid:durableId="1761757257">
    <w:abstractNumId w:val="9"/>
  </w:num>
  <w:num w:numId="22" w16cid:durableId="842205832">
    <w:abstractNumId w:val="7"/>
  </w:num>
  <w:num w:numId="23" w16cid:durableId="1744327208">
    <w:abstractNumId w:val="6"/>
  </w:num>
  <w:num w:numId="24" w16cid:durableId="812676956">
    <w:abstractNumId w:val="5"/>
  </w:num>
  <w:num w:numId="25" w16cid:durableId="1489126007">
    <w:abstractNumId w:val="4"/>
  </w:num>
  <w:num w:numId="26" w16cid:durableId="1252086705">
    <w:abstractNumId w:val="8"/>
  </w:num>
  <w:num w:numId="27" w16cid:durableId="1489588698">
    <w:abstractNumId w:val="3"/>
  </w:num>
  <w:num w:numId="28" w16cid:durableId="473839907">
    <w:abstractNumId w:val="2"/>
  </w:num>
  <w:num w:numId="29" w16cid:durableId="1233202434">
    <w:abstractNumId w:val="1"/>
  </w:num>
  <w:num w:numId="30" w16cid:durableId="1788084781">
    <w:abstractNumId w:val="0"/>
  </w:num>
  <w:num w:numId="31" w16cid:durableId="619996642">
    <w:abstractNumId w:val="9"/>
  </w:num>
  <w:num w:numId="32" w16cid:durableId="1465077073">
    <w:abstractNumId w:val="7"/>
  </w:num>
  <w:num w:numId="33" w16cid:durableId="60371332">
    <w:abstractNumId w:val="6"/>
  </w:num>
  <w:num w:numId="34" w16cid:durableId="1909026358">
    <w:abstractNumId w:val="5"/>
  </w:num>
  <w:num w:numId="35" w16cid:durableId="30150093">
    <w:abstractNumId w:val="4"/>
  </w:num>
  <w:num w:numId="36" w16cid:durableId="1751463917">
    <w:abstractNumId w:val="8"/>
  </w:num>
  <w:num w:numId="37" w16cid:durableId="256136695">
    <w:abstractNumId w:val="3"/>
  </w:num>
  <w:num w:numId="38" w16cid:durableId="481698865">
    <w:abstractNumId w:val="2"/>
  </w:num>
  <w:num w:numId="39" w16cid:durableId="678385704">
    <w:abstractNumId w:val="1"/>
  </w:num>
  <w:num w:numId="40" w16cid:durableId="1120535735">
    <w:abstractNumId w:val="0"/>
  </w:num>
  <w:num w:numId="41" w16cid:durableId="1952081530">
    <w:abstractNumId w:val="10"/>
  </w:num>
  <w:num w:numId="42" w16cid:durableId="742144477">
    <w:abstractNumId w:val="10"/>
  </w:num>
  <w:num w:numId="43" w16cid:durableId="926304750">
    <w:abstractNumId w:val="10"/>
  </w:num>
  <w:num w:numId="44" w16cid:durableId="16515233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EA8"/>
    <w:rsid w:val="00002272"/>
    <w:rsid w:val="00064002"/>
    <w:rsid w:val="000677B9"/>
    <w:rsid w:val="000831BA"/>
    <w:rsid w:val="000A42CC"/>
    <w:rsid w:val="000E7DD9"/>
    <w:rsid w:val="0010095E"/>
    <w:rsid w:val="00125B37"/>
    <w:rsid w:val="00187494"/>
    <w:rsid w:val="001C69F7"/>
    <w:rsid w:val="001F32AE"/>
    <w:rsid w:val="002767FF"/>
    <w:rsid w:val="002B18FE"/>
    <w:rsid w:val="002B5493"/>
    <w:rsid w:val="00343214"/>
    <w:rsid w:val="00361C00"/>
    <w:rsid w:val="00395FA1"/>
    <w:rsid w:val="003E15D4"/>
    <w:rsid w:val="003E5519"/>
    <w:rsid w:val="00411CCE"/>
    <w:rsid w:val="0041666E"/>
    <w:rsid w:val="00421060"/>
    <w:rsid w:val="00471C19"/>
    <w:rsid w:val="004867E3"/>
    <w:rsid w:val="00494A28"/>
    <w:rsid w:val="004C0004"/>
    <w:rsid w:val="004C5D52"/>
    <w:rsid w:val="0050519A"/>
    <w:rsid w:val="005072A1"/>
    <w:rsid w:val="00514517"/>
    <w:rsid w:val="00517227"/>
    <w:rsid w:val="00535B5B"/>
    <w:rsid w:val="00545827"/>
    <w:rsid w:val="00560270"/>
    <w:rsid w:val="005C2568"/>
    <w:rsid w:val="005F1B17"/>
    <w:rsid w:val="006037C0"/>
    <w:rsid w:val="00610E49"/>
    <w:rsid w:val="00631042"/>
    <w:rsid w:val="006554AA"/>
    <w:rsid w:val="006631B6"/>
    <w:rsid w:val="00680577"/>
    <w:rsid w:val="006E5D75"/>
    <w:rsid w:val="006F74FA"/>
    <w:rsid w:val="00712CBA"/>
    <w:rsid w:val="007271B1"/>
    <w:rsid w:val="00731ADD"/>
    <w:rsid w:val="00734777"/>
    <w:rsid w:val="00747932"/>
    <w:rsid w:val="00751A4A"/>
    <w:rsid w:val="00756632"/>
    <w:rsid w:val="00762C74"/>
    <w:rsid w:val="00786EC0"/>
    <w:rsid w:val="007D1690"/>
    <w:rsid w:val="007E22AD"/>
    <w:rsid w:val="007E477F"/>
    <w:rsid w:val="00817416"/>
    <w:rsid w:val="00821796"/>
    <w:rsid w:val="00842779"/>
    <w:rsid w:val="00865F67"/>
    <w:rsid w:val="00881A7B"/>
    <w:rsid w:val="008840E5"/>
    <w:rsid w:val="00887B3E"/>
    <w:rsid w:val="008C2AC6"/>
    <w:rsid w:val="008E74CD"/>
    <w:rsid w:val="008F772F"/>
    <w:rsid w:val="00930C23"/>
    <w:rsid w:val="0093193B"/>
    <w:rsid w:val="009509D8"/>
    <w:rsid w:val="00950B64"/>
    <w:rsid w:val="00981893"/>
    <w:rsid w:val="009E5DEF"/>
    <w:rsid w:val="00A1687D"/>
    <w:rsid w:val="00A43E52"/>
    <w:rsid w:val="00A4678D"/>
    <w:rsid w:val="00A66EB2"/>
    <w:rsid w:val="00A778C7"/>
    <w:rsid w:val="00AB441E"/>
    <w:rsid w:val="00AB6293"/>
    <w:rsid w:val="00AE0928"/>
    <w:rsid w:val="00AF3B82"/>
    <w:rsid w:val="00B12E95"/>
    <w:rsid w:val="00B22876"/>
    <w:rsid w:val="00B558F0"/>
    <w:rsid w:val="00BD48FE"/>
    <w:rsid w:val="00BD7BD8"/>
    <w:rsid w:val="00BE6ADC"/>
    <w:rsid w:val="00C05BFE"/>
    <w:rsid w:val="00C224EA"/>
    <w:rsid w:val="00C23CD4"/>
    <w:rsid w:val="00C61C0C"/>
    <w:rsid w:val="00C941CB"/>
    <w:rsid w:val="00CC2357"/>
    <w:rsid w:val="00CC6B7F"/>
    <w:rsid w:val="00CF071A"/>
    <w:rsid w:val="00D058B8"/>
    <w:rsid w:val="00D21D0E"/>
    <w:rsid w:val="00D56C11"/>
    <w:rsid w:val="00D834A0"/>
    <w:rsid w:val="00D872DF"/>
    <w:rsid w:val="00D91E21"/>
    <w:rsid w:val="00DA7FCD"/>
    <w:rsid w:val="00DB6706"/>
    <w:rsid w:val="00DD3EA8"/>
    <w:rsid w:val="00E3289F"/>
    <w:rsid w:val="00E365E1"/>
    <w:rsid w:val="00E820A4"/>
    <w:rsid w:val="00EB006A"/>
    <w:rsid w:val="00EB4772"/>
    <w:rsid w:val="00ED169E"/>
    <w:rsid w:val="00ED4235"/>
    <w:rsid w:val="00EE5639"/>
    <w:rsid w:val="00F04346"/>
    <w:rsid w:val="00F075DC"/>
    <w:rsid w:val="00F149E9"/>
    <w:rsid w:val="00F40A8E"/>
    <w:rsid w:val="00F5134D"/>
    <w:rsid w:val="00F74202"/>
    <w:rsid w:val="00F87713"/>
    <w:rsid w:val="00FB4360"/>
    <w:rsid w:val="00FD0C70"/>
    <w:rsid w:val="00FF63F4"/>
  </w:rsids>
  <w:docVars>
    <w:docVar w:name="dvdocse" w:val="A10-0116/2026"/>
    <w:docVar w:name="dvlangue" w:val="FR"/>
    <w:docVar w:name="dvnumam" w:val="0"/>
    <w:docVar w:name="dvpe" w:val="786.694"/>
    <w:docVar w:name="dvrapporteur" w:val="Rapporteur: "/>
    <w:docVar w:name="dvtitre" w:val="Décision du Parlement européen du xx avril 2026 sur la demande de levée de l’immunité de Tomasz Buczek(2025/2193(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65D3DCE"/>
  <w15:chartTrackingRefBased/>
  <w15:docId w15:val="{E0C889D7-3980-4FCD-B31F-9A7F5E90C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C6B7F"/>
    <w:pPr>
      <w:spacing w:after="240"/>
      <w:ind w:left="567" w:hanging="567"/>
    </w:pPr>
    <w:rPr>
      <w:lang w:val="en-GB"/>
    </w:rPr>
  </w:style>
  <w:style w:type="paragraph" w:customStyle="1" w:styleId="EPComma">
    <w:name w:val="EPComma"/>
    <w:basedOn w:val="Normal"/>
    <w:rsid w:val="00CC6B7F"/>
    <w:pPr>
      <w:spacing w:before="480" w:after="240"/>
    </w:pPr>
    <w:rPr>
      <w:lang w:val="en-GB"/>
    </w:rPr>
  </w:style>
  <w:style w:type="paragraph" w:styleId="Revision">
    <w:name w:val="Revision"/>
    <w:hidden/>
    <w:uiPriority w:val="99"/>
    <w:semiHidden/>
    <w:rsid w:val="007E477F"/>
    <w:rPr>
      <w:sz w:val="24"/>
      <w:lang w:val="fr-FR"/>
    </w:rPr>
  </w:style>
  <w:style w:type="character" w:styleId="CommentReference">
    <w:name w:val="annotation reference"/>
    <w:basedOn w:val="DefaultParagraphFont"/>
    <w:rsid w:val="006E5D75"/>
    <w:rPr>
      <w:sz w:val="16"/>
      <w:szCs w:val="16"/>
    </w:rPr>
  </w:style>
  <w:style w:type="paragraph" w:styleId="CommentText">
    <w:name w:val="annotation text"/>
    <w:basedOn w:val="Normal"/>
    <w:link w:val="CommentTextChar"/>
    <w:rsid w:val="006E5D75"/>
    <w:rPr>
      <w:sz w:val="20"/>
    </w:rPr>
  </w:style>
  <w:style w:type="character" w:customStyle="1" w:styleId="CommentTextChar">
    <w:name w:val="Comment Text Char"/>
    <w:basedOn w:val="DefaultParagraphFont"/>
    <w:link w:val="CommentText"/>
    <w:rsid w:val="006E5D75"/>
    <w:rPr>
      <w:lang w:val="fr-FR"/>
    </w:rPr>
  </w:style>
  <w:style w:type="paragraph" w:styleId="CommentSubject">
    <w:name w:val="annotation subject"/>
    <w:basedOn w:val="CommentText"/>
    <w:next w:val="CommentText"/>
    <w:link w:val="CommentSubjectChar"/>
    <w:rsid w:val="006E5D75"/>
    <w:rPr>
      <w:b/>
      <w:bCs/>
    </w:rPr>
  </w:style>
  <w:style w:type="character" w:customStyle="1" w:styleId="CommentSubjectChar">
    <w:name w:val="Comment Subject Char"/>
    <w:basedOn w:val="CommentTextChar"/>
    <w:link w:val="CommentSubject"/>
    <w:rsid w:val="006E5D75"/>
    <w:rPr>
      <w:b/>
      <w:bCs/>
      <w:lang w:val="fr-FR"/>
    </w:rPr>
  </w:style>
  <w:style w:type="character" w:styleId="Hyperlink">
    <w:name w:val="Hyperlink"/>
    <w:basedOn w:val="DefaultParagraphFont"/>
    <w:rsid w:val="006E5D75"/>
    <w:rPr>
      <w:color w:val="0563C1" w:themeColor="hyperlink"/>
      <w:u w:val="single"/>
    </w:rPr>
  </w:style>
  <w:style w:type="character" w:styleId="UnresolvedMention">
    <w:name w:val="Unresolved Mention"/>
    <w:basedOn w:val="DefaultParagraphFont"/>
    <w:uiPriority w:val="99"/>
    <w:semiHidden/>
    <w:unhideWhenUsed/>
    <w:rsid w:val="006E5D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843</Words>
  <Characters>4627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2026-04-28T10:39:00Z</dcterms:created>
  <dcterms:modified xsi:type="dcterms:W3CDTF">2026-04-28T10:39:00Z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A10-0116/2026</vt:lpwstr>
  </property>
  <property fmtid="{D5CDD505-2E9C-101B-9397-08002B2CF9AE}" pid="4" name="&lt;Type&gt;">
    <vt:lpwstr>RR</vt:lpwstr>
  </property>
</Properties>
</file>