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551924C" w14:textId="77777777" w:rsidTr="0010095E">
        <w:tblPrEx>
          <w:tblW w:w="9072" w:type="dxa"/>
          <w:tblLook w:val="01E0"/>
        </w:tblPrEx>
        <w:trPr>
          <w:trHeight w:hRule="exact" w:val="1418"/>
        </w:trPr>
        <w:tc>
          <w:tcPr>
            <w:tcW w:w="6804" w:type="dxa"/>
            <w:shd w:val="clear" w:color="auto" w:fill="auto"/>
            <w:vAlign w:val="center"/>
          </w:tcPr>
          <w:p w:rsidR="00751A4A" w:rsidRPr="008C3172" w:rsidP="0010095E" w14:paraId="33C83879" w14:textId="0D7FC111">
            <w:pPr>
              <w:pStyle w:val="EPName"/>
            </w:pPr>
            <w:r w:rsidRPr="008C3172">
              <w:t>Európai Parlament</w:t>
            </w:r>
          </w:p>
          <w:p w:rsidR="00751A4A" w:rsidRPr="008C3172" w:rsidP="005F1B17" w14:paraId="232B54FF" w14:textId="77777777">
            <w:pPr>
              <w:pStyle w:val="EPTerm"/>
              <w:rPr>
                <w:rStyle w:val="HideTWBExt"/>
                <w:noProof w:val="0"/>
                <w:vanish w:val="0"/>
                <w:color w:val="auto"/>
              </w:rPr>
            </w:pPr>
            <w:r w:rsidRPr="008C3172">
              <w:t>2024</w:t>
            </w:r>
            <w:r w:rsidRPr="008C3172" w:rsidR="00817416">
              <w:t>-202</w:t>
            </w:r>
            <w:r w:rsidRPr="008C3172">
              <w:t>9</w:t>
            </w:r>
          </w:p>
        </w:tc>
        <w:tc>
          <w:tcPr>
            <w:tcW w:w="2268" w:type="dxa"/>
            <w:shd w:val="clear" w:color="auto" w:fill="auto"/>
          </w:tcPr>
          <w:p w:rsidR="00751A4A" w:rsidRPr="008C3172" w:rsidP="0010095E" w14:paraId="506888B6" w14:textId="77777777">
            <w:pPr>
              <w:pStyle w:val="EPLogo"/>
            </w:pPr>
            <w:r w:rsidRPr="008C317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C3172" w:rsidP="004C5D52" w14:paraId="356641D4" w14:textId="77777777">
      <w:pPr>
        <w:pStyle w:val="LineTop"/>
      </w:pPr>
    </w:p>
    <w:p w:rsidR="00680577" w:rsidRPr="008C3172" w:rsidP="00680577" w14:paraId="2EF84226" w14:textId="1D6D9D7D">
      <w:pPr>
        <w:pStyle w:val="EPBodyTA1"/>
      </w:pPr>
      <w:r w:rsidRPr="008C3172">
        <w:t>ELFOGADOTT SZÖVEGEK</w:t>
      </w:r>
    </w:p>
    <w:p w:rsidR="00D058B8" w:rsidRPr="008C3172" w:rsidP="00D058B8" w14:paraId="050E875F" w14:textId="77777777">
      <w:pPr>
        <w:pStyle w:val="LineBottom"/>
      </w:pPr>
    </w:p>
    <w:p w:rsidR="00545BE7" w:rsidRPr="008C3172" w:rsidP="00545BE7" w14:paraId="242F4BD0" w14:textId="2D5F9243">
      <w:pPr>
        <w:pStyle w:val="ATHeading1"/>
      </w:pPr>
      <w:bookmarkStart w:id="0" w:name="TANumber"/>
      <w:r w:rsidRPr="008C3172">
        <w:t>P10_</w:t>
      </w:r>
      <w:r w:rsidRPr="008C3172">
        <w:t>TA(</w:t>
      </w:r>
      <w:r w:rsidRPr="008C3172">
        <w:t>2026)0</w:t>
      </w:r>
      <w:r w:rsidRPr="008C3172" w:rsidR="008C3172">
        <w:t>107</w:t>
      </w:r>
      <w:bookmarkEnd w:id="0"/>
    </w:p>
    <w:p w:rsidR="00545BE7" w:rsidRPr="008C3172" w:rsidP="00545BE7" w14:paraId="3753C5DB" w14:textId="77777777">
      <w:pPr>
        <w:pStyle w:val="ATHeading2"/>
      </w:pPr>
      <w:bookmarkStart w:id="1" w:name="title"/>
      <w:r w:rsidRPr="008C3172">
        <w:t xml:space="preserve">A Tomasz </w:t>
      </w:r>
      <w:r w:rsidRPr="008C3172">
        <w:t>Buczek</w:t>
      </w:r>
      <w:r w:rsidRPr="008C3172">
        <w:t xml:space="preserve"> mentelmi jogának felfüggesztésére irányuló kérelem</w:t>
      </w:r>
      <w:bookmarkEnd w:id="1"/>
    </w:p>
    <w:p w:rsidR="00545BE7" w:rsidRPr="008C3172" w:rsidP="00545BE7" w14:paraId="73462D37" w14:textId="77777777">
      <w:pPr>
        <w:rPr>
          <w:i/>
          <w:vanish/>
        </w:rPr>
      </w:pPr>
      <w:r>
        <w:rPr>
          <w:i/>
        </w:rPr>
        <w:fldChar w:fldCharType="begin"/>
      </w:r>
      <w:r w:rsidRPr="008C3172">
        <w:rPr>
          <w:i/>
        </w:rPr>
        <w:instrText xml:space="preserve"> TC"(</w:instrText>
      </w:r>
      <w:bookmarkStart w:id="2" w:name="DocNumber"/>
      <w:r w:rsidRPr="008C3172">
        <w:rPr>
          <w:i/>
        </w:rPr>
        <w:instrText>A10-0116/2026</w:instrText>
      </w:r>
      <w:bookmarkEnd w:id="2"/>
      <w:r w:rsidRPr="008C3172">
        <w:rPr>
          <w:i/>
        </w:rPr>
        <w:instrText xml:space="preserve"> - Előadó: David Cormand)"\l3 \n&gt; \* MERGEFORMAT </w:instrText>
      </w:r>
      <w:r>
        <w:rPr>
          <w:i/>
        </w:rPr>
        <w:fldChar w:fldCharType="end"/>
      </w:r>
    </w:p>
    <w:p w:rsidR="00545BE7" w:rsidRPr="008C3172" w:rsidP="00545BE7" w14:paraId="33743BB0" w14:textId="77777777">
      <w:pPr>
        <w:rPr>
          <w:vanish/>
        </w:rPr>
      </w:pPr>
      <w:bookmarkStart w:id="3" w:name="Commission"/>
      <w:r w:rsidRPr="008C3172">
        <w:rPr>
          <w:vanish/>
        </w:rPr>
        <w:t>Jogi Bizottság</w:t>
      </w:r>
      <w:bookmarkEnd w:id="3"/>
    </w:p>
    <w:p w:rsidR="00545BE7" w:rsidRPr="008C3172" w:rsidP="00545BE7" w14:paraId="00B5A3BE" w14:textId="77777777">
      <w:pPr>
        <w:rPr>
          <w:vanish/>
        </w:rPr>
      </w:pPr>
      <w:bookmarkStart w:id="4" w:name="PE"/>
      <w:r w:rsidRPr="008C3172">
        <w:rPr>
          <w:vanish/>
        </w:rPr>
        <w:t>PE786.694</w:t>
      </w:r>
      <w:bookmarkEnd w:id="4"/>
    </w:p>
    <w:p w:rsidR="00545BE7" w:rsidRPr="008C3172" w:rsidP="00545BE7" w14:paraId="1CB07374" w14:textId="77777777">
      <w:pPr>
        <w:pStyle w:val="ATHeading3"/>
      </w:pPr>
      <w:bookmarkStart w:id="5" w:name="Sujet"/>
      <w:r w:rsidRPr="008C3172">
        <w:t xml:space="preserve">Az Európai Parlament 2026. április 28-i határozata a Tomasz </w:t>
      </w:r>
      <w:r w:rsidRPr="008C3172">
        <w:t>Buczek</w:t>
      </w:r>
      <w:r w:rsidRPr="008C3172">
        <w:t xml:space="preserve"> mentelmi jogának felfüggesztésére irányuló kérelemről</w:t>
      </w:r>
      <w:bookmarkEnd w:id="5"/>
      <w:r w:rsidRPr="008C3172">
        <w:t xml:space="preserve"> </w:t>
      </w:r>
      <w:bookmarkStart w:id="6" w:name="References"/>
      <w:r w:rsidRPr="008C3172">
        <w:t>(2025/2193(IMM))</w:t>
      </w:r>
      <w:bookmarkEnd w:id="6"/>
    </w:p>
    <w:p w:rsidR="008F52E9" w:rsidRPr="008C3172" w:rsidP="008F52E9" w14:paraId="5483A7EE" w14:textId="77777777">
      <w:pPr>
        <w:pStyle w:val="EPComma"/>
      </w:pPr>
      <w:bookmarkStart w:id="7" w:name="TextBodyBegin"/>
      <w:bookmarkEnd w:id="7"/>
      <w:r w:rsidRPr="008C3172">
        <w:rPr>
          <w:i/>
          <w:iCs/>
        </w:rPr>
        <w:t>Az Európai Parlament,</w:t>
      </w:r>
    </w:p>
    <w:p w:rsidR="008F52E9" w:rsidRPr="008C3172" w:rsidP="00051B2A" w14:paraId="59CE3631" w14:textId="50FEE6AD">
      <w:pPr>
        <w:pStyle w:val="NormalHanging12a"/>
        <w:widowControl/>
      </w:pPr>
      <w:r w:rsidRPr="008C3172">
        <w:t>–</w:t>
      </w:r>
      <w:r w:rsidRPr="008C3172">
        <w:tab/>
        <w:t>tekintettel a magán</w:t>
      </w:r>
      <w:r w:rsidRPr="008C3172" w:rsidR="00B42CAB">
        <w:t>vádló</w:t>
      </w:r>
      <w:r w:rsidRPr="008C3172">
        <w:t xml:space="preserve"> jogi képviselője által a Tomasz </w:t>
      </w:r>
      <w:r w:rsidRPr="008C3172">
        <w:t>Buczek</w:t>
      </w:r>
      <w:r w:rsidRPr="008C3172">
        <w:t xml:space="preserve"> ellen benyújtott magánváddal összefüggésben a </w:t>
      </w:r>
      <w:r w:rsidRPr="008C3172">
        <w:t>tarnobrzegi</w:t>
      </w:r>
      <w:r w:rsidRPr="008C3172">
        <w:t xml:space="preserve"> kerületi bíróság második büntetőtanácsa által 2025. szeptember 12-én </w:t>
      </w:r>
      <w:r w:rsidRPr="008C3172" w:rsidR="00B42CAB">
        <w:t xml:space="preserve">levélben </w:t>
      </w:r>
      <w:r w:rsidRPr="008C3172">
        <w:t xml:space="preserve">eljuttatott és 2025. október 6-án a plenáris ülésen bejelentett, Tomasz </w:t>
      </w:r>
      <w:r w:rsidRPr="008C3172">
        <w:t>Buczek</w:t>
      </w:r>
      <w:r w:rsidRPr="008C3172">
        <w:t xml:space="preserve"> mentelmi jogának felfüggesztésére irányuló kérelemre,</w:t>
      </w:r>
    </w:p>
    <w:p w:rsidR="008F52E9" w:rsidRPr="008C3172" w:rsidP="00051B2A" w14:paraId="5701E2BF" w14:textId="3EB2D102">
      <w:pPr>
        <w:pStyle w:val="NormalHanging12a"/>
        <w:widowControl/>
      </w:pPr>
      <w:r w:rsidRPr="008C3172">
        <w:t>–</w:t>
      </w:r>
      <w:r w:rsidRPr="008C3172">
        <w:tab/>
        <w:t>miután eljárási szabályzata 9. cikke (6) bekezdésének megfelelően</w:t>
      </w:r>
      <w:r w:rsidRPr="008C3172" w:rsidR="00051B2A">
        <w:t>,</w:t>
      </w:r>
      <w:r w:rsidRPr="008C3172">
        <w:t xml:space="preserve"> 2026. március 23-án meghallgatta Tomasz </w:t>
      </w:r>
      <w:r w:rsidRPr="008C3172">
        <w:t>Buczeket</w:t>
      </w:r>
      <w:r w:rsidRPr="008C3172">
        <w:t>, és tekintettel az általa benyújtott dokumentumokra,</w:t>
      </w:r>
    </w:p>
    <w:p w:rsidR="008F52E9" w:rsidRPr="008C3172" w:rsidP="00051B2A" w14:paraId="7E649745" w14:textId="77777777">
      <w:pPr>
        <w:pStyle w:val="NormalHanging12a"/>
        <w:widowControl/>
      </w:pPr>
      <w:r w:rsidRPr="008C3172">
        <w:t>–</w:t>
      </w:r>
      <w:r w:rsidRPr="008C3172">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8F52E9" w:rsidRPr="008C3172" w:rsidP="00051B2A" w14:paraId="740C22C1" w14:textId="77777777">
      <w:pPr>
        <w:pStyle w:val="NormalHanging12a"/>
        <w:widowControl/>
      </w:pPr>
      <w:r w:rsidRPr="008C3172">
        <w:t>–</w:t>
      </w:r>
      <w:r w:rsidRPr="008C3172">
        <w:tab/>
        <w:t>tekintettel az Európai Unió Bírósága által 2008. október 21-én, 2010. március 19-én, 2011. szeptember 6-án, 2013. január 17-én és 2019. december 19-én hozott ítéletekre</w:t>
      </w:r>
      <w:r>
        <w:rPr>
          <w:vertAlign w:val="superscript"/>
        </w:rPr>
        <w:footnoteReference w:id="2"/>
      </w:r>
      <w:r w:rsidRPr="008C3172">
        <w:t>,</w:t>
      </w:r>
    </w:p>
    <w:p w:rsidR="008F52E9" w:rsidRPr="008C3172" w:rsidP="00051B2A" w14:paraId="109E4D83" w14:textId="77777777">
      <w:pPr>
        <w:pStyle w:val="NormalHanging12a"/>
        <w:widowControl/>
      </w:pPr>
      <w:r w:rsidRPr="008C3172">
        <w:t>–</w:t>
      </w:r>
      <w:r w:rsidRPr="008C3172">
        <w:tab/>
        <w:t>tekintettel a Lengyel Köztársaság alkotmánya 105. cikkének (2) és (5) bekezdésére,</w:t>
      </w:r>
    </w:p>
    <w:p w:rsidR="008F52E9" w:rsidRPr="008C3172" w:rsidP="00051B2A" w14:paraId="241056C2" w14:textId="77777777">
      <w:pPr>
        <w:pStyle w:val="NormalHanging12a"/>
        <w:widowControl/>
      </w:pPr>
      <w:r w:rsidRPr="008C3172">
        <w:t>–</w:t>
      </w:r>
      <w:r w:rsidRPr="008C3172">
        <w:tab/>
        <w:t>tekintettel eljárási szabályzata 5. cikkének (2) bekezdésére, 6. cikkének (1) bekezdésére és 9. cikkére,</w:t>
      </w:r>
    </w:p>
    <w:p w:rsidR="008F52E9" w:rsidRPr="008C3172" w:rsidP="00051B2A" w14:paraId="21DD24D9" w14:textId="77777777">
      <w:pPr>
        <w:pStyle w:val="NormalHanging12a"/>
        <w:widowControl/>
      </w:pPr>
      <w:r w:rsidRPr="008C3172">
        <w:t>–</w:t>
      </w:r>
      <w:r w:rsidRPr="008C3172">
        <w:tab/>
        <w:t>tekintettel a Jogi Bizottság jelentésére (A10-0116/2026),</w:t>
      </w:r>
    </w:p>
    <w:p w:rsidR="008F52E9" w:rsidRPr="008C3172" w:rsidP="00051B2A" w14:paraId="3BDB608A" w14:textId="5DE458BB">
      <w:pPr>
        <w:pStyle w:val="NormalHanging12a"/>
        <w:widowControl/>
      </w:pPr>
      <w:r w:rsidRPr="008C3172">
        <w:t>A.</w:t>
      </w:r>
      <w:r w:rsidRPr="008C3172">
        <w:tab/>
        <w:t xml:space="preserve">mivel 2025. szeptember 12-i levelében a </w:t>
      </w:r>
      <w:r w:rsidRPr="008C3172">
        <w:t>tarnobrzegi</w:t>
      </w:r>
      <w:r w:rsidRPr="008C3172">
        <w:t xml:space="preserve"> kerületi bíróság második büntetőtanácsa a lengyel büntető törvénykönyv 217. cikkének (1) bekezdése szerinti állítólagos bűncselekmény miatt ellene benyújtott magánváddal kapcsolatban </w:t>
      </w:r>
      <w:r w:rsidRPr="008C3172" w:rsidR="00051B2A">
        <w:t xml:space="preserve">benyújtotta </w:t>
      </w:r>
      <w:r w:rsidRPr="008C3172">
        <w:t xml:space="preserve">a Tomasz </w:t>
      </w:r>
      <w:r w:rsidRPr="008C3172">
        <w:t>Buczek</w:t>
      </w:r>
      <w:r w:rsidRPr="008C3172">
        <w:t xml:space="preserve"> </w:t>
      </w:r>
      <w:r w:rsidRPr="008C3172" w:rsidR="00051B2A">
        <w:t xml:space="preserve">Lengyelországban megválasztott európai parlamenti képviselő </w:t>
      </w:r>
      <w:r w:rsidRPr="008C3172">
        <w:t>mentelmi jogának felfüggesztésére irányuló kérelmet;</w:t>
      </w:r>
    </w:p>
    <w:p w:rsidR="008F52E9" w:rsidRPr="008C3172" w:rsidP="00051B2A" w14:paraId="6A136173" w14:textId="79BDB04F">
      <w:pPr>
        <w:pStyle w:val="NormalHanging12a"/>
        <w:widowControl/>
      </w:pPr>
      <w:r w:rsidRPr="008C3172">
        <w:t>B.</w:t>
      </w:r>
      <w:r w:rsidRPr="008C3172">
        <w:tab/>
        <w:t xml:space="preserve">mivel a mentelmi jog felfüggesztésére irányuló kérelem szerint 2024. szeptember 21-én </w:t>
      </w:r>
      <w:r w:rsidRPr="008C3172">
        <w:t>Tarnobrzegben</w:t>
      </w:r>
      <w:r w:rsidRPr="008C3172">
        <w:t xml:space="preserve"> Tomasz </w:t>
      </w:r>
      <w:r w:rsidRPr="008C3172">
        <w:t>Buczek</w:t>
      </w:r>
      <w:r w:rsidRPr="008C3172">
        <w:t xml:space="preserve"> jelenlétében választási gyűlést tartottak; mivel a magán</w:t>
      </w:r>
      <w:r w:rsidRPr="008C3172" w:rsidR="00B42CAB">
        <w:t>vádló</w:t>
      </w:r>
      <w:r w:rsidRPr="008C3172">
        <w:t xml:space="preserve"> részt vett a fent említett gyűlésen, ahol többek között kifejtette véleményét politikai témákról, ezen belül Tomasz </w:t>
      </w:r>
      <w:r w:rsidRPr="008C3172">
        <w:t>Buczek</w:t>
      </w:r>
      <w:r w:rsidRPr="008C3172">
        <w:t xml:space="preserve"> tevékenységeiről; mivel a kérelem szerint Tomasz </w:t>
      </w:r>
      <w:r w:rsidRPr="008C3172">
        <w:t>Buczek</w:t>
      </w:r>
      <w:r w:rsidRPr="008C3172">
        <w:t xml:space="preserve"> kirántotta a magán</w:t>
      </w:r>
      <w:r w:rsidRPr="008C3172" w:rsidR="00B42CAB">
        <w:t>vádló</w:t>
      </w:r>
      <w:r w:rsidRPr="008C3172">
        <w:t xml:space="preserve"> kezéből azt a miniatűr megafont, amelyet azért tartott magánál, hogy jobban hallják, és a </w:t>
      </w:r>
      <w:r w:rsidRPr="008C3172" w:rsidR="00B42CAB">
        <w:t xml:space="preserve">fellépés </w:t>
      </w:r>
      <w:r w:rsidRPr="008C3172" w:rsidR="00051B2A">
        <w:t xml:space="preserve">állítólag </w:t>
      </w:r>
      <w:r w:rsidRPr="008C3172">
        <w:t>annyira erőszakos volt, hogy a megafon tönkre is ment;</w:t>
      </w:r>
    </w:p>
    <w:p w:rsidR="008F52E9" w:rsidRPr="008C3172" w:rsidP="00051B2A" w14:paraId="048E7862" w14:textId="29A6E110">
      <w:pPr>
        <w:pStyle w:val="NormalHanging12a"/>
        <w:widowControl/>
      </w:pPr>
      <w:r w:rsidRPr="008C3172">
        <w:t>C.</w:t>
      </w:r>
      <w:r w:rsidRPr="008C3172">
        <w:tab/>
        <w:t xml:space="preserve">mivel Tomasz </w:t>
      </w:r>
      <w:r w:rsidRPr="008C3172">
        <w:t>Buczek</w:t>
      </w:r>
      <w:r w:rsidRPr="008C3172">
        <w:t xml:space="preserve"> </w:t>
      </w:r>
      <w:r w:rsidRPr="008C3172" w:rsidR="00B42CAB">
        <w:t xml:space="preserve">állítólagos </w:t>
      </w:r>
      <w:r w:rsidRPr="008C3172">
        <w:t>tette a lengyel büntető törvénykönyv 217. cikkének (1) bekezdése értelmében a testi épség elleni bűncselekménynek minősül;</w:t>
      </w:r>
    </w:p>
    <w:p w:rsidR="008F52E9" w:rsidRPr="008C3172" w:rsidP="00051B2A" w14:paraId="68AD07E3" w14:textId="75F727CC">
      <w:pPr>
        <w:pStyle w:val="NormalHanging12a"/>
        <w:widowControl/>
      </w:pPr>
      <w:r w:rsidRPr="008C3172">
        <w:t>D.</w:t>
      </w:r>
      <w:r w:rsidRPr="008C3172">
        <w:tab/>
        <w:t xml:space="preserve">mivel Tomasz </w:t>
      </w:r>
      <w:r w:rsidRPr="008C3172">
        <w:t>Buczek</w:t>
      </w:r>
      <w:r w:rsidRPr="008C3172">
        <w:t xml:space="preserve"> a 2024. júniusi európai választásokon az Európai Parlament képviselőjévé választották, és </w:t>
      </w:r>
      <w:r w:rsidRPr="008C3172" w:rsidR="00B42CAB">
        <w:t xml:space="preserve">ezért </w:t>
      </w:r>
      <w:r w:rsidRPr="008C3172">
        <w:t>az állítólagos bűncselekmény idején az Európai Parlament képviselője volt;</w:t>
      </w:r>
    </w:p>
    <w:p w:rsidR="008F52E9" w:rsidRPr="008C3172" w:rsidP="00051B2A" w14:paraId="511489D2" w14:textId="15314E26">
      <w:pPr>
        <w:pStyle w:val="NormalHanging12a"/>
        <w:widowControl/>
      </w:pPr>
      <w:r w:rsidRPr="008C3172">
        <w:t>E.</w:t>
      </w:r>
      <w:r w:rsidRPr="008C3172">
        <w:tab/>
        <w:t xml:space="preserve">mivel az állítólagos bűncselekmény és az abból eredő, Tomasz </w:t>
      </w:r>
      <w:r w:rsidRPr="008C3172">
        <w:t>Buczek</w:t>
      </w:r>
      <w:r w:rsidRPr="008C3172">
        <w:t xml:space="preserve"> mentelmi jogának felfüggesztésére irányuló kérelem nem kapcsolódik az Európai Unió kiváltságairól és mentességeiről szóló 7. jegyzőkönyv 8. cikke értelmében vett feladatai ellátása során általa kifejtett véleményhez vagy leadott szavazathoz;</w:t>
      </w:r>
    </w:p>
    <w:p w:rsidR="008F52E9" w:rsidRPr="008C3172" w:rsidP="00051B2A" w14:paraId="1BF82EE2" w14:textId="77777777">
      <w:pPr>
        <w:pStyle w:val="NormalHanging12a"/>
        <w:widowControl/>
      </w:pPr>
      <w:r w:rsidRPr="008C3172">
        <w:t>F.</w:t>
      </w:r>
      <w:r w:rsidRPr="008C3172">
        <w:tab/>
        <w:t>mivel az Európai Unió kiváltságairól és mentességeiről szóló 7. jegyzőkönyv 9. cikke első bekezdésének a) pontja szerint az Európai Parlament tagjai saját országuk területén az adott állam parlamenti képviselőire vonatkozó mentességeket élvezik;</w:t>
      </w:r>
    </w:p>
    <w:p w:rsidR="008F52E9" w:rsidRPr="008C3172" w:rsidP="00051B2A" w14:paraId="1B2B55AB" w14:textId="1F8FC613">
      <w:pPr>
        <w:pStyle w:val="NormalHanging12a"/>
        <w:widowControl/>
      </w:pPr>
      <w:r w:rsidRPr="008C3172">
        <w:t>G.</w:t>
      </w:r>
      <w:r w:rsidRPr="008C3172">
        <w:tab/>
        <w:t xml:space="preserve">mivel a </w:t>
      </w:r>
      <w:r w:rsidRPr="008C3172" w:rsidR="00051B2A">
        <w:t>L</w:t>
      </w:r>
      <w:r w:rsidRPr="008C3172">
        <w:t xml:space="preserve">engyel </w:t>
      </w:r>
      <w:r w:rsidRPr="008C3172" w:rsidR="00051B2A">
        <w:t xml:space="preserve">Köztársaság </w:t>
      </w:r>
      <w:r w:rsidRPr="008C3172">
        <w:t>alkotmány</w:t>
      </w:r>
      <w:r w:rsidRPr="008C3172" w:rsidR="00051B2A">
        <w:t>a</w:t>
      </w:r>
      <w:r w:rsidRPr="008C3172">
        <w:t xml:space="preserve"> 105. cikkének (2) és (5) bekezdése szerint a választások eredményének bejelentése napjától a mandátuma lejártának napjáig a képviselőt nem lehet büntetőjogi felelősségre vonni a Szejm beleegyezése nélkül, és a Szejm beleegyezése nélkül nem állíthatják elő és nem vehetik őrizetbe, kivéve, ha bűncselekmény elkövetése közben érték tetten, és amennyiben az eljárás megfelelő menetének biztosítása érdekében szükséges az őrizetbe vétele;</w:t>
      </w:r>
    </w:p>
    <w:p w:rsidR="008F52E9" w:rsidRPr="008C3172" w:rsidP="00051B2A" w14:paraId="6882321F" w14:textId="77777777">
      <w:pPr>
        <w:pStyle w:val="NormalHanging12a"/>
        <w:widowControl/>
      </w:pPr>
      <w:r w:rsidRPr="008C3172">
        <w:t>H.</w:t>
      </w:r>
      <w:r w:rsidRPr="008C3172">
        <w:tab/>
        <w:t>mivel az Európai Parlament eljárási szabályzata 5. cikkének (2) bekezdésével összhangban a parlamenti mentelmi jog nem a képviselők személyes kiváltsága, hanem a teljes Parlament és az egyes képviselők függetlenségének biztosítéka;</w:t>
      </w:r>
    </w:p>
    <w:p w:rsidR="008F52E9" w:rsidRPr="008C3172" w:rsidP="00051B2A" w14:paraId="65C9C785" w14:textId="654650A9">
      <w:pPr>
        <w:pStyle w:val="NormalHanging12a"/>
        <w:widowControl/>
      </w:pPr>
      <w:r w:rsidRPr="008C3172">
        <w:t>I.</w:t>
      </w:r>
      <w:r w:rsidRPr="008C3172">
        <w:tab/>
        <w:t xml:space="preserve">mivel </w:t>
      </w:r>
      <w:r w:rsidRPr="008C3172" w:rsidR="00051B2A">
        <w:rPr>
          <w:color w:val="000000"/>
        </w:rPr>
        <w:t xml:space="preserve">az Európai Unió kiváltságairól és mentességeiről szóló 7. jegyzőkönyvben </w:t>
      </w:r>
      <w:r w:rsidRPr="008C3172" w:rsidR="00D4619B">
        <w:rPr>
          <w:color w:val="000000"/>
        </w:rPr>
        <w:t>előírt</w:t>
      </w:r>
      <w:r w:rsidRPr="008C3172" w:rsidR="00051B2A">
        <w:rPr>
          <w:color w:val="000000"/>
        </w:rPr>
        <w:t xml:space="preserve"> </w:t>
      </w:r>
      <w:r w:rsidRPr="008C3172">
        <w:t>mentelmi jog célja a Parlament és képviselői megóvása a parlamenti megbízatás teljesítése során végzett és e megbízatástól elválaszthatatlan tevékenységekkel összefüggésben velük szemben kezdeményezett bírósági eljárásoktól;</w:t>
      </w:r>
    </w:p>
    <w:p w:rsidR="008F52E9" w:rsidRPr="008C3172" w:rsidP="00051B2A" w14:paraId="08F8279D" w14:textId="30570751">
      <w:pPr>
        <w:pStyle w:val="NormalHanging12a"/>
        <w:widowControl/>
      </w:pPr>
      <w:r w:rsidRPr="008C3172">
        <w:t>J.</w:t>
      </w:r>
      <w:r w:rsidRPr="008C3172">
        <w:tab/>
        <w:t xml:space="preserve">mivel a Parlament ebben az esetben nem talált bizonyítékot a </w:t>
      </w:r>
      <w:r w:rsidRPr="008C3172">
        <w:rPr>
          <w:i/>
          <w:iCs/>
        </w:rPr>
        <w:t>fumus</w:t>
      </w:r>
      <w:r w:rsidRPr="008C3172">
        <w:rPr>
          <w:i/>
          <w:iCs/>
        </w:rPr>
        <w:t xml:space="preserve"> </w:t>
      </w:r>
      <w:r w:rsidRPr="008C3172">
        <w:rPr>
          <w:i/>
          <w:iCs/>
        </w:rPr>
        <w:t>persecutionis</w:t>
      </w:r>
      <w:r w:rsidRPr="008C3172">
        <w:t xml:space="preserve"> fennállására, azaz olyan tény</w:t>
      </w:r>
      <w:r w:rsidRPr="008C3172" w:rsidR="00D4619B">
        <w:t>ekre</w:t>
      </w:r>
      <w:r w:rsidRPr="008C3172">
        <w:t xml:space="preserve">, amelyek arra utalnának, hogy a szóban forgó bírósági eljárást azzal a szándékkal indították, hogy </w:t>
      </w:r>
      <w:r w:rsidRPr="008C3172" w:rsidR="00BE120C">
        <w:t xml:space="preserve">ártsanak </w:t>
      </w:r>
      <w:r w:rsidRPr="008C3172">
        <w:t xml:space="preserve">Tomasz </w:t>
      </w:r>
      <w:r w:rsidRPr="008C3172">
        <w:t>Buczek</w:t>
      </w:r>
      <w:r w:rsidRPr="008C3172">
        <w:t xml:space="preserve"> Európai Parlament </w:t>
      </w:r>
      <w:r w:rsidRPr="008C3172">
        <w:t>képviselőjeként folytatott politikai tevékenységé</w:t>
      </w:r>
      <w:r w:rsidRPr="008C3172" w:rsidR="00BE120C">
        <w:t>nek</w:t>
      </w:r>
      <w:r w:rsidRPr="008C3172" w:rsidR="00051B2A">
        <w:t>, és ezáltal a Parlament függetlenségé</w:t>
      </w:r>
      <w:r w:rsidRPr="008C3172" w:rsidR="00BE120C">
        <w:t>nek</w:t>
      </w:r>
      <w:r w:rsidRPr="008C3172">
        <w:t>;</w:t>
      </w:r>
    </w:p>
    <w:p w:rsidR="008F52E9" w:rsidRPr="008C3172" w:rsidP="00051B2A" w14:paraId="331473E6" w14:textId="77777777">
      <w:pPr>
        <w:pStyle w:val="NormalHanging12a"/>
        <w:widowControl/>
      </w:pPr>
      <w:r w:rsidRPr="008C3172">
        <w:t>K.</w:t>
      </w:r>
      <w:r w:rsidRPr="008C3172">
        <w:tab/>
        <w:t>mivel egyrészről a Parlament nem töltheti be bíróság szerepét, másrészről pedig a mentelmi jog felfüggesztésére irányuló eljárásban az érintett képviselő nem tekinthető vádlottnak</w:t>
      </w:r>
      <w:r>
        <w:rPr>
          <w:vertAlign w:val="superscript"/>
        </w:rPr>
        <w:footnoteReference w:id="3"/>
      </w:r>
      <w:r w:rsidRPr="008C3172">
        <w:t>;</w:t>
      </w:r>
    </w:p>
    <w:p w:rsidR="008F52E9" w:rsidRPr="008C3172" w:rsidP="00051B2A" w14:paraId="32AF0B6F" w14:textId="77777777">
      <w:pPr>
        <w:pStyle w:val="NormalHanging12a"/>
        <w:widowControl/>
      </w:pPr>
      <w:r w:rsidRPr="008C3172">
        <w:t>1.</w:t>
      </w:r>
      <w:r w:rsidRPr="008C3172">
        <w:tab/>
        <w:t xml:space="preserve">úgy határoz, hogy felfüggeszti Tomasz </w:t>
      </w:r>
      <w:r w:rsidRPr="008C3172">
        <w:t>Buczek</w:t>
      </w:r>
      <w:r w:rsidRPr="008C3172">
        <w:t xml:space="preserve"> mentelmi jogát;</w:t>
      </w:r>
    </w:p>
    <w:p w:rsidR="00E365E1" w:rsidRPr="00E3703B" w:rsidP="00051B2A" w14:paraId="57839981" w14:textId="44763BE8">
      <w:pPr>
        <w:widowControl/>
        <w:spacing w:after="240"/>
        <w:ind w:left="567" w:hanging="567"/>
      </w:pPr>
      <w:r w:rsidRPr="008C3172">
        <w:t>2.</w:t>
      </w:r>
      <w:r w:rsidRPr="008C3172">
        <w:tab/>
        <w:t xml:space="preserve">utasítja elnökét, hogy haladéktalanul továbbítsa ezt a határozatot és az illetékes bizottság jelentését Lengyelország illetékes hatóságának és Tomasz </w:t>
      </w:r>
      <w:r w:rsidRPr="008C3172">
        <w:t>Buczeknek</w:t>
      </w:r>
      <w:r w:rsidRPr="008C3172">
        <w:t>.</w:t>
      </w:r>
    </w:p>
    <w:sectPr w:rsidSect="00E3703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03B" w14:paraId="6A856D7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03B" w14:paraId="174BDF9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03B" w14:paraId="6591190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5BE7" w:rsidRPr="00E3703B" w14:paraId="18AE5DAE" w14:textId="77777777">
      <w:r w:rsidRPr="00E3703B">
        <w:separator/>
      </w:r>
    </w:p>
  </w:footnote>
  <w:footnote w:type="continuationSeparator" w:id="1">
    <w:p w:rsidR="00545BE7" w:rsidRPr="00E3703B" w14:paraId="384543B4" w14:textId="77777777">
      <w:r w:rsidRPr="00E3703B">
        <w:continuationSeparator/>
      </w:r>
    </w:p>
  </w:footnote>
  <w:footnote w:id="2">
    <w:p w:rsidR="008F52E9" w:rsidRPr="00E3703B" w:rsidP="00E3703B" w14:paraId="3B546A7F" w14:textId="1283D50E">
      <w:pPr>
        <w:pStyle w:val="FootnoteText"/>
        <w:ind w:left="567" w:hanging="567"/>
        <w:rPr>
          <w:sz w:val="24"/>
          <w:lang w:val="hu-HU"/>
        </w:rPr>
      </w:pPr>
      <w:r w:rsidRPr="00E3703B">
        <w:rPr>
          <w:rStyle w:val="FootnoteReference"/>
          <w:sz w:val="24"/>
          <w:lang w:val="hu-HU"/>
        </w:rPr>
        <w:footnoteRef/>
      </w:r>
      <w:r w:rsidRPr="00E3703B" w:rsidR="00E3703B">
        <w:rPr>
          <w:sz w:val="24"/>
          <w:lang w:val="hu-HU"/>
        </w:rPr>
        <w:t xml:space="preserve"> </w:t>
      </w:r>
      <w:r w:rsidRPr="00E3703B" w:rsidR="00E3703B">
        <w:rPr>
          <w:sz w:val="24"/>
          <w:lang w:val="hu-HU"/>
        </w:rPr>
        <w:tab/>
      </w:r>
      <w:r w:rsidRPr="00E3703B">
        <w:rPr>
          <w:sz w:val="24"/>
          <w:lang w:val="hu-HU"/>
        </w:rPr>
        <w:t xml:space="preserve">A Bíróság 2008. október 21-i ítélete, Marra kontra De </w:t>
      </w:r>
      <w:r w:rsidRPr="00E3703B">
        <w:rPr>
          <w:sz w:val="24"/>
          <w:lang w:val="hu-HU"/>
        </w:rPr>
        <w:t>Gregorio</w:t>
      </w:r>
      <w:r w:rsidRPr="00E3703B">
        <w:rPr>
          <w:sz w:val="24"/>
          <w:lang w:val="hu-HU"/>
        </w:rPr>
        <w:t xml:space="preserve"> és </w:t>
      </w:r>
      <w:r w:rsidRPr="00E3703B">
        <w:rPr>
          <w:sz w:val="24"/>
          <w:lang w:val="hu-HU"/>
        </w:rPr>
        <w:t>Clemente</w:t>
      </w:r>
      <w:r w:rsidRPr="00E3703B">
        <w:rPr>
          <w:sz w:val="24"/>
          <w:lang w:val="hu-HU"/>
        </w:rPr>
        <w:t xml:space="preserve">, C-200/07 és C-201/07, ECLI:EU:C:2008:579; a Törvényszék 2010. március 19-i ítélete, </w:t>
      </w:r>
      <w:r w:rsidRPr="00E3703B">
        <w:rPr>
          <w:sz w:val="24"/>
          <w:lang w:val="hu-HU"/>
        </w:rPr>
        <w:t>Gollnisch</w:t>
      </w:r>
      <w:r w:rsidRPr="00E3703B">
        <w:rPr>
          <w:sz w:val="24"/>
          <w:lang w:val="hu-HU"/>
        </w:rPr>
        <w:t xml:space="preserve"> kontra Parlament, T-42/06, ECLI:</w:t>
      </w:r>
      <w:r w:rsidRPr="00E3703B">
        <w:rPr>
          <w:sz w:val="24"/>
          <w:lang w:val="hu-HU"/>
        </w:rPr>
        <w:t>EU:T</w:t>
      </w:r>
      <w:r w:rsidRPr="00E3703B">
        <w:rPr>
          <w:sz w:val="24"/>
          <w:lang w:val="hu-HU"/>
        </w:rPr>
        <w:t xml:space="preserve">:2010:102; a Bíróság 2011. szeptember 6-i ítélete, </w:t>
      </w:r>
      <w:r w:rsidRPr="00E3703B">
        <w:rPr>
          <w:sz w:val="24"/>
          <w:lang w:val="hu-HU"/>
        </w:rPr>
        <w:t>Patriciello</w:t>
      </w:r>
      <w:r w:rsidRPr="00E3703B">
        <w:rPr>
          <w:sz w:val="24"/>
          <w:lang w:val="hu-HU"/>
        </w:rPr>
        <w:t xml:space="preserve">, C-163/10, ECLI: EU:C:2011:543; a Törvényszék 2013. január 17-i ítélete, </w:t>
      </w:r>
      <w:r w:rsidRPr="00E3703B">
        <w:rPr>
          <w:sz w:val="24"/>
          <w:lang w:val="hu-HU"/>
        </w:rPr>
        <w:t>Gollnisch</w:t>
      </w:r>
      <w:r w:rsidRPr="00E3703B">
        <w:rPr>
          <w:sz w:val="24"/>
          <w:lang w:val="hu-HU"/>
        </w:rPr>
        <w:t xml:space="preserve"> kontra Parlament, T-346/11 és T-347/11, ECLI:EU:T:2013:23; a Bíróság 2019. december 19-i ítélete, </w:t>
      </w:r>
      <w:r w:rsidRPr="00E3703B">
        <w:rPr>
          <w:sz w:val="24"/>
          <w:lang w:val="hu-HU"/>
        </w:rPr>
        <w:t>Junqueras</w:t>
      </w:r>
      <w:r w:rsidRPr="00E3703B">
        <w:rPr>
          <w:sz w:val="24"/>
          <w:lang w:val="hu-HU"/>
        </w:rPr>
        <w:t xml:space="preserve"> </w:t>
      </w:r>
      <w:r w:rsidRPr="00E3703B">
        <w:rPr>
          <w:sz w:val="24"/>
          <w:lang w:val="hu-HU"/>
        </w:rPr>
        <w:t>Vies</w:t>
      </w:r>
      <w:r w:rsidRPr="00E3703B">
        <w:rPr>
          <w:sz w:val="24"/>
          <w:lang w:val="hu-HU"/>
        </w:rPr>
        <w:t>, C-502/19, ECLI:EU:C:2019:1115.</w:t>
      </w:r>
    </w:p>
  </w:footnote>
  <w:footnote w:id="3">
    <w:p w:rsidR="008F52E9" w:rsidRPr="00E3703B" w:rsidP="00E3703B" w14:paraId="30865FB2" w14:textId="14EBDF48">
      <w:pPr>
        <w:pStyle w:val="FootnoteText"/>
        <w:ind w:left="567" w:hanging="567"/>
        <w:rPr>
          <w:sz w:val="24"/>
          <w:lang w:val="hu-HU"/>
        </w:rPr>
      </w:pPr>
      <w:r w:rsidRPr="00E3703B">
        <w:rPr>
          <w:rStyle w:val="FootnoteReference"/>
          <w:sz w:val="24"/>
          <w:lang w:val="hu-HU"/>
        </w:rPr>
        <w:footnoteRef/>
      </w:r>
      <w:r w:rsidRPr="00E3703B" w:rsidR="00E3703B">
        <w:rPr>
          <w:sz w:val="24"/>
          <w:lang w:val="hu-HU"/>
        </w:rPr>
        <w:t xml:space="preserve"> </w:t>
      </w:r>
      <w:r w:rsidRPr="00E3703B" w:rsidR="00E3703B">
        <w:rPr>
          <w:sz w:val="24"/>
          <w:lang w:val="hu-HU"/>
        </w:rPr>
        <w:tab/>
      </w:r>
      <w:r w:rsidRPr="00E3703B">
        <w:rPr>
          <w:sz w:val="24"/>
          <w:lang w:val="hu-HU"/>
        </w:rPr>
        <w:t xml:space="preserve">A Törvényszék 2019. április 30-i ítélete, </w:t>
      </w:r>
      <w:r w:rsidRPr="00E3703B">
        <w:rPr>
          <w:sz w:val="24"/>
          <w:lang w:val="hu-HU"/>
        </w:rPr>
        <w:t>Briois</w:t>
      </w:r>
      <w:r w:rsidRPr="00E3703B">
        <w:rPr>
          <w:sz w:val="24"/>
          <w:lang w:val="hu-HU"/>
        </w:rPr>
        <w:t xml:space="preserve"> kontra Európai Parlament, T-214/18, ECLI:</w:t>
      </w:r>
      <w:r w:rsidRPr="00E3703B">
        <w:rPr>
          <w:sz w:val="24"/>
          <w:lang w:val="hu-HU"/>
        </w:rPr>
        <w:t>EU:T</w:t>
      </w:r>
      <w:r w:rsidRPr="00E3703B">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03B" w14:paraId="6263443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03B" w14:paraId="537341D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03B" w14:paraId="62E17D7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8250290">
    <w:abstractNumId w:val="9"/>
  </w:num>
  <w:num w:numId="2" w16cid:durableId="173960306">
    <w:abstractNumId w:val="9"/>
  </w:num>
  <w:num w:numId="3" w16cid:durableId="805585989">
    <w:abstractNumId w:val="7"/>
  </w:num>
  <w:num w:numId="4" w16cid:durableId="1582254940">
    <w:abstractNumId w:val="7"/>
  </w:num>
  <w:num w:numId="5" w16cid:durableId="475295102">
    <w:abstractNumId w:val="6"/>
  </w:num>
  <w:num w:numId="6" w16cid:durableId="1298343167">
    <w:abstractNumId w:val="6"/>
  </w:num>
  <w:num w:numId="7" w16cid:durableId="756948127">
    <w:abstractNumId w:val="5"/>
  </w:num>
  <w:num w:numId="8" w16cid:durableId="1343897484">
    <w:abstractNumId w:val="5"/>
  </w:num>
  <w:num w:numId="9" w16cid:durableId="164900909">
    <w:abstractNumId w:val="4"/>
  </w:num>
  <w:num w:numId="10" w16cid:durableId="1415201460">
    <w:abstractNumId w:val="4"/>
  </w:num>
  <w:num w:numId="11" w16cid:durableId="718436669">
    <w:abstractNumId w:val="8"/>
  </w:num>
  <w:num w:numId="12" w16cid:durableId="474109539">
    <w:abstractNumId w:val="8"/>
  </w:num>
  <w:num w:numId="13" w16cid:durableId="567303186">
    <w:abstractNumId w:val="3"/>
  </w:num>
  <w:num w:numId="14" w16cid:durableId="1722090040">
    <w:abstractNumId w:val="3"/>
  </w:num>
  <w:num w:numId="15" w16cid:durableId="195851611">
    <w:abstractNumId w:val="2"/>
  </w:num>
  <w:num w:numId="16" w16cid:durableId="1696150626">
    <w:abstractNumId w:val="2"/>
  </w:num>
  <w:num w:numId="17" w16cid:durableId="1360887540">
    <w:abstractNumId w:val="1"/>
  </w:num>
  <w:num w:numId="18" w16cid:durableId="954823812">
    <w:abstractNumId w:val="1"/>
  </w:num>
  <w:num w:numId="19" w16cid:durableId="1232279529">
    <w:abstractNumId w:val="0"/>
  </w:num>
  <w:num w:numId="20" w16cid:durableId="1635404079">
    <w:abstractNumId w:val="0"/>
  </w:num>
  <w:num w:numId="21" w16cid:durableId="1131745727">
    <w:abstractNumId w:val="9"/>
  </w:num>
  <w:num w:numId="22" w16cid:durableId="745609999">
    <w:abstractNumId w:val="7"/>
  </w:num>
  <w:num w:numId="23" w16cid:durableId="1674838912">
    <w:abstractNumId w:val="6"/>
  </w:num>
  <w:num w:numId="24" w16cid:durableId="1545093224">
    <w:abstractNumId w:val="5"/>
  </w:num>
  <w:num w:numId="25" w16cid:durableId="302851888">
    <w:abstractNumId w:val="4"/>
  </w:num>
  <w:num w:numId="26" w16cid:durableId="1451630575">
    <w:abstractNumId w:val="8"/>
  </w:num>
  <w:num w:numId="27" w16cid:durableId="1659457449">
    <w:abstractNumId w:val="3"/>
  </w:num>
  <w:num w:numId="28" w16cid:durableId="1837722019">
    <w:abstractNumId w:val="2"/>
  </w:num>
  <w:num w:numId="29" w16cid:durableId="1897466858">
    <w:abstractNumId w:val="1"/>
  </w:num>
  <w:num w:numId="30" w16cid:durableId="1021249249">
    <w:abstractNumId w:val="0"/>
  </w:num>
  <w:num w:numId="31" w16cid:durableId="239681801">
    <w:abstractNumId w:val="9"/>
  </w:num>
  <w:num w:numId="32" w16cid:durableId="367992274">
    <w:abstractNumId w:val="7"/>
  </w:num>
  <w:num w:numId="33" w16cid:durableId="1252006040">
    <w:abstractNumId w:val="6"/>
  </w:num>
  <w:num w:numId="34" w16cid:durableId="1833566214">
    <w:abstractNumId w:val="5"/>
  </w:num>
  <w:num w:numId="35" w16cid:durableId="690449417">
    <w:abstractNumId w:val="4"/>
  </w:num>
  <w:num w:numId="36" w16cid:durableId="681473393">
    <w:abstractNumId w:val="8"/>
  </w:num>
  <w:num w:numId="37" w16cid:durableId="1071849516">
    <w:abstractNumId w:val="3"/>
  </w:num>
  <w:num w:numId="38" w16cid:durableId="207307433">
    <w:abstractNumId w:val="2"/>
  </w:num>
  <w:num w:numId="39" w16cid:durableId="1356151714">
    <w:abstractNumId w:val="1"/>
  </w:num>
  <w:num w:numId="40" w16cid:durableId="61024727">
    <w:abstractNumId w:val="0"/>
  </w:num>
  <w:num w:numId="41" w16cid:durableId="523176123">
    <w:abstractNumId w:val="10"/>
  </w:num>
  <w:num w:numId="42" w16cid:durableId="369844339">
    <w:abstractNumId w:val="10"/>
  </w:num>
  <w:num w:numId="43" w16cid:durableId="1073623948">
    <w:abstractNumId w:val="10"/>
  </w:num>
  <w:num w:numId="44" w16cid:durableId="692459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BE7"/>
    <w:rsid w:val="00002272"/>
    <w:rsid w:val="00051B2A"/>
    <w:rsid w:val="00064002"/>
    <w:rsid w:val="000677B9"/>
    <w:rsid w:val="000831BA"/>
    <w:rsid w:val="000A42CC"/>
    <w:rsid w:val="000E7DD9"/>
    <w:rsid w:val="000F2F00"/>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BE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DAB"/>
    <w:rsid w:val="007D1690"/>
    <w:rsid w:val="007E22AD"/>
    <w:rsid w:val="00817416"/>
    <w:rsid w:val="00842779"/>
    <w:rsid w:val="00865F67"/>
    <w:rsid w:val="00881A7B"/>
    <w:rsid w:val="008840E5"/>
    <w:rsid w:val="00887B3E"/>
    <w:rsid w:val="008C2AC6"/>
    <w:rsid w:val="008C3172"/>
    <w:rsid w:val="008F52E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CAB"/>
    <w:rsid w:val="00B558F0"/>
    <w:rsid w:val="00BA607B"/>
    <w:rsid w:val="00BD48FE"/>
    <w:rsid w:val="00BD7BD8"/>
    <w:rsid w:val="00BE120C"/>
    <w:rsid w:val="00BE6ADC"/>
    <w:rsid w:val="00C05BFE"/>
    <w:rsid w:val="00C067AF"/>
    <w:rsid w:val="00C23CD4"/>
    <w:rsid w:val="00C61C0C"/>
    <w:rsid w:val="00C941CB"/>
    <w:rsid w:val="00CC2357"/>
    <w:rsid w:val="00CF071A"/>
    <w:rsid w:val="00D058B8"/>
    <w:rsid w:val="00D4619B"/>
    <w:rsid w:val="00D52217"/>
    <w:rsid w:val="00D56C11"/>
    <w:rsid w:val="00D834A0"/>
    <w:rsid w:val="00D872DF"/>
    <w:rsid w:val="00D91E21"/>
    <w:rsid w:val="00DA7FCD"/>
    <w:rsid w:val="00E365E1"/>
    <w:rsid w:val="00E3703B"/>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6/2026"/>
    <w:docVar w:name="dvlangue" w:val="HU"/>
    <w:docVar w:name="dvnumam" w:val="0"/>
    <w:docVar w:name="dvpe" w:val="786.694"/>
    <w:docVar w:name="dvrapporteur" w:val="Előadó: "/>
    <w:docVar w:name="dvtitre" w:val="Az Európai Parlament 2026. április 28-i határozata a Tomasz Buczek mentelmi jogának felfüggesztésére irányuló kérelemről(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1CADAC2"/>
  <w15:chartTrackingRefBased/>
  <w15:docId w15:val="{3672B18D-CF2D-4BBF-8C58-4395A073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F52E9"/>
    <w:pPr>
      <w:spacing w:after="240"/>
      <w:ind w:left="567" w:hanging="567"/>
    </w:pPr>
  </w:style>
  <w:style w:type="paragraph" w:customStyle="1" w:styleId="EPComma">
    <w:name w:val="EPComma"/>
    <w:basedOn w:val="Normal"/>
    <w:rsid w:val="008F52E9"/>
    <w:pPr>
      <w:spacing w:before="480" w:after="240"/>
    </w:pPr>
  </w:style>
  <w:style w:type="paragraph" w:styleId="Revision">
    <w:name w:val="Revision"/>
    <w:hidden/>
    <w:uiPriority w:val="99"/>
    <w:semiHidden/>
    <w:rsid w:val="00051B2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650</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2026-04-28T10:47:00Z</dcterms:created>
  <dcterms:modified xsi:type="dcterms:W3CDTF">2026-04-28T10:47:00Z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A10-0116/2026</vt:lpwstr>
  </property>
  <property fmtid="{D5CDD505-2E9C-101B-9397-08002B2CF9AE}" pid="4" name="&lt;Type&gt;">
    <vt:lpwstr>RR</vt:lpwstr>
  </property>
</Properties>
</file>