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E057F6" w14:textId="77777777" w:rsidTr="0010095E">
        <w:tblPrEx>
          <w:tblW w:w="9072" w:type="dxa"/>
          <w:tblLook w:val="01E0"/>
        </w:tblPrEx>
        <w:trPr>
          <w:trHeight w:hRule="exact" w:val="1418"/>
        </w:trPr>
        <w:tc>
          <w:tcPr>
            <w:tcW w:w="6804" w:type="dxa"/>
            <w:shd w:val="clear" w:color="auto" w:fill="auto"/>
            <w:vAlign w:val="center"/>
          </w:tcPr>
          <w:p w:rsidR="00751A4A" w:rsidRPr="003225FA" w:rsidP="0010095E" w14:paraId="307BC735" w14:textId="09BD9399">
            <w:pPr>
              <w:pStyle w:val="EPName"/>
            </w:pPr>
            <w:r w:rsidRPr="003225FA">
              <w:t>Eiropas Parlaments</w:t>
            </w:r>
          </w:p>
          <w:p w:rsidR="00751A4A" w:rsidRPr="003225FA" w:rsidP="005F1B17" w14:paraId="1796041D" w14:textId="77777777">
            <w:pPr>
              <w:pStyle w:val="EPTerm"/>
              <w:rPr>
                <w:rStyle w:val="HideTWBExt"/>
                <w:noProof w:val="0"/>
                <w:vanish w:val="0"/>
                <w:color w:val="auto"/>
              </w:rPr>
            </w:pPr>
            <w:r w:rsidRPr="003225FA">
              <w:t>2024</w:t>
            </w:r>
            <w:r w:rsidRPr="003225FA" w:rsidR="00817416">
              <w:t>-202</w:t>
            </w:r>
            <w:r w:rsidRPr="003225FA">
              <w:t>9</w:t>
            </w:r>
          </w:p>
        </w:tc>
        <w:tc>
          <w:tcPr>
            <w:tcW w:w="2268" w:type="dxa"/>
            <w:shd w:val="clear" w:color="auto" w:fill="auto"/>
          </w:tcPr>
          <w:p w:rsidR="00751A4A" w:rsidRPr="003225FA" w:rsidP="0010095E" w14:paraId="7128876D" w14:textId="77777777">
            <w:pPr>
              <w:pStyle w:val="EPLogo"/>
            </w:pPr>
            <w:r w:rsidRPr="003225F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25FA" w:rsidP="004C5D52" w14:paraId="4B9B397B" w14:textId="77777777">
      <w:pPr>
        <w:pStyle w:val="LineTop"/>
      </w:pPr>
    </w:p>
    <w:p w:rsidR="00680577" w:rsidRPr="003225FA" w:rsidP="00680577" w14:paraId="1CF8F79B" w14:textId="77777777">
      <w:pPr>
        <w:pStyle w:val="EPBodyTA1"/>
      </w:pPr>
      <w:r w:rsidRPr="003225FA">
        <w:t>PIEŅEMTIE TEKSTI</w:t>
      </w:r>
    </w:p>
    <w:p w:rsidR="00D058B8" w:rsidRPr="003225FA" w:rsidP="00D058B8" w14:paraId="163FB992" w14:textId="77777777">
      <w:pPr>
        <w:pStyle w:val="LineBottom"/>
      </w:pPr>
    </w:p>
    <w:p w:rsidR="0016007F" w:rsidRPr="003225FA" w:rsidP="0016007F" w14:paraId="25BEDBB9" w14:textId="2CFEBE72">
      <w:pPr>
        <w:pStyle w:val="ATHeading1"/>
      </w:pPr>
      <w:bookmarkStart w:id="0" w:name="TANumber"/>
      <w:r w:rsidRPr="003225FA">
        <w:t>P10_TA(2026)0</w:t>
      </w:r>
      <w:r w:rsidRPr="003225FA" w:rsidR="003225FA">
        <w:t>107</w:t>
      </w:r>
      <w:bookmarkEnd w:id="0"/>
    </w:p>
    <w:p w:rsidR="0016007F" w:rsidRPr="003225FA" w:rsidP="0016007F" w14:paraId="26001F33" w14:textId="19FE948A">
      <w:pPr>
        <w:pStyle w:val="ATHeading2"/>
      </w:pPr>
      <w:bookmarkStart w:id="1" w:name="title"/>
      <w:r w:rsidRPr="003225FA">
        <w:t>Piepras</w:t>
      </w:r>
      <w:r w:rsidRPr="003225FA">
        <w:rPr>
          <w:rFonts w:hint="eastAsia"/>
        </w:rPr>
        <w:t>ī</w:t>
      </w:r>
      <w:r w:rsidRPr="003225FA">
        <w:t xml:space="preserve">jums atcelt </w:t>
      </w:r>
      <w:r w:rsidRPr="003225FA">
        <w:rPr>
          <w:i/>
          <w:iCs/>
        </w:rPr>
        <w:t>Tomasz</w:t>
      </w:r>
      <w:r w:rsidRPr="003225FA">
        <w:rPr>
          <w:i/>
          <w:iCs/>
        </w:rPr>
        <w:t xml:space="preserve"> </w:t>
      </w:r>
      <w:r w:rsidRPr="003225FA">
        <w:rPr>
          <w:i/>
          <w:iCs/>
        </w:rPr>
        <w:t>Buczek</w:t>
      </w:r>
      <w:r w:rsidRPr="003225FA">
        <w:t xml:space="preserve"> imunit</w:t>
      </w:r>
      <w:r w:rsidRPr="003225FA">
        <w:rPr>
          <w:rFonts w:hint="eastAsia"/>
        </w:rPr>
        <w:t>ā</w:t>
      </w:r>
      <w:r w:rsidRPr="003225FA">
        <w:t>ti</w:t>
      </w:r>
      <w:bookmarkEnd w:id="1"/>
    </w:p>
    <w:p w:rsidR="0016007F" w:rsidRPr="003225FA" w:rsidP="0016007F" w14:paraId="6DB9BCF1" w14:textId="77777777">
      <w:pPr>
        <w:rPr>
          <w:i/>
          <w:vanish/>
        </w:rPr>
      </w:pPr>
      <w:r>
        <w:rPr>
          <w:i/>
        </w:rPr>
        <w:fldChar w:fldCharType="begin"/>
      </w:r>
      <w:r w:rsidRPr="003225FA">
        <w:rPr>
          <w:i/>
        </w:rPr>
        <w:instrText xml:space="preserve"> TC"(</w:instrText>
      </w:r>
      <w:bookmarkStart w:id="2" w:name="DocNumber"/>
      <w:r w:rsidRPr="003225FA">
        <w:rPr>
          <w:i/>
        </w:rPr>
        <w:instrText>A10-0116/2026</w:instrText>
      </w:r>
      <w:bookmarkEnd w:id="2"/>
      <w:r w:rsidRPr="003225FA">
        <w:rPr>
          <w:i/>
        </w:rPr>
        <w:instrText xml:space="preserve"> - Referents: David Cormand)"\l3 \n&gt; \* MERGEFORMAT </w:instrText>
      </w:r>
      <w:r>
        <w:rPr>
          <w:i/>
        </w:rPr>
        <w:fldChar w:fldCharType="end"/>
      </w:r>
    </w:p>
    <w:p w:rsidR="0016007F" w:rsidRPr="003225FA" w:rsidP="0016007F" w14:paraId="09926C74" w14:textId="77777777">
      <w:pPr>
        <w:rPr>
          <w:vanish/>
        </w:rPr>
      </w:pPr>
      <w:bookmarkStart w:id="3" w:name="Commission"/>
      <w:r w:rsidRPr="003225FA">
        <w:rPr>
          <w:vanish/>
        </w:rPr>
        <w:t>Juridiskā komiteja</w:t>
      </w:r>
      <w:bookmarkEnd w:id="3"/>
    </w:p>
    <w:p w:rsidR="0016007F" w:rsidRPr="003225FA" w:rsidP="0016007F" w14:paraId="51575E34" w14:textId="77777777">
      <w:pPr>
        <w:rPr>
          <w:vanish/>
        </w:rPr>
      </w:pPr>
      <w:bookmarkStart w:id="4" w:name="PE"/>
      <w:r w:rsidRPr="003225FA">
        <w:rPr>
          <w:vanish/>
        </w:rPr>
        <w:t>PE786.694</w:t>
      </w:r>
      <w:bookmarkEnd w:id="4"/>
    </w:p>
    <w:p w:rsidR="0016007F" w:rsidRPr="003225FA" w:rsidP="0016007F" w14:paraId="1FC5D659" w14:textId="7211E47C">
      <w:pPr>
        <w:pStyle w:val="ATHeading3"/>
      </w:pPr>
      <w:bookmarkStart w:id="5" w:name="Sujet"/>
      <w:r w:rsidRPr="003225FA">
        <w:t xml:space="preserve">Eiropas Parlamenta 2026. gada </w:t>
      </w:r>
      <w:r w:rsidRPr="003225FA" w:rsidR="007E57BD">
        <w:t>28. aprīļa</w:t>
      </w:r>
      <w:r w:rsidRPr="003225FA">
        <w:t xml:space="preserve"> lēmums par pieprasījumu atcelt </w:t>
      </w:r>
      <w:r w:rsidRPr="003225FA">
        <w:rPr>
          <w:i/>
          <w:iCs/>
        </w:rPr>
        <w:t>Tomasz</w:t>
      </w:r>
      <w:r w:rsidRPr="003225FA">
        <w:rPr>
          <w:i/>
          <w:iCs/>
        </w:rPr>
        <w:t xml:space="preserve"> </w:t>
      </w:r>
      <w:r w:rsidRPr="003225FA">
        <w:rPr>
          <w:i/>
          <w:iCs/>
        </w:rPr>
        <w:t>Bucze</w:t>
      </w:r>
      <w:r w:rsidRPr="003225FA">
        <w:t>k</w:t>
      </w:r>
      <w:r w:rsidRPr="003225FA">
        <w:t xml:space="preserve"> imunitāti</w:t>
      </w:r>
      <w:bookmarkEnd w:id="5"/>
      <w:r w:rsidRPr="003225FA">
        <w:t xml:space="preserve"> </w:t>
      </w:r>
      <w:bookmarkStart w:id="6" w:name="References"/>
      <w:r w:rsidRPr="003225FA">
        <w:t>(2025/2193(IMM))</w:t>
      </w:r>
      <w:bookmarkEnd w:id="6"/>
    </w:p>
    <w:p w:rsidR="0064613A" w:rsidRPr="003225FA" w:rsidP="0064613A" w14:paraId="67CCE20A" w14:textId="77777777">
      <w:pPr>
        <w:pStyle w:val="EPComma"/>
      </w:pPr>
      <w:bookmarkStart w:id="7" w:name="TextBodyBegin"/>
      <w:bookmarkEnd w:id="7"/>
      <w:r w:rsidRPr="003225FA">
        <w:rPr>
          <w:i/>
          <w:iCs/>
        </w:rPr>
        <w:t>Eiropas Parlaments</w:t>
      </w:r>
      <w:r w:rsidRPr="003225FA">
        <w:t>,</w:t>
      </w:r>
    </w:p>
    <w:p w:rsidR="0064613A" w:rsidRPr="003225FA" w:rsidP="0064613A" w14:paraId="3A08884D" w14:textId="39A795A0">
      <w:pPr>
        <w:pStyle w:val="NormalHanging12a"/>
      </w:pPr>
      <w:r w:rsidRPr="003225FA">
        <w:t>–</w:t>
      </w:r>
      <w:r w:rsidRPr="003225FA">
        <w:tab/>
        <w:t xml:space="preserve">ņemot vērā pieprasījumu atcelt </w:t>
      </w:r>
      <w:r w:rsidRPr="003225FA">
        <w:rPr>
          <w:i/>
          <w:iCs/>
        </w:rPr>
        <w:t>Tomasz</w:t>
      </w:r>
      <w:r w:rsidRPr="003225FA">
        <w:rPr>
          <w:i/>
          <w:iCs/>
        </w:rPr>
        <w:t xml:space="preserve"> </w:t>
      </w:r>
      <w:r w:rsidRPr="003225FA">
        <w:rPr>
          <w:i/>
          <w:iCs/>
        </w:rPr>
        <w:t>Buczek</w:t>
      </w:r>
      <w:r w:rsidRPr="003225FA">
        <w:t xml:space="preserve"> imunitāti, kuru </w:t>
      </w:r>
      <w:r w:rsidRPr="003225FA" w:rsidR="00193BBB">
        <w:t xml:space="preserve">ar </w:t>
      </w:r>
      <w:r w:rsidRPr="003225FA">
        <w:t>2025. gada 12. septembr</w:t>
      </w:r>
      <w:r w:rsidRPr="003225FA" w:rsidR="00193BBB">
        <w:t>a vēstuli</w:t>
      </w:r>
      <w:r w:rsidRPr="003225FA">
        <w:t xml:space="preserve"> iesniedza </w:t>
      </w:r>
      <w:r w:rsidRPr="003225FA">
        <w:t>Tarnobžegas</w:t>
      </w:r>
      <w:r w:rsidRPr="003225FA">
        <w:t xml:space="preserve"> rajona tiesas Otrā krimināllietu palāta saistībā ar kriminālprocesu, kas pret viņu ierosināts ar </w:t>
      </w:r>
      <w:r w:rsidRPr="003225FA">
        <w:t>privātapsūdzētāja</w:t>
      </w:r>
      <w:r w:rsidRPr="003225FA">
        <w:t xml:space="preserve"> likumīgā pārstāvja iesniegtu privātu apsūdzību, un par kuru paziņots 2025. gada 6. oktobra plenārsēdē,</w:t>
      </w:r>
    </w:p>
    <w:p w:rsidR="0064613A" w:rsidRPr="003225FA" w:rsidP="0064613A" w14:paraId="7461D6AC" w14:textId="77777777">
      <w:pPr>
        <w:pStyle w:val="NormalHanging12a"/>
      </w:pPr>
      <w:r w:rsidRPr="003225FA">
        <w:t>–</w:t>
      </w:r>
      <w:r w:rsidRPr="003225FA">
        <w:tab/>
        <w:t xml:space="preserve">pēc </w:t>
      </w:r>
      <w:r w:rsidRPr="003225FA">
        <w:rPr>
          <w:i/>
          <w:iCs/>
        </w:rPr>
        <w:t>Tomasz</w:t>
      </w:r>
      <w:r w:rsidRPr="003225FA">
        <w:rPr>
          <w:i/>
          <w:iCs/>
        </w:rPr>
        <w:t xml:space="preserve"> </w:t>
      </w:r>
      <w:r w:rsidRPr="003225FA">
        <w:rPr>
          <w:i/>
          <w:iCs/>
        </w:rPr>
        <w:t>Buczek</w:t>
      </w:r>
      <w:r w:rsidRPr="003225FA">
        <w:t xml:space="preserve"> uzklausīšanas 2026. gada 23. martā saskaņā ar Reglamenta 9. panta 6. punktu un ņemot vērā viņa iesniegtos dokumentus,</w:t>
      </w:r>
    </w:p>
    <w:p w:rsidR="0064613A" w:rsidRPr="003225FA" w:rsidP="0064613A" w14:paraId="6875897B" w14:textId="77777777">
      <w:pPr>
        <w:pStyle w:val="NormalHanging12a"/>
      </w:pPr>
      <w:r w:rsidRPr="003225FA">
        <w:t>–</w:t>
      </w:r>
      <w:r w:rsidRPr="003225FA">
        <w:tab/>
        <w:t>ņemot vērā Protokola Nr. 7 par privilēģijām un imunitāti Eiropas Savienībā 8. un 9. pantu, kā arī 1976. gada 20. septembra Akta par Eiropas Parlamenta deputātu ievēlēšanu tiešās vispārējās vēlēšanās 6. panta 2. punktu,</w:t>
      </w:r>
    </w:p>
    <w:p w:rsidR="0064613A" w:rsidRPr="003225FA" w:rsidP="0064613A" w14:paraId="00281D69" w14:textId="60AED8B3">
      <w:pPr>
        <w:pStyle w:val="NormalHanging12a"/>
      </w:pPr>
      <w:r w:rsidRPr="003225FA">
        <w:t>–</w:t>
      </w:r>
      <w:r w:rsidRPr="003225FA">
        <w:tab/>
        <w:t>ņemot vērā Eiropas Savienības Tiesas 2008. gada 21. oktobra, 2010. gada 19. marta, 2011. gada 6. septembra, 2013. gada 17. janvāra un 2019. gada 19. decembra spriedumu</w:t>
      </w:r>
      <w:r w:rsidRPr="003225FA" w:rsidR="000E705D">
        <w:t>s</w:t>
      </w:r>
      <w:r>
        <w:rPr>
          <w:vertAlign w:val="superscript"/>
        </w:rPr>
        <w:footnoteReference w:id="2"/>
      </w:r>
      <w:r w:rsidRPr="003225FA">
        <w:t>,</w:t>
      </w:r>
    </w:p>
    <w:p w:rsidR="0064613A" w:rsidRPr="003225FA" w:rsidP="0064613A" w14:paraId="1DFD03F0" w14:textId="77777777">
      <w:pPr>
        <w:pStyle w:val="NormalHanging12a"/>
      </w:pPr>
      <w:r w:rsidRPr="003225FA">
        <w:t>–</w:t>
      </w:r>
      <w:r w:rsidRPr="003225FA">
        <w:tab/>
        <w:t>ņemot vērā Polijas Republikas Konstitūcijas 105. panta 2. punktu un 5. punktu,</w:t>
      </w:r>
    </w:p>
    <w:p w:rsidR="0064613A" w:rsidRPr="003225FA" w:rsidP="0064613A" w14:paraId="0E8CC9E9" w14:textId="77777777">
      <w:pPr>
        <w:pStyle w:val="NormalHanging12a"/>
      </w:pPr>
      <w:r w:rsidRPr="003225FA">
        <w:t>–</w:t>
      </w:r>
      <w:r w:rsidRPr="003225FA">
        <w:tab/>
        <w:t>ņemot vērā Reglamenta 5. panta 2. punktu, 6. panta 1. punktu un 9. pantu,</w:t>
      </w:r>
    </w:p>
    <w:p w:rsidR="0064613A" w:rsidRPr="003225FA" w:rsidP="0064613A" w14:paraId="4A2AA897" w14:textId="77777777">
      <w:pPr>
        <w:pStyle w:val="NormalHanging12a"/>
      </w:pPr>
      <w:r w:rsidRPr="003225FA">
        <w:t>–</w:t>
      </w:r>
      <w:r w:rsidRPr="003225FA">
        <w:tab/>
        <w:t>ņemot vērā Juridiskās komitejas ziņojumu (A10</w:t>
      </w:r>
      <w:r w:rsidRPr="003225FA">
        <w:noBreakHyphen/>
        <w:t>0116/2026),</w:t>
      </w:r>
    </w:p>
    <w:p w:rsidR="0064613A" w:rsidRPr="003225FA" w:rsidP="0064613A" w14:paraId="6192847E" w14:textId="591A3D57">
      <w:pPr>
        <w:pStyle w:val="NormalHanging12a"/>
      </w:pPr>
      <w:r w:rsidRPr="003225FA">
        <w:t>A.</w:t>
      </w:r>
      <w:r w:rsidRPr="003225FA">
        <w:tab/>
        <w:t xml:space="preserve">tā kā </w:t>
      </w:r>
      <w:r w:rsidRPr="003225FA">
        <w:t>Tarnobžegas</w:t>
      </w:r>
      <w:r w:rsidRPr="003225FA">
        <w:t xml:space="preserve"> rajona tiesas Otrā krimināllietu palāta </w:t>
      </w:r>
      <w:r w:rsidRPr="003225FA" w:rsidR="000E705D">
        <w:t xml:space="preserve">ar </w:t>
      </w:r>
      <w:r w:rsidRPr="003225FA">
        <w:t xml:space="preserve">2025. gada 12. septembra </w:t>
      </w:r>
      <w:r w:rsidRPr="003225FA" w:rsidR="000E705D">
        <w:t xml:space="preserve">vēstuli iesniedza </w:t>
      </w:r>
      <w:r w:rsidRPr="003225FA">
        <w:t xml:space="preserve">pieprasījumu atcelt </w:t>
      </w:r>
      <w:r w:rsidRPr="003225FA" w:rsidR="007E57BD">
        <w:t xml:space="preserve">Polijā ievēlētā Eiropas Parlamenta deputāta </w:t>
      </w:r>
      <w:r w:rsidRPr="003225FA">
        <w:rPr>
          <w:i/>
          <w:iCs/>
        </w:rPr>
        <w:t>Tomasz</w:t>
      </w:r>
      <w:r w:rsidRPr="003225FA">
        <w:rPr>
          <w:i/>
          <w:iCs/>
        </w:rPr>
        <w:t xml:space="preserve"> </w:t>
      </w:r>
      <w:r w:rsidRPr="003225FA">
        <w:rPr>
          <w:i/>
          <w:iCs/>
        </w:rPr>
        <w:t>Buczek</w:t>
      </w:r>
      <w:r w:rsidRPr="003225FA">
        <w:t xml:space="preserve"> imunitāti saistībā ar privātu apsūdzību, kas </w:t>
      </w:r>
      <w:r w:rsidRPr="003225FA" w:rsidR="000E705D">
        <w:t xml:space="preserve">pret viņu </w:t>
      </w:r>
      <w:r w:rsidRPr="003225FA">
        <w:t>izvirzīta par iespējamu noziedzīgu nodarījumu saskaņā ar Polijas Kriminālkodeksa 217. panta 1. punktu;</w:t>
      </w:r>
      <w:r w:rsidRPr="003225FA" w:rsidR="007E57BD">
        <w:t xml:space="preserve">  </w:t>
      </w:r>
    </w:p>
    <w:p w:rsidR="0064613A" w:rsidRPr="003225FA" w:rsidP="0064613A" w14:paraId="4CF1B53B" w14:textId="32F19FB5">
      <w:pPr>
        <w:pStyle w:val="NormalHanging12a"/>
      </w:pPr>
      <w:r w:rsidRPr="003225FA">
        <w:t>B.</w:t>
      </w:r>
      <w:r w:rsidRPr="003225FA">
        <w:tab/>
        <w:t xml:space="preserve">tā kā saskaņā ar imunitātes atcelšanas pieprasījumā sniegto informāciju 2024. gada 21. septembrī </w:t>
      </w:r>
      <w:r w:rsidRPr="003225FA">
        <w:t>Tarnobžegā</w:t>
      </w:r>
      <w:r w:rsidRPr="003225FA">
        <w:t xml:space="preserve"> notika vēlēšanu kampaņas pasākums, kurā piedalījās </w:t>
      </w:r>
      <w:r w:rsidRPr="003225FA">
        <w:rPr>
          <w:i/>
          <w:iCs/>
        </w:rPr>
        <w:t>Tomasz</w:t>
      </w:r>
      <w:r w:rsidRPr="003225FA">
        <w:rPr>
          <w:i/>
          <w:iCs/>
        </w:rPr>
        <w:t xml:space="preserve"> </w:t>
      </w:r>
      <w:r w:rsidRPr="003225FA">
        <w:rPr>
          <w:i/>
          <w:iCs/>
        </w:rPr>
        <w:t>Buczek</w:t>
      </w:r>
      <w:r w:rsidRPr="003225FA">
        <w:t xml:space="preserve">; tā kā </w:t>
      </w:r>
      <w:r w:rsidRPr="003225FA">
        <w:t>privātapsūdzētāja</w:t>
      </w:r>
      <w:r w:rsidRPr="003225FA">
        <w:t xml:space="preserve"> piedalījās iepriekš minētajā pasākumā, </w:t>
      </w:r>
      <w:r w:rsidRPr="003225FA" w:rsidR="000E705D">
        <w:t>jo</w:t>
      </w:r>
      <w:r w:rsidRPr="003225FA">
        <w:t xml:space="preserve"> īpaši paužot savu viedokli par politiskiem jautājumiem, </w:t>
      </w:r>
      <w:r w:rsidRPr="003225FA" w:rsidR="000E705D">
        <w:t xml:space="preserve">tostarp </w:t>
      </w:r>
      <w:r w:rsidRPr="003225FA">
        <w:t xml:space="preserve">par </w:t>
      </w:r>
      <w:r w:rsidRPr="003225FA">
        <w:rPr>
          <w:i/>
          <w:iCs/>
        </w:rPr>
        <w:t>Tomasz</w:t>
      </w:r>
      <w:r w:rsidRPr="003225FA">
        <w:rPr>
          <w:i/>
          <w:iCs/>
        </w:rPr>
        <w:t xml:space="preserve"> </w:t>
      </w:r>
      <w:r w:rsidRPr="003225FA">
        <w:rPr>
          <w:i/>
          <w:iCs/>
        </w:rPr>
        <w:t>Buczek</w:t>
      </w:r>
      <w:r w:rsidRPr="003225FA">
        <w:t xml:space="preserve"> darbību; tā </w:t>
      </w:r>
      <w:r w:rsidRPr="003225FA" w:rsidR="000E705D">
        <w:t xml:space="preserve">kā </w:t>
      </w:r>
      <w:r w:rsidRPr="003225FA">
        <w:t xml:space="preserve">saskaņā ar imunitātes atcelšanas pieprasījumā sniegto informāciju </w:t>
      </w:r>
      <w:r w:rsidRPr="003225FA">
        <w:rPr>
          <w:i/>
          <w:iCs/>
        </w:rPr>
        <w:t>Tomasz</w:t>
      </w:r>
      <w:r w:rsidRPr="003225FA">
        <w:rPr>
          <w:i/>
          <w:iCs/>
        </w:rPr>
        <w:t xml:space="preserve"> </w:t>
      </w:r>
      <w:r w:rsidRPr="003225FA">
        <w:rPr>
          <w:i/>
          <w:iCs/>
        </w:rPr>
        <w:t>Buczek</w:t>
      </w:r>
      <w:r w:rsidRPr="003225FA">
        <w:t xml:space="preserve"> esot sagrābis </w:t>
      </w:r>
      <w:r w:rsidRPr="003225FA">
        <w:t>privātapsūdzētājas</w:t>
      </w:r>
      <w:r w:rsidRPr="003225FA">
        <w:t xml:space="preserve"> </w:t>
      </w:r>
      <w:r w:rsidRPr="003225FA" w:rsidR="000E705D">
        <w:t xml:space="preserve">rokās </w:t>
      </w:r>
      <w:r w:rsidRPr="003225FA">
        <w:t xml:space="preserve">turēto miniatūro megafonu, ko viņa izmantoja, lai tiktu sadzirdēta, un </w:t>
      </w:r>
      <w:r w:rsidRPr="003225FA" w:rsidR="000E705D">
        <w:t>tā kā</w:t>
      </w:r>
      <w:r w:rsidRPr="003225FA">
        <w:t xml:space="preserve"> šī darbība </w:t>
      </w:r>
      <w:r w:rsidRPr="003225FA" w:rsidR="000E705D">
        <w:t xml:space="preserve">esot </w:t>
      </w:r>
      <w:r w:rsidRPr="003225FA">
        <w:t>bijusi tik vardarbīga, ka megafons vairs nedarbojas;</w:t>
      </w:r>
    </w:p>
    <w:p w:rsidR="0064613A" w:rsidRPr="003225FA" w:rsidP="0064613A" w14:paraId="6FC28201" w14:textId="7A88BB77">
      <w:pPr>
        <w:pStyle w:val="NormalHanging12a"/>
      </w:pPr>
      <w:r w:rsidRPr="003225FA">
        <w:t>C.</w:t>
      </w:r>
      <w:r w:rsidRPr="003225FA">
        <w:tab/>
        <w:t xml:space="preserve">tā kā </w:t>
      </w:r>
      <w:r w:rsidRPr="003225FA">
        <w:rPr>
          <w:i/>
          <w:iCs/>
        </w:rPr>
        <w:t>Tomasz</w:t>
      </w:r>
      <w:r w:rsidRPr="003225FA">
        <w:rPr>
          <w:i/>
          <w:iCs/>
        </w:rPr>
        <w:t xml:space="preserve"> </w:t>
      </w:r>
      <w:r w:rsidRPr="003225FA">
        <w:rPr>
          <w:i/>
          <w:iCs/>
        </w:rPr>
        <w:t>Buczek</w:t>
      </w:r>
      <w:r w:rsidRPr="003225FA">
        <w:t xml:space="preserve"> darbība tiekot uzskatīta par noziedzīgu nodarījumu pret fizisko neaizskaramību, </w:t>
      </w:r>
      <w:r w:rsidRPr="003225FA" w:rsidR="000E705D">
        <w:t xml:space="preserve">kā </w:t>
      </w:r>
      <w:r w:rsidRPr="003225FA">
        <w:t>noteikts Polijas Kriminālkodeksa 217. panta 1. punktā;</w:t>
      </w:r>
    </w:p>
    <w:p w:rsidR="0064613A" w:rsidRPr="003225FA" w:rsidP="0064613A" w14:paraId="14025DF2" w14:textId="45109268">
      <w:pPr>
        <w:pStyle w:val="NormalHanging12a"/>
      </w:pPr>
      <w:r w:rsidRPr="003225FA">
        <w:t>D.</w:t>
      </w:r>
      <w:r w:rsidRPr="003225FA">
        <w:tab/>
        <w:t xml:space="preserve">tā kā </w:t>
      </w:r>
      <w:r w:rsidRPr="003225FA" w:rsidR="000E705D">
        <w:rPr>
          <w:i/>
          <w:iCs/>
        </w:rPr>
        <w:t>Tomasz</w:t>
      </w:r>
      <w:r w:rsidRPr="003225FA" w:rsidR="000E705D">
        <w:rPr>
          <w:i/>
          <w:iCs/>
        </w:rPr>
        <w:t xml:space="preserve"> </w:t>
      </w:r>
      <w:r w:rsidRPr="003225FA" w:rsidR="000E705D">
        <w:rPr>
          <w:i/>
          <w:iCs/>
        </w:rPr>
        <w:t>Buczek</w:t>
      </w:r>
      <w:r w:rsidRPr="003225FA" w:rsidR="000E705D">
        <w:t xml:space="preserve"> </w:t>
      </w:r>
      <w:r w:rsidRPr="003225FA">
        <w:t xml:space="preserve">Eiropas vēlēšanās </w:t>
      </w:r>
      <w:r w:rsidRPr="003225FA" w:rsidR="000E705D">
        <w:t xml:space="preserve">2024. gada jūnijā </w:t>
      </w:r>
      <w:r w:rsidRPr="003225FA">
        <w:t xml:space="preserve">tika ievēlēts Eiropas Parlamentā un </w:t>
      </w:r>
      <w:r w:rsidRPr="003225FA" w:rsidR="000E705D">
        <w:t xml:space="preserve">tāpēc </w:t>
      </w:r>
      <w:r w:rsidRPr="003225FA">
        <w:t>inkriminētā noziedzīgā nodarījuma izdarīšanas laikā viņš bija Eiropas Parlamenta deputāts;</w:t>
      </w:r>
    </w:p>
    <w:p w:rsidR="0064613A" w:rsidRPr="003225FA" w:rsidP="0064613A" w14:paraId="39DAD0E0" w14:textId="77777777">
      <w:pPr>
        <w:pStyle w:val="NormalHanging12a"/>
      </w:pPr>
      <w:r w:rsidRPr="003225FA">
        <w:t>E.</w:t>
      </w:r>
      <w:r w:rsidRPr="003225FA">
        <w:tab/>
        <w:t xml:space="preserve">tā kā inkriminētais nodarījums un no tā izrietošais pieprasījums atcelt </w:t>
      </w:r>
      <w:r w:rsidRPr="003225FA">
        <w:rPr>
          <w:i/>
          <w:iCs/>
        </w:rPr>
        <w:t>Tomasz</w:t>
      </w:r>
      <w:r w:rsidRPr="003225FA">
        <w:rPr>
          <w:i/>
          <w:iCs/>
        </w:rPr>
        <w:t xml:space="preserve"> </w:t>
      </w:r>
      <w:r w:rsidRPr="003225FA">
        <w:rPr>
          <w:i/>
          <w:iCs/>
        </w:rPr>
        <w:t>Buczek</w:t>
      </w:r>
      <w:r w:rsidRPr="003225FA">
        <w:t xml:space="preserve"> imunitāti nav saistīts nedz ar viņa viedokli, nedz balsojumu, kas ir attiecīgi pausts vai izdarīts, viņam pildot savus pienākumus Protokola Nr. 7 par privilēģijām un imunitāti Eiropas Savienībā 8. panta nozīmē;</w:t>
      </w:r>
    </w:p>
    <w:p w:rsidR="0064613A" w:rsidRPr="003225FA" w:rsidP="0064613A" w14:paraId="1A8BF18D" w14:textId="0AF96B98">
      <w:pPr>
        <w:pStyle w:val="NormalHanging12a"/>
      </w:pPr>
      <w:r w:rsidRPr="003225FA">
        <w:t>F.</w:t>
      </w:r>
      <w:r w:rsidRPr="003225FA">
        <w:tab/>
        <w:t>tā kā Protokola Nr. 7 par privilēģijām un imunitāti Eiropas Savienībā 9. panta pirmās daļas a) punkt</w:t>
      </w:r>
      <w:r w:rsidRPr="003225FA" w:rsidR="000E705D">
        <w:t>ā noteikts, ka</w:t>
      </w:r>
      <w:r w:rsidRPr="003225FA">
        <w:t xml:space="preserve"> Eiropas Parlamenta locekļi savā valstī </w:t>
      </w:r>
      <w:r w:rsidRPr="003225FA" w:rsidR="00A44A19">
        <w:t xml:space="preserve">bauda </w:t>
      </w:r>
      <w:r w:rsidRPr="003225FA">
        <w:t>imunitāt</w:t>
      </w:r>
      <w:r w:rsidRPr="003225FA" w:rsidR="00A44A19">
        <w:t>i</w:t>
      </w:r>
      <w:r w:rsidRPr="003225FA">
        <w:t xml:space="preserve">, </w:t>
      </w:r>
      <w:r w:rsidRPr="003225FA" w:rsidR="00A44A19">
        <w:t>kāda piešķirta</w:t>
      </w:r>
      <w:r w:rsidRPr="003225FA">
        <w:t xml:space="preserve"> </w:t>
      </w:r>
      <w:r w:rsidRPr="003225FA" w:rsidR="00A44A19">
        <w:t>viņu dalībvalsts</w:t>
      </w:r>
      <w:r w:rsidRPr="003225FA">
        <w:t xml:space="preserve"> parlamenta locekļiem;</w:t>
      </w:r>
    </w:p>
    <w:p w:rsidR="0064613A" w:rsidRPr="003225FA" w:rsidP="0064613A" w14:paraId="05BE6F57" w14:textId="060E5F3E">
      <w:pPr>
        <w:pStyle w:val="NormalHanging12a"/>
      </w:pPr>
      <w:r w:rsidRPr="003225FA">
        <w:t>G.</w:t>
      </w:r>
      <w:r w:rsidRPr="003225FA">
        <w:tab/>
        <w:t xml:space="preserve">tā kā saskaņā ar Polijas </w:t>
      </w:r>
      <w:r w:rsidRPr="003225FA" w:rsidR="007E57BD">
        <w:t xml:space="preserve">Republikas </w:t>
      </w:r>
      <w:r w:rsidRPr="003225FA">
        <w:t xml:space="preserve">Konstitūcijas 105. panta 2. un 5. punktu, sākot no vēlēšanu rezultātu pasludināšanas dienas un līdz attiecīgā deputāta mandāta termiņa beigām, viņu bez </w:t>
      </w:r>
      <w:r w:rsidRPr="003225FA">
        <w:t>Sejma</w:t>
      </w:r>
      <w:r w:rsidRPr="003225FA">
        <w:t xml:space="preserve"> piekrišanas nedrīkst saukt pie kriminālatbildības un bez minētās piekrišanas nedrīkst aizturēt vai apcietināt, izņemot gadījumus, kuros viņš tiek pieķerts noziedzīga nodarījuma izdarīšanas brīdī un kuros viņa aizturēšana ir nepieciešama, lai nodrošinātu procesuālo darbību pienācīgu veikšanu;</w:t>
      </w:r>
    </w:p>
    <w:p w:rsidR="0064613A" w:rsidRPr="003225FA" w:rsidP="0064613A" w14:paraId="75C20A29" w14:textId="1DA1659D">
      <w:pPr>
        <w:pStyle w:val="NormalHanging12a"/>
      </w:pPr>
      <w:r w:rsidRPr="003225FA">
        <w:t>H.</w:t>
      </w:r>
      <w:r w:rsidRPr="003225FA">
        <w:tab/>
        <w:t>tā kā saskaņā ar Reglamenta 5. panta 2. punktu deputāta imunitāte nav deputāta personiska privilēģija, bet gan visa Parlamenta un tā deputātu neatkarības garantija;</w:t>
      </w:r>
    </w:p>
    <w:p w:rsidR="0064613A" w:rsidRPr="003225FA" w:rsidP="0064613A" w14:paraId="300CB185" w14:textId="307A2578">
      <w:pPr>
        <w:pStyle w:val="NormalHanging12a"/>
      </w:pPr>
      <w:r w:rsidRPr="003225FA">
        <w:t>I.</w:t>
      </w:r>
      <w:r w:rsidRPr="003225FA">
        <w:tab/>
        <w:t xml:space="preserve">tā kā </w:t>
      </w:r>
      <w:r w:rsidRPr="003225FA" w:rsidR="00A44A19">
        <w:t>Protokola Nr. 7 par privilēģijām un imunitāti Eiropas Savienībā noteiktās</w:t>
      </w:r>
      <w:r w:rsidRPr="003225FA">
        <w:t xml:space="preserve"> imunitātes mērķis ir aizsargāt Parlamentu un tā deputātus pret </w:t>
      </w:r>
      <w:r w:rsidRPr="003225FA" w:rsidR="00A44A19">
        <w:t xml:space="preserve">tiesvedībām saistībā </w:t>
      </w:r>
      <w:r w:rsidRPr="003225FA">
        <w:t xml:space="preserve">ar darbībām, kas veiktas, pildot parlamentāros pienākumus, un kuras </w:t>
      </w:r>
      <w:r w:rsidRPr="003225FA" w:rsidR="00A44A19">
        <w:t xml:space="preserve">nevar skatīt </w:t>
      </w:r>
      <w:r w:rsidRPr="003225FA">
        <w:t xml:space="preserve">atrauti no </w:t>
      </w:r>
      <w:r w:rsidRPr="003225FA" w:rsidR="00A44A19">
        <w:t xml:space="preserve">minētajiem </w:t>
      </w:r>
      <w:r w:rsidRPr="003225FA">
        <w:t>pienākumiem;</w:t>
      </w:r>
    </w:p>
    <w:p w:rsidR="0064613A" w:rsidRPr="003225FA" w:rsidP="0064613A" w14:paraId="72030112" w14:textId="4B6EA250">
      <w:pPr>
        <w:pStyle w:val="NormalHanging12a"/>
      </w:pPr>
      <w:r w:rsidRPr="003225FA">
        <w:t>J.</w:t>
      </w:r>
      <w:r w:rsidRPr="003225FA">
        <w:tab/>
        <w:t xml:space="preserve">tā kā šajā lietā Parlamentam nav pierādījumu par </w:t>
      </w:r>
      <w:r w:rsidRPr="003225FA">
        <w:rPr>
          <w:i/>
          <w:iCs/>
        </w:rPr>
        <w:t>fumus</w:t>
      </w:r>
      <w:r w:rsidRPr="003225FA">
        <w:rPr>
          <w:i/>
          <w:iCs/>
        </w:rPr>
        <w:t xml:space="preserve"> </w:t>
      </w:r>
      <w:r w:rsidRPr="003225FA">
        <w:rPr>
          <w:i/>
          <w:iCs/>
        </w:rPr>
        <w:t>persecutionis</w:t>
      </w:r>
      <w:r w:rsidRPr="003225FA">
        <w:t xml:space="preserve">, proti, </w:t>
      </w:r>
      <w:r w:rsidRPr="003225FA" w:rsidR="00A44A19">
        <w:t>nešķiet, ka</w:t>
      </w:r>
      <w:r w:rsidRPr="003225FA">
        <w:t xml:space="preserve"> </w:t>
      </w:r>
      <w:r w:rsidRPr="003225FA" w:rsidR="00A44A19">
        <w:t xml:space="preserve">attiecīgās </w:t>
      </w:r>
      <w:r w:rsidRPr="003225FA">
        <w:t>tiesvedība</w:t>
      </w:r>
      <w:r w:rsidRPr="003225FA" w:rsidR="00A44A19">
        <w:t xml:space="preserve">s pamatā esošais nolūks būtu </w:t>
      </w:r>
      <w:r w:rsidRPr="003225FA">
        <w:t xml:space="preserve">kaitēt </w:t>
      </w:r>
      <w:r w:rsidRPr="003225FA">
        <w:rPr>
          <w:i/>
          <w:iCs/>
        </w:rPr>
        <w:t>Tomasz</w:t>
      </w:r>
      <w:r w:rsidRPr="003225FA">
        <w:rPr>
          <w:i/>
          <w:iCs/>
        </w:rPr>
        <w:t xml:space="preserve"> </w:t>
      </w:r>
      <w:r w:rsidRPr="003225FA">
        <w:rPr>
          <w:i/>
          <w:iCs/>
        </w:rPr>
        <w:t>Buczek</w:t>
      </w:r>
      <w:r w:rsidRPr="003225FA">
        <w:t xml:space="preserve"> politiskajai darbībai </w:t>
      </w:r>
      <w:r w:rsidRPr="003225FA" w:rsidR="00A44A19">
        <w:t xml:space="preserve">kā </w:t>
      </w:r>
      <w:r w:rsidRPr="003225FA">
        <w:t>Eiropas Parlamenta deputāta</w:t>
      </w:r>
      <w:r w:rsidRPr="003225FA" w:rsidR="00A44A19">
        <w:t>m un līdz ar to Parlamenta neatkarībai</w:t>
      </w:r>
      <w:r w:rsidRPr="003225FA">
        <w:t>;</w:t>
      </w:r>
      <w:r w:rsidRPr="003225FA" w:rsidR="007E57BD">
        <w:t xml:space="preserve"> </w:t>
      </w:r>
    </w:p>
    <w:p w:rsidR="0064613A" w:rsidRPr="003225FA" w:rsidP="0064613A" w14:paraId="784D13DC" w14:textId="77777777">
      <w:pPr>
        <w:pStyle w:val="NormalHanging12a"/>
      </w:pPr>
      <w:r w:rsidRPr="003225FA">
        <w:t>K.</w:t>
      </w:r>
      <w:r w:rsidRPr="003225FA">
        <w:tab/>
        <w:t>tā kā, no vienas puses, Parlaments nevar tikt pielīdzināts tiesai un, no otras puses, deputāts imunitātes atcelšanas procedūras kontekstā nevar tikt uzskatīts par apsūdzēto</w:t>
      </w:r>
      <w:r>
        <w:rPr>
          <w:vertAlign w:val="superscript"/>
        </w:rPr>
        <w:footnoteReference w:id="3"/>
      </w:r>
      <w:r w:rsidRPr="003225FA">
        <w:t>,</w:t>
      </w:r>
    </w:p>
    <w:p w:rsidR="0064613A" w:rsidRPr="003225FA" w:rsidP="0064613A" w14:paraId="3FFFD6BC" w14:textId="77777777">
      <w:pPr>
        <w:pStyle w:val="NormalHanging12a"/>
      </w:pPr>
      <w:r w:rsidRPr="003225FA">
        <w:t>1.</w:t>
      </w:r>
      <w:r w:rsidRPr="003225FA">
        <w:tab/>
        <w:t xml:space="preserve">nolemj atcelt </w:t>
      </w:r>
      <w:r w:rsidRPr="003225FA">
        <w:rPr>
          <w:i/>
          <w:iCs/>
        </w:rPr>
        <w:t>Tomasz</w:t>
      </w:r>
      <w:r w:rsidRPr="003225FA">
        <w:rPr>
          <w:i/>
          <w:iCs/>
        </w:rPr>
        <w:t xml:space="preserve"> </w:t>
      </w:r>
      <w:r w:rsidRPr="003225FA">
        <w:rPr>
          <w:i/>
          <w:iCs/>
        </w:rPr>
        <w:t>Buczek</w:t>
      </w:r>
      <w:r w:rsidRPr="003225FA">
        <w:t xml:space="preserve"> imunitāti;</w:t>
      </w:r>
    </w:p>
    <w:p w:rsidR="00783887" w:rsidRPr="003225FA" w:rsidP="00783887" w14:paraId="54DDAEDB" w14:textId="369C9B92">
      <w:pPr>
        <w:pStyle w:val="NormalHanging12a"/>
      </w:pPr>
      <w:r w:rsidRPr="003225FA">
        <w:t>2.</w:t>
      </w:r>
      <w:r w:rsidRPr="003225FA">
        <w:tab/>
        <w:t xml:space="preserve">uzdod priekšsēdētājai šo lēmumu un atbildīgās komitejas ziņojumu nekavējoties nosūtīt kompetentajai Polijas iestādei un </w:t>
      </w:r>
      <w:r w:rsidRPr="003225FA">
        <w:rPr>
          <w:i/>
          <w:iCs/>
        </w:rPr>
        <w:t>Tomasz</w:t>
      </w:r>
      <w:r w:rsidRPr="003225FA">
        <w:rPr>
          <w:i/>
          <w:iCs/>
        </w:rPr>
        <w:t xml:space="preserve"> </w:t>
      </w:r>
      <w:r w:rsidRPr="003225FA">
        <w:rPr>
          <w:i/>
          <w:iCs/>
        </w:rPr>
        <w:t>Buczek</w:t>
      </w:r>
      <w:r w:rsidRPr="003225FA">
        <w:t>.</w:t>
      </w:r>
    </w:p>
    <w:p w:rsidR="00E365E1" w:rsidRPr="003225FA" w:rsidP="0016007F" w14:paraId="56C1D8AE" w14:textId="6E4C0C60"/>
    <w:sectPr w:rsidSect="0078388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4CDB373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59DF73D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3FC2E7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6007F" w:rsidRPr="00783887" w14:paraId="55CD4DFA" w14:textId="77777777">
      <w:r w:rsidRPr="00783887">
        <w:separator/>
      </w:r>
    </w:p>
  </w:footnote>
  <w:footnote w:type="continuationSeparator" w:id="1">
    <w:p w:rsidR="0016007F" w:rsidRPr="00783887" w14:paraId="56019975" w14:textId="77777777">
      <w:r w:rsidRPr="00783887">
        <w:continuationSeparator/>
      </w:r>
    </w:p>
  </w:footnote>
  <w:footnote w:id="2">
    <w:p w:rsidR="0064613A" w:rsidRPr="00783887" w:rsidP="00783887" w14:paraId="60C0EA67" w14:textId="09B3C086">
      <w:pPr>
        <w:pStyle w:val="FootnoteText"/>
        <w:ind w:left="567" w:hanging="567"/>
        <w:rPr>
          <w:sz w:val="24"/>
          <w:vertAlign w:val="superscript"/>
          <w:lang w:val="lv-LV"/>
        </w:rPr>
      </w:pPr>
      <w:r w:rsidRPr="00783887">
        <w:rPr>
          <w:rStyle w:val="FootnoteReference"/>
          <w:sz w:val="24"/>
          <w:lang w:val="lv-LV"/>
        </w:rPr>
        <w:footnoteRef/>
      </w:r>
      <w:r w:rsidRPr="00783887" w:rsidR="00783887">
        <w:rPr>
          <w:sz w:val="24"/>
          <w:lang w:val="lv-LV"/>
        </w:rPr>
        <w:t xml:space="preserve"> </w:t>
      </w:r>
      <w:r w:rsidRPr="00783887" w:rsidR="00783887">
        <w:rPr>
          <w:sz w:val="24"/>
          <w:lang w:val="lv-LV"/>
        </w:rPr>
        <w:tab/>
      </w:r>
      <w:r w:rsidRPr="00783887">
        <w:rPr>
          <w:sz w:val="24"/>
          <w:lang w:val="lv-LV"/>
        </w:rPr>
        <w:t xml:space="preserve">Tiesas 2008. gada 21. oktobra spriedums, </w:t>
      </w:r>
      <w:r w:rsidRPr="00783887">
        <w:rPr>
          <w:i/>
          <w:iCs/>
          <w:sz w:val="24"/>
          <w:lang w:val="lv-LV"/>
        </w:rPr>
        <w:t>Marra</w:t>
      </w:r>
      <w:r w:rsidRPr="00783887">
        <w:rPr>
          <w:i/>
          <w:iCs/>
          <w:sz w:val="24"/>
          <w:lang w:val="lv-LV"/>
        </w:rPr>
        <w:t>/</w:t>
      </w:r>
      <w:r w:rsidRPr="00783887">
        <w:rPr>
          <w:i/>
          <w:iCs/>
          <w:sz w:val="24"/>
          <w:lang w:val="lv-LV"/>
        </w:rPr>
        <w:t>De</w:t>
      </w:r>
      <w:r w:rsidRPr="00783887">
        <w:rPr>
          <w:i/>
          <w:iCs/>
          <w:sz w:val="24"/>
          <w:lang w:val="lv-LV"/>
        </w:rPr>
        <w:t xml:space="preserve"> Gregorio</w:t>
      </w:r>
      <w:r w:rsidRPr="00783887">
        <w:rPr>
          <w:sz w:val="24"/>
          <w:lang w:val="lv-LV"/>
        </w:rPr>
        <w:t xml:space="preserve"> un </w:t>
      </w:r>
      <w:r w:rsidRPr="00783887">
        <w:rPr>
          <w:i/>
          <w:iCs/>
          <w:sz w:val="24"/>
          <w:lang w:val="lv-LV"/>
        </w:rPr>
        <w:t>Clemente</w:t>
      </w:r>
      <w:r w:rsidRPr="00783887">
        <w:rPr>
          <w:sz w:val="24"/>
          <w:lang w:val="lv-LV"/>
        </w:rPr>
        <w:t xml:space="preserve">, C-200/07 un C-201/07, ECLI:EU:C:2008:579; Vispārējās tiesas 2010. gada 19. marta spriedums, </w:t>
      </w:r>
      <w:r w:rsidRPr="00783887">
        <w:rPr>
          <w:i/>
          <w:iCs/>
          <w:sz w:val="24"/>
          <w:lang w:val="lv-LV"/>
        </w:rPr>
        <w:t>Gollnisch</w:t>
      </w:r>
      <w:r w:rsidRPr="00783887">
        <w:rPr>
          <w:sz w:val="24"/>
          <w:lang w:val="lv-LV"/>
        </w:rPr>
        <w:t xml:space="preserve">/Parlaments, T-42/06, ECLI:EU:T:2010:102; Tiesas 2011. gada 6. septembra spriedums, </w:t>
      </w:r>
      <w:r w:rsidRPr="00783887">
        <w:rPr>
          <w:i/>
          <w:iCs/>
          <w:sz w:val="24"/>
          <w:lang w:val="lv-LV"/>
        </w:rPr>
        <w:t>Patriciello</w:t>
      </w:r>
      <w:r w:rsidRPr="00783887">
        <w:rPr>
          <w:sz w:val="24"/>
          <w:lang w:val="lv-LV"/>
        </w:rPr>
        <w:t xml:space="preserve">, C-163/10, ECLI: EU:C:2011:543; Vispārējās tiesas 2013. gada 17. janvāra spriedums, </w:t>
      </w:r>
      <w:r w:rsidRPr="00783887">
        <w:rPr>
          <w:i/>
          <w:iCs/>
          <w:sz w:val="24"/>
          <w:lang w:val="lv-LV"/>
        </w:rPr>
        <w:t>Gollnisch</w:t>
      </w:r>
      <w:r w:rsidRPr="00783887">
        <w:rPr>
          <w:sz w:val="24"/>
          <w:lang w:val="lv-LV"/>
        </w:rPr>
        <w:t xml:space="preserve">/Parlaments, T-346/11 un T-347/11, ECLI:EU:T:2013:23. Tiesas 2019. gada 19. decembra spriedums, </w:t>
      </w:r>
      <w:r w:rsidRPr="00783887">
        <w:rPr>
          <w:i/>
          <w:iCs/>
          <w:sz w:val="24"/>
          <w:lang w:val="lv-LV"/>
        </w:rPr>
        <w:t>Junqueras</w:t>
      </w:r>
      <w:r w:rsidRPr="00783887">
        <w:rPr>
          <w:i/>
          <w:iCs/>
          <w:sz w:val="24"/>
          <w:lang w:val="lv-LV"/>
        </w:rPr>
        <w:t xml:space="preserve"> Vies</w:t>
      </w:r>
      <w:r w:rsidRPr="00783887">
        <w:rPr>
          <w:sz w:val="24"/>
          <w:lang w:val="lv-LV"/>
        </w:rPr>
        <w:t>, C-502/19, ECLI:EU:C:2019:1115.</w:t>
      </w:r>
    </w:p>
    <w:p w:rsidR="0064613A" w:rsidRPr="00783887" w:rsidP="00783887" w14:paraId="63ED6EB2" w14:textId="4FED8588">
      <w:pPr>
        <w:pStyle w:val="FootnoteText"/>
        <w:ind w:left="567" w:hanging="567"/>
        <w:rPr>
          <w:sz w:val="24"/>
          <w:lang w:val="lv-LV"/>
        </w:rPr>
      </w:pPr>
      <w:r w:rsidRPr="00783887">
        <w:rPr>
          <w:sz w:val="24"/>
          <w:lang w:val="lv-LV"/>
        </w:rPr>
        <w:t xml:space="preserve"> </w:t>
      </w:r>
      <w:r w:rsidRPr="00783887">
        <w:rPr>
          <w:sz w:val="24"/>
          <w:lang w:val="lv-LV"/>
        </w:rPr>
        <w:tab/>
      </w:r>
    </w:p>
  </w:footnote>
  <w:footnote w:id="3">
    <w:p w:rsidR="0064613A" w:rsidRPr="00783887" w:rsidP="00783887" w14:paraId="26BC977B" w14:textId="3F11821B">
      <w:pPr>
        <w:pStyle w:val="FootnoteText"/>
        <w:ind w:left="567" w:hanging="567"/>
        <w:rPr>
          <w:sz w:val="24"/>
          <w:lang w:val="lv-LV"/>
        </w:rPr>
      </w:pPr>
      <w:r w:rsidRPr="00783887">
        <w:rPr>
          <w:rStyle w:val="FootnoteReference"/>
          <w:sz w:val="24"/>
          <w:lang w:val="lv-LV"/>
        </w:rPr>
        <w:footnoteRef/>
      </w:r>
      <w:r w:rsidRPr="00783887" w:rsidR="00783887">
        <w:rPr>
          <w:sz w:val="24"/>
          <w:lang w:val="lv-LV"/>
        </w:rPr>
        <w:t xml:space="preserve"> </w:t>
      </w:r>
      <w:r w:rsidRPr="00783887" w:rsidR="00783887">
        <w:rPr>
          <w:sz w:val="24"/>
          <w:lang w:val="lv-LV"/>
        </w:rPr>
        <w:tab/>
      </w:r>
      <w:r w:rsidRPr="00783887">
        <w:rPr>
          <w:sz w:val="24"/>
          <w:lang w:val="lv-LV"/>
        </w:rPr>
        <w:t xml:space="preserve">Vispārējās tiesas 2019. gada 30. aprīļa spriedums, </w:t>
      </w:r>
      <w:r w:rsidRPr="00783887">
        <w:rPr>
          <w:i/>
          <w:iCs/>
          <w:sz w:val="24"/>
          <w:lang w:val="lv-LV"/>
        </w:rPr>
        <w:t>Briois</w:t>
      </w:r>
      <w:r w:rsidRPr="00783887">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1140FD6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0AB9777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83887" w14:paraId="176D84B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2265639">
    <w:abstractNumId w:val="9"/>
  </w:num>
  <w:num w:numId="2" w16cid:durableId="614604255">
    <w:abstractNumId w:val="9"/>
  </w:num>
  <w:num w:numId="3" w16cid:durableId="1553879533">
    <w:abstractNumId w:val="7"/>
  </w:num>
  <w:num w:numId="4" w16cid:durableId="1371148280">
    <w:abstractNumId w:val="7"/>
  </w:num>
  <w:num w:numId="5" w16cid:durableId="223762365">
    <w:abstractNumId w:val="6"/>
  </w:num>
  <w:num w:numId="6" w16cid:durableId="2121878252">
    <w:abstractNumId w:val="6"/>
  </w:num>
  <w:num w:numId="7" w16cid:durableId="370766311">
    <w:abstractNumId w:val="5"/>
  </w:num>
  <w:num w:numId="8" w16cid:durableId="1755395426">
    <w:abstractNumId w:val="5"/>
  </w:num>
  <w:num w:numId="9" w16cid:durableId="896283698">
    <w:abstractNumId w:val="4"/>
  </w:num>
  <w:num w:numId="10" w16cid:durableId="1982227776">
    <w:abstractNumId w:val="4"/>
  </w:num>
  <w:num w:numId="11" w16cid:durableId="1705398071">
    <w:abstractNumId w:val="8"/>
  </w:num>
  <w:num w:numId="12" w16cid:durableId="1814063411">
    <w:abstractNumId w:val="8"/>
  </w:num>
  <w:num w:numId="13" w16cid:durableId="836962241">
    <w:abstractNumId w:val="3"/>
  </w:num>
  <w:num w:numId="14" w16cid:durableId="1044334913">
    <w:abstractNumId w:val="3"/>
  </w:num>
  <w:num w:numId="15" w16cid:durableId="355159771">
    <w:abstractNumId w:val="2"/>
  </w:num>
  <w:num w:numId="16" w16cid:durableId="864900101">
    <w:abstractNumId w:val="2"/>
  </w:num>
  <w:num w:numId="17" w16cid:durableId="590502809">
    <w:abstractNumId w:val="1"/>
  </w:num>
  <w:num w:numId="18" w16cid:durableId="892698366">
    <w:abstractNumId w:val="1"/>
  </w:num>
  <w:num w:numId="19" w16cid:durableId="278993303">
    <w:abstractNumId w:val="0"/>
  </w:num>
  <w:num w:numId="20" w16cid:durableId="732895251">
    <w:abstractNumId w:val="0"/>
  </w:num>
  <w:num w:numId="21" w16cid:durableId="1266499986">
    <w:abstractNumId w:val="9"/>
  </w:num>
  <w:num w:numId="22" w16cid:durableId="1809325732">
    <w:abstractNumId w:val="7"/>
  </w:num>
  <w:num w:numId="23" w16cid:durableId="1728190309">
    <w:abstractNumId w:val="6"/>
  </w:num>
  <w:num w:numId="24" w16cid:durableId="237788039">
    <w:abstractNumId w:val="5"/>
  </w:num>
  <w:num w:numId="25" w16cid:durableId="122040724">
    <w:abstractNumId w:val="4"/>
  </w:num>
  <w:num w:numId="26" w16cid:durableId="362752313">
    <w:abstractNumId w:val="8"/>
  </w:num>
  <w:num w:numId="27" w16cid:durableId="1757289785">
    <w:abstractNumId w:val="3"/>
  </w:num>
  <w:num w:numId="28" w16cid:durableId="965113433">
    <w:abstractNumId w:val="2"/>
  </w:num>
  <w:num w:numId="29" w16cid:durableId="24446264">
    <w:abstractNumId w:val="1"/>
  </w:num>
  <w:num w:numId="30" w16cid:durableId="849680129">
    <w:abstractNumId w:val="0"/>
  </w:num>
  <w:num w:numId="31" w16cid:durableId="248004289">
    <w:abstractNumId w:val="9"/>
  </w:num>
  <w:num w:numId="32" w16cid:durableId="1296643118">
    <w:abstractNumId w:val="7"/>
  </w:num>
  <w:num w:numId="33" w16cid:durableId="1528561724">
    <w:abstractNumId w:val="6"/>
  </w:num>
  <w:num w:numId="34" w16cid:durableId="1543057423">
    <w:abstractNumId w:val="5"/>
  </w:num>
  <w:num w:numId="35" w16cid:durableId="2044744978">
    <w:abstractNumId w:val="4"/>
  </w:num>
  <w:num w:numId="36" w16cid:durableId="917373511">
    <w:abstractNumId w:val="8"/>
  </w:num>
  <w:num w:numId="37" w16cid:durableId="1611424969">
    <w:abstractNumId w:val="3"/>
  </w:num>
  <w:num w:numId="38" w16cid:durableId="752047965">
    <w:abstractNumId w:val="2"/>
  </w:num>
  <w:num w:numId="39" w16cid:durableId="1875313606">
    <w:abstractNumId w:val="1"/>
  </w:num>
  <w:num w:numId="40" w16cid:durableId="1372993999">
    <w:abstractNumId w:val="0"/>
  </w:num>
  <w:num w:numId="41" w16cid:durableId="1371301514">
    <w:abstractNumId w:val="10"/>
  </w:num>
  <w:num w:numId="42" w16cid:durableId="636884860">
    <w:abstractNumId w:val="10"/>
  </w:num>
  <w:num w:numId="43" w16cid:durableId="324824950">
    <w:abstractNumId w:val="10"/>
  </w:num>
  <w:num w:numId="44" w16cid:durableId="1632592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7F"/>
    <w:rsid w:val="00002272"/>
    <w:rsid w:val="0002540D"/>
    <w:rsid w:val="00064002"/>
    <w:rsid w:val="000677B9"/>
    <w:rsid w:val="000831BA"/>
    <w:rsid w:val="000A42CC"/>
    <w:rsid w:val="000E705D"/>
    <w:rsid w:val="000E7DD9"/>
    <w:rsid w:val="0010095E"/>
    <w:rsid w:val="00125B37"/>
    <w:rsid w:val="0016007F"/>
    <w:rsid w:val="00187494"/>
    <w:rsid w:val="00193BBB"/>
    <w:rsid w:val="001F32AE"/>
    <w:rsid w:val="002767FF"/>
    <w:rsid w:val="00281F50"/>
    <w:rsid w:val="002B18FE"/>
    <w:rsid w:val="002B5493"/>
    <w:rsid w:val="003225FA"/>
    <w:rsid w:val="00343214"/>
    <w:rsid w:val="0036025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13A"/>
    <w:rsid w:val="006631B6"/>
    <w:rsid w:val="00680577"/>
    <w:rsid w:val="006F74FA"/>
    <w:rsid w:val="007030AC"/>
    <w:rsid w:val="00731ADD"/>
    <w:rsid w:val="00734777"/>
    <w:rsid w:val="00747932"/>
    <w:rsid w:val="00751A4A"/>
    <w:rsid w:val="00756632"/>
    <w:rsid w:val="00762C74"/>
    <w:rsid w:val="00783887"/>
    <w:rsid w:val="00786EC0"/>
    <w:rsid w:val="00793897"/>
    <w:rsid w:val="007D1690"/>
    <w:rsid w:val="007E22AD"/>
    <w:rsid w:val="007E57B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A19"/>
    <w:rsid w:val="00A4678D"/>
    <w:rsid w:val="00A778C7"/>
    <w:rsid w:val="00AB441E"/>
    <w:rsid w:val="00AB6293"/>
    <w:rsid w:val="00AE0928"/>
    <w:rsid w:val="00AF3B82"/>
    <w:rsid w:val="00B12E95"/>
    <w:rsid w:val="00B22876"/>
    <w:rsid w:val="00B558F0"/>
    <w:rsid w:val="00BD0DC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9FF"/>
    <w:rsid w:val="00F5134D"/>
    <w:rsid w:val="00F62DB1"/>
    <w:rsid w:val="00F74202"/>
    <w:rsid w:val="00F87713"/>
    <w:rsid w:val="00FB4360"/>
    <w:rsid w:val="00FD0C70"/>
  </w:rsids>
  <w:docVars>
    <w:docVar w:name="dvdocse" w:val="A10-0116/2026"/>
    <w:docVar w:name="dvlangue" w:val="LV"/>
    <w:docVar w:name="dvnumam" w:val="0"/>
    <w:docVar w:name="dvpe" w:val="786.694"/>
    <w:docVar w:name="dvrapporteur" w:val="Referents: "/>
    <w:docVar w:name="dvtitre" w:val="Eiropas Parlamenta 2026. gada XX. XXX lēmums par pieprasījumu atcelt Tomasz Buczek imunitāti(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6446E2"/>
  <w15:chartTrackingRefBased/>
  <w15:docId w15:val="{7BC23AFE-3EB5-414F-8F3E-F8AA670CB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4613A"/>
    <w:rPr>
      <w:b/>
    </w:rPr>
  </w:style>
  <w:style w:type="paragraph" w:customStyle="1" w:styleId="NormalHanging12a">
    <w:name w:val="NormalHanging12a"/>
    <w:basedOn w:val="Normal"/>
    <w:rsid w:val="0064613A"/>
    <w:pPr>
      <w:spacing w:after="240"/>
      <w:ind w:left="567" w:hanging="567"/>
    </w:pPr>
  </w:style>
  <w:style w:type="paragraph" w:customStyle="1" w:styleId="EPComma">
    <w:name w:val="EPComma"/>
    <w:basedOn w:val="Normal"/>
    <w:rsid w:val="0064613A"/>
    <w:pPr>
      <w:spacing w:before="480" w:after="240"/>
    </w:pPr>
  </w:style>
  <w:style w:type="paragraph" w:styleId="Revision">
    <w:name w:val="Revision"/>
    <w:hidden/>
    <w:uiPriority w:val="99"/>
    <w:semiHidden/>
    <w:rsid w:val="007E57BD"/>
    <w:rPr>
      <w:sz w:val="24"/>
      <w:lang w:val="lv-LV"/>
    </w:rPr>
  </w:style>
  <w:style w:type="character" w:styleId="CommentReference">
    <w:name w:val="annotation reference"/>
    <w:basedOn w:val="DefaultParagraphFont"/>
    <w:rsid w:val="007E57BD"/>
    <w:rPr>
      <w:sz w:val="16"/>
      <w:szCs w:val="16"/>
    </w:rPr>
  </w:style>
  <w:style w:type="paragraph" w:styleId="CommentText">
    <w:name w:val="annotation text"/>
    <w:basedOn w:val="Normal"/>
    <w:link w:val="CommentTextChar"/>
    <w:rsid w:val="007E57BD"/>
    <w:rPr>
      <w:sz w:val="20"/>
    </w:rPr>
  </w:style>
  <w:style w:type="character" w:customStyle="1" w:styleId="CommentTextChar">
    <w:name w:val="Comment Text Char"/>
    <w:basedOn w:val="DefaultParagraphFont"/>
    <w:link w:val="CommentText"/>
    <w:rsid w:val="007E57BD"/>
    <w:rPr>
      <w:lang w:val="lv-LV"/>
    </w:rPr>
  </w:style>
  <w:style w:type="paragraph" w:styleId="CommentSubject">
    <w:name w:val="annotation subject"/>
    <w:basedOn w:val="CommentText"/>
    <w:next w:val="CommentText"/>
    <w:link w:val="CommentSubjectChar"/>
    <w:rsid w:val="007E57BD"/>
    <w:rPr>
      <w:b/>
      <w:bCs/>
    </w:rPr>
  </w:style>
  <w:style w:type="character" w:customStyle="1" w:styleId="CommentSubjectChar">
    <w:name w:val="Comment Subject Char"/>
    <w:basedOn w:val="CommentTextChar"/>
    <w:link w:val="CommentSubject"/>
    <w:rsid w:val="007E57B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650</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2026-06-05T08:50:00Z</dcterms:created>
  <dcterms:modified xsi:type="dcterms:W3CDTF">2026-06-05T08:50:00Z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A10-0116/2026</vt:lpwstr>
  </property>
  <property fmtid="{D5CDD505-2E9C-101B-9397-08002B2CF9AE}" pid="4" name="&lt;Type&gt;">
    <vt:lpwstr>RR</vt:lpwstr>
  </property>
</Properties>
</file>