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4D1D5A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7D7E" w:rsidP="0010095E" w14:paraId="4BDF2082" w14:textId="77777777">
            <w:pPr>
              <w:pStyle w:val="EPName"/>
            </w:pPr>
            <w:r w:rsidRPr="00EA7D7E">
              <w:t>Parlament Ewropew</w:t>
            </w:r>
          </w:p>
          <w:p w:rsidR="00751A4A" w:rsidRPr="00EA7D7E" w:rsidP="005F1B17" w14:paraId="49EF01C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7D7E">
              <w:t>2024</w:t>
            </w:r>
            <w:r w:rsidRPr="00EA7D7E" w:rsidR="00817416">
              <w:t>-202</w:t>
            </w:r>
            <w:r w:rsidRPr="00EA7D7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A7D7E" w:rsidP="0010095E" w14:paraId="712508DC" w14:textId="77777777">
            <w:pPr>
              <w:pStyle w:val="EPLogo"/>
            </w:pPr>
            <w:r w:rsidRPr="00EA7D7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7D7E" w:rsidP="004C5D52" w14:paraId="70FD8F7A" w14:textId="77777777">
      <w:pPr>
        <w:pStyle w:val="LineTop"/>
      </w:pPr>
    </w:p>
    <w:p w:rsidR="00680577" w:rsidRPr="00EA7D7E" w:rsidP="00680577" w14:paraId="4A761D2D" w14:textId="77777777">
      <w:pPr>
        <w:pStyle w:val="EPBodyTA1"/>
      </w:pPr>
      <w:r w:rsidRPr="00EA7D7E">
        <w:t>TESTI ADOTTATI</w:t>
      </w:r>
    </w:p>
    <w:p w:rsidR="00D058B8" w:rsidRPr="00EA7D7E" w:rsidP="00D058B8" w14:paraId="304A29E1" w14:textId="77777777">
      <w:pPr>
        <w:pStyle w:val="LineBottom"/>
      </w:pPr>
    </w:p>
    <w:p w:rsidR="00E75D56" w:rsidRPr="00EA7D7E" w:rsidP="00E75D56" w14:paraId="2835711C" w14:textId="383CD39E">
      <w:pPr>
        <w:pStyle w:val="ATHeading1"/>
      </w:pPr>
      <w:bookmarkStart w:id="0" w:name="TANumber"/>
      <w:r w:rsidRPr="00EA7D7E">
        <w:t>P10_TA(2026)0</w:t>
      </w:r>
      <w:bookmarkEnd w:id="0"/>
      <w:r w:rsidR="00C60C8A">
        <w:t>107</w:t>
      </w:r>
    </w:p>
    <w:p w:rsidR="00E75D56" w:rsidRPr="00EA7D7E" w:rsidP="00E75D56" w14:paraId="254106E1" w14:textId="06BDCE13">
      <w:pPr>
        <w:pStyle w:val="ATHeading2"/>
      </w:pPr>
      <w:r>
        <w:t>T</w:t>
      </w:r>
      <w:r w:rsidRPr="00EA7D7E">
        <w:t>alba għat-tneħħija tal-immunità ta’ Tomasz Buczek</w:t>
      </w:r>
    </w:p>
    <w:p w:rsidR="00E75D56" w:rsidRPr="00EA7D7E" w:rsidP="00E75D56" w14:paraId="4AB1B90F" w14:textId="77777777">
      <w:pPr>
        <w:rPr>
          <w:i/>
          <w:vanish/>
        </w:rPr>
      </w:pPr>
      <w:r>
        <w:rPr>
          <w:i/>
        </w:rPr>
        <w:fldChar w:fldCharType="begin"/>
      </w:r>
      <w:r w:rsidRPr="00EA7D7E">
        <w:rPr>
          <w:i/>
        </w:rPr>
        <w:instrText xml:space="preserve"> TC"(</w:instrText>
      </w:r>
      <w:bookmarkStart w:id="1" w:name="DocNumber"/>
      <w:r w:rsidRPr="00EA7D7E">
        <w:rPr>
          <w:i/>
        </w:rPr>
        <w:instrText>A10-0116/2026</w:instrText>
      </w:r>
      <w:bookmarkEnd w:id="1"/>
      <w:r w:rsidRPr="00EA7D7E">
        <w:rPr>
          <w:i/>
        </w:rPr>
        <w:instrText xml:space="preserve"> - </w:instrText>
      </w:r>
      <w:r w:rsidRPr="00EA7D7E">
        <w:rPr>
          <w:i/>
        </w:rPr>
        <w:instrText>Rapporteur</w:instrText>
      </w:r>
      <w:r w:rsidRPr="00EA7D7E">
        <w:rPr>
          <w:i/>
        </w:rPr>
        <w:instrText xml:space="preserve">: David Cormand)"\l3 \n&gt; \* MERGEFORMAT </w:instrText>
      </w:r>
      <w:r>
        <w:rPr>
          <w:i/>
        </w:rPr>
        <w:fldChar w:fldCharType="end"/>
      </w:r>
    </w:p>
    <w:p w:rsidR="00E75D56" w:rsidRPr="00EA7D7E" w:rsidP="00E75D56" w14:paraId="1F154DB1" w14:textId="77777777">
      <w:pPr>
        <w:rPr>
          <w:vanish/>
        </w:rPr>
      </w:pPr>
      <w:bookmarkStart w:id="2" w:name="Commission"/>
      <w:r w:rsidRPr="00EA7D7E">
        <w:rPr>
          <w:vanish/>
        </w:rPr>
        <w:t>Dokument ta’ sessjoni</w:t>
      </w:r>
      <w:bookmarkEnd w:id="2"/>
    </w:p>
    <w:p w:rsidR="00E75D56" w:rsidRPr="00EA7D7E" w:rsidP="00E75D56" w14:paraId="0F523F98" w14:textId="77777777">
      <w:pPr>
        <w:rPr>
          <w:vanish/>
        </w:rPr>
      </w:pPr>
      <w:bookmarkStart w:id="3" w:name="PE"/>
      <w:r w:rsidRPr="00EA7D7E">
        <w:rPr>
          <w:vanish/>
        </w:rPr>
        <w:t>PE786.694</w:t>
      </w:r>
      <w:bookmarkEnd w:id="3"/>
    </w:p>
    <w:p w:rsidR="00E75D56" w:rsidRPr="00EA7D7E" w:rsidP="00E75D56" w14:paraId="615E57D9" w14:textId="2147B6E1">
      <w:pPr>
        <w:pStyle w:val="ATHeading3"/>
      </w:pPr>
      <w:bookmarkStart w:id="4" w:name="Sujet"/>
      <w:r>
        <w:t>Deċiż</w:t>
      </w:r>
      <w:r w:rsidRPr="00EA7D7E">
        <w:t xml:space="preserve">joni tal-Parlament Ewropew </w:t>
      </w:r>
      <w:r>
        <w:t xml:space="preserve">tat-28 ta’ April </w:t>
      </w:r>
      <w:r w:rsidRPr="00EA7D7E">
        <w:t>2026 dwar it-talba għat-tneħħija tal-immunità ta’ Tomasz Buczek</w:t>
      </w:r>
      <w:bookmarkEnd w:id="4"/>
      <w:r w:rsidRPr="00EA7D7E">
        <w:t xml:space="preserve"> </w:t>
      </w:r>
      <w:bookmarkStart w:id="5" w:name="References"/>
      <w:r w:rsidRPr="00EA7D7E">
        <w:t>(2025/21</w:t>
      </w:r>
      <w:r>
        <w:t>93</w:t>
      </w:r>
      <w:r w:rsidRPr="00EA7D7E">
        <w:t>(IMM))</w:t>
      </w:r>
      <w:bookmarkEnd w:id="5"/>
    </w:p>
    <w:p w:rsidR="00A46836" w:rsidRPr="00EA7D7E" w:rsidP="00A46836" w14:paraId="1F77F848" w14:textId="77777777">
      <w:pPr>
        <w:pStyle w:val="EPComma"/>
      </w:pPr>
      <w:bookmarkStart w:id="6" w:name="TextBodyBegin"/>
      <w:bookmarkEnd w:id="6"/>
      <w:r w:rsidRPr="00EA7D7E">
        <w:rPr>
          <w:i/>
        </w:rPr>
        <w:t>Il-Parlament Ewropew</w:t>
      </w:r>
      <w:r w:rsidRPr="00EA7D7E">
        <w:t>,</w:t>
      </w:r>
    </w:p>
    <w:p w:rsidR="00A46836" w:rsidRPr="00EA7D7E" w:rsidP="00A46836" w14:paraId="587CA418" w14:textId="6BA7A9A3">
      <w:pPr>
        <w:pStyle w:val="NormalHanging12a"/>
      </w:pPr>
      <w:r w:rsidRPr="00EA7D7E">
        <w:t>–</w:t>
      </w:r>
      <w:r w:rsidRPr="00EA7D7E">
        <w:tab/>
        <w:t xml:space="preserve">wara li kkunsidra t-talba għat-tneħħija tal-immunità ta’ Tomasz Buczek, imressqa mill-Qorti Distrettwali ta’ </w:t>
      </w:r>
      <w:r w:rsidRPr="00EA7D7E">
        <w:t>Tarnobrzeg</w:t>
      </w:r>
      <w:r w:rsidRPr="00EA7D7E">
        <w:t xml:space="preserve">, it-Tieni Awla Kriminali, </w:t>
      </w:r>
      <w:r w:rsidRPr="004A0D86" w:rsidR="004A0D86">
        <w:t>permezz ta</w:t>
      </w:r>
      <w:r w:rsidR="004A0D86">
        <w:t>l-</w:t>
      </w:r>
      <w:r w:rsidRPr="004A0D86" w:rsidR="004A0D86">
        <w:t xml:space="preserve">ittra </w:t>
      </w:r>
      <w:r w:rsidR="004A0D86">
        <w:t>ta</w:t>
      </w:r>
      <w:r w:rsidRPr="004A0D86" w:rsidR="004A0D86">
        <w:t>t-12 ta' Settembru 2025,</w:t>
      </w:r>
      <w:r w:rsidR="004A0D86">
        <w:t xml:space="preserve"> </w:t>
      </w:r>
      <w:r w:rsidRPr="00EA7D7E">
        <w:t xml:space="preserve">b’rabta mal-proċedimenti kriminali mressqa kontrih permezz ta’ att ta’ akkuża privat ippreżentat mir-rappreżentant legali </w:t>
      </w:r>
      <w:r w:rsidRPr="004A0D86" w:rsidR="004A0D86">
        <w:t xml:space="preserve">tal-prosekutur privat </w:t>
      </w:r>
      <w:r w:rsidRPr="00EA7D7E">
        <w:t>u mħabbra fis-seduta plenarja fis-6 ta’ Ottubru 2025,</w:t>
      </w:r>
    </w:p>
    <w:p w:rsidR="00A46836" w:rsidRPr="00EA7D7E" w:rsidP="00A46836" w14:paraId="40B00090" w14:textId="67FC2AB1">
      <w:pPr>
        <w:pStyle w:val="NormalHanging12a"/>
      </w:pPr>
      <w:r w:rsidRPr="00EA7D7E">
        <w:t>–</w:t>
      </w:r>
      <w:r w:rsidRPr="00EA7D7E">
        <w:tab/>
        <w:t>wara li sema’ lil Tomasz Buczek fit-23 ta’ Marzu 2026 u wara li kkunsidra d-dokumenti mressqa minnu</w:t>
      </w:r>
      <w:r w:rsidRPr="004A0D86" w:rsidR="004A0D86">
        <w:t>, skont ir-Regola 9(6) tar-Regoli ta' Proċedura tiegħu</w:t>
      </w:r>
      <w:r w:rsidR="005F7501">
        <w:t>,</w:t>
      </w:r>
    </w:p>
    <w:p w:rsidR="00A46836" w:rsidRPr="00EA7D7E" w:rsidP="00A46836" w14:paraId="3B1277F8" w14:textId="77777777">
      <w:pPr>
        <w:pStyle w:val="NormalHanging12a"/>
      </w:pPr>
      <w:r w:rsidRPr="00EA7D7E">
        <w:t>–</w:t>
      </w:r>
      <w:r w:rsidRPr="00EA7D7E">
        <w:tab/>
        <w:t>wara li kkunsidra l-Artikoli 8 u 9 tal-Protokoll Nru 7 dwar il-Privileġġi u l-Immunitajiet tal-Unjoni Ewropea kif ukoll l-Artikolu 6(2) tal-Att dwar l-elezzjoni tal-Membri tal-Parlament Ewropew b’suffraġju universali dirett, tal-20 ta’ Settembru 1976,</w:t>
      </w:r>
    </w:p>
    <w:p w:rsidR="00A46836" w:rsidRPr="00EA7D7E" w:rsidP="00A46836" w14:paraId="4E912EE6" w14:textId="77777777">
      <w:pPr>
        <w:pStyle w:val="NormalHanging12a"/>
      </w:pPr>
      <w:r w:rsidRPr="00EA7D7E">
        <w:t>–</w:t>
      </w:r>
      <w:r w:rsidRPr="00EA7D7E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>
        <w:rPr>
          <w:vertAlign w:val="superscript"/>
        </w:rPr>
        <w:footnoteReference w:id="2"/>
      </w:r>
      <w:r w:rsidRPr="00EA7D7E">
        <w:t>,</w:t>
      </w:r>
    </w:p>
    <w:p w:rsidR="00A46836" w:rsidRPr="00EA7D7E" w:rsidP="00A46836" w14:paraId="32C1042C" w14:textId="77777777">
      <w:pPr>
        <w:pStyle w:val="NormalHanging12a"/>
      </w:pPr>
      <w:r w:rsidRPr="00EA7D7E">
        <w:t>–</w:t>
      </w:r>
      <w:r w:rsidRPr="00EA7D7E">
        <w:tab/>
        <w:t>wara li kkunsidra l-Artikolu 105(2) u (5) tal-Kostituzzjoni tar-Repubblika tal-Polonja,</w:t>
      </w:r>
    </w:p>
    <w:p w:rsidR="00A46836" w:rsidRPr="00EA7D7E" w:rsidP="00A46836" w14:paraId="31C9E4ED" w14:textId="77777777">
      <w:pPr>
        <w:pStyle w:val="NormalHanging12a"/>
      </w:pPr>
      <w:r w:rsidRPr="00EA7D7E">
        <w:t>–</w:t>
      </w:r>
      <w:r w:rsidRPr="00EA7D7E">
        <w:tab/>
        <w:t>wara li kkunsidra l-Artikoli 5(2) u 6(1) u l-Artikolu 9 tar-Regoli ta’ Proċedura tiegħu,</w:t>
      </w:r>
    </w:p>
    <w:p w:rsidR="00A46836" w:rsidRPr="00EA7D7E" w:rsidP="00A46836" w14:paraId="296022E1" w14:textId="77777777">
      <w:pPr>
        <w:pStyle w:val="NormalHanging12a"/>
      </w:pPr>
      <w:r w:rsidRPr="00EA7D7E">
        <w:t>–</w:t>
      </w:r>
      <w:r w:rsidRPr="00EA7D7E">
        <w:tab/>
        <w:t>wara li kkunsidra r-rapport tal-Kumitat għall-Affarijiet Legali (A10-0116/2026),</w:t>
      </w:r>
    </w:p>
    <w:p w:rsidR="00B97E23" w:rsidP="00A46836" w14:paraId="6484A1B3" w14:textId="77777777">
      <w:pPr>
        <w:pStyle w:val="NormalHanging12a"/>
      </w:pPr>
      <w:r w:rsidRPr="00EA7D7E">
        <w:t>A.</w:t>
      </w:r>
      <w:r w:rsidRPr="00EA7D7E">
        <w:tab/>
        <w:t>billi</w:t>
      </w:r>
      <w:r w:rsidR="00ED12EA">
        <w:t>,</w:t>
      </w:r>
      <w:r w:rsidRPr="00EA7D7E">
        <w:t xml:space="preserve"> permezz ta’ ittra tat-12 ta’ Settembru 2025, il-Qorti Distrettwali ta’ </w:t>
      </w:r>
      <w:r w:rsidRPr="00EA7D7E">
        <w:t>Tarnobrzeg</w:t>
      </w:r>
      <w:r w:rsidRPr="00EA7D7E">
        <w:t xml:space="preserve">, it-Taqsima Kriminali II, </w:t>
      </w:r>
      <w:r w:rsidR="00ED12EA">
        <w:t xml:space="preserve">ressqet </w:t>
      </w:r>
      <w:r w:rsidRPr="00EA7D7E">
        <w:t>talba għat-tneħħija tal-immunità ta’ Tomasz Buczek</w:t>
      </w:r>
      <w:r w:rsidR="00ED12EA">
        <w:t>,</w:t>
      </w:r>
      <w:r w:rsidRPr="00EA7D7E">
        <w:t xml:space="preserve"> </w:t>
      </w:r>
      <w:r w:rsidRPr="00ED12EA" w:rsidR="00ED12EA">
        <w:t xml:space="preserve">Membru tal-Parlament Ewropew elett fil-Polonja, </w:t>
      </w:r>
      <w:r w:rsidRPr="00EA7D7E">
        <w:t xml:space="preserve">b’rabta ma’ att ta’ akkuża privat </w:t>
      </w:r>
      <w:r w:rsidR="00ED12EA">
        <w:t>i</w:t>
      </w:r>
      <w:r w:rsidRPr="00EA7D7E">
        <w:t>mressaq kontrih għal allegat reat skont l-Artikolu 217(1) tal-Kodiċi Kriminali Pollakk;</w:t>
      </w:r>
    </w:p>
    <w:p w:rsidR="00A46836" w:rsidRPr="00EA7D7E" w:rsidP="00A46836" w14:paraId="3400CE4A" w14:textId="3073C621">
      <w:pPr>
        <w:pStyle w:val="NormalHanging12a"/>
      </w:pPr>
      <w:r w:rsidRPr="00EA7D7E">
        <w:t>B.</w:t>
      </w:r>
      <w:r w:rsidRPr="00EA7D7E">
        <w:tab/>
        <w:t>billi, skont it-talba għat-tneħħija tal-immunità, fil-21 ta’ Settembru 2024 saret dimostrazzjoni elettorali f’</w:t>
      </w:r>
      <w:r w:rsidRPr="00EA7D7E">
        <w:t>Tarnobrzeg</w:t>
      </w:r>
      <w:r w:rsidRPr="00EA7D7E">
        <w:t xml:space="preserve"> fil-preżenza ta’ Tomasz Buczek; billi </w:t>
      </w:r>
      <w:r w:rsidR="00ED12EA">
        <w:t>l-prosekutur</w:t>
      </w:r>
      <w:r w:rsidRPr="00EA7D7E">
        <w:t xml:space="preserve"> privat ħadet sehem fil-laqgħa msemmija iktar ’il fuq, b’mod partikolari billi esprimiet l-opinjoni tagħha dwar suġġetti politiċi, inklużi l-attivitajiet ta’ Tomasz Buczek; billi, skont it-talba, Tomasz Buczek ħataf il-</w:t>
      </w:r>
      <w:r w:rsidRPr="00EA7D7E">
        <w:t>megafonu</w:t>
      </w:r>
      <w:r w:rsidRPr="00EA7D7E">
        <w:t xml:space="preserve"> żgħir li </w:t>
      </w:r>
      <w:r w:rsidR="00ED12EA">
        <w:t>l-prosekutur</w:t>
      </w:r>
      <w:r w:rsidRPr="00EA7D7E">
        <w:t xml:space="preserve"> privata żammet f’idejha biex </w:t>
      </w:r>
      <w:r w:rsidRPr="00EA7D7E">
        <w:t>tinstema</w:t>
      </w:r>
      <w:r w:rsidRPr="00EA7D7E">
        <w:t xml:space="preserve">’ u </w:t>
      </w:r>
      <w:r w:rsidR="00ED12EA">
        <w:t>billi dak</w:t>
      </w:r>
      <w:r w:rsidRPr="00EA7D7E">
        <w:t xml:space="preserve"> </w:t>
      </w:r>
      <w:r w:rsidR="00ED12EA">
        <w:t>i</w:t>
      </w:r>
      <w:r w:rsidRPr="00EA7D7E">
        <w:t xml:space="preserve">l-ġest kien </w:t>
      </w:r>
      <w:r w:rsidRPr="00ED12EA" w:rsidR="00ED12EA">
        <w:t xml:space="preserve">allegatament </w:t>
      </w:r>
      <w:r w:rsidRPr="00EA7D7E">
        <w:t>vjolenti tant li l-</w:t>
      </w:r>
      <w:r w:rsidRPr="00EA7D7E">
        <w:t>megafonu</w:t>
      </w:r>
      <w:r w:rsidRPr="00EA7D7E">
        <w:t xml:space="preserve"> ma baqax jaħdem;</w:t>
      </w:r>
    </w:p>
    <w:p w:rsidR="00A46836" w:rsidRPr="00EA7D7E" w:rsidP="00A46836" w14:paraId="1DF6BC89" w14:textId="61294C0A">
      <w:pPr>
        <w:pStyle w:val="NormalHanging12a"/>
      </w:pPr>
      <w:r w:rsidRPr="00EA7D7E">
        <w:t>C.</w:t>
      </w:r>
      <w:r w:rsidRPr="00EA7D7E">
        <w:tab/>
        <w:t xml:space="preserve">billi l-ġest ta’ Tomasz Buczek </w:t>
      </w:r>
      <w:r w:rsidRPr="00714AA2" w:rsidR="00714AA2">
        <w:t>allegatament</w:t>
      </w:r>
      <w:r w:rsidRPr="00EA7D7E">
        <w:t xml:space="preserve"> jikkostitwixxi reat kontra l-integrità fiżika, kif imsemmi fl-Artikolu 217(1) tal-Kodiċi Kriminali Pollakk;</w:t>
      </w:r>
    </w:p>
    <w:p w:rsidR="00A46836" w:rsidRPr="00EA7D7E" w:rsidP="00A46836" w14:paraId="1DAB8A78" w14:textId="3D51E6D8">
      <w:pPr>
        <w:pStyle w:val="NormalHanging12a"/>
      </w:pPr>
      <w:r w:rsidRPr="00EA7D7E">
        <w:t>D.</w:t>
      </w:r>
      <w:r w:rsidRPr="00EA7D7E">
        <w:tab/>
        <w:t>billi Tomasz Buczek ġie elett fil-Parlament Ewropew fl-elezzjonijiet Ewropej ta’ Ġunju 2024 u kien</w:t>
      </w:r>
      <w:r w:rsidRPr="00714AA2" w:rsidR="00714AA2">
        <w:t>, għaldaqstant,</w:t>
      </w:r>
      <w:r w:rsidRPr="00EA7D7E">
        <w:t xml:space="preserve"> Membru tal-Parlament Ewropew fiż-żmien meta twettaq l-allegat reat;</w:t>
      </w:r>
    </w:p>
    <w:p w:rsidR="00A46836" w:rsidRPr="00EA7D7E" w:rsidP="00A46836" w14:paraId="58EBE7FF" w14:textId="0DBA561D">
      <w:pPr>
        <w:pStyle w:val="NormalHanging12a"/>
      </w:pPr>
      <w:r w:rsidRPr="00EA7D7E">
        <w:t>E.</w:t>
      </w:r>
      <w:r w:rsidRPr="00EA7D7E">
        <w:tab/>
        <w:t xml:space="preserve">billi l-allegat reat </w:t>
      </w:r>
      <w:r w:rsidRPr="00714AA2" w:rsidR="00714AA2">
        <w:t xml:space="preserve">ma </w:t>
      </w:r>
      <w:r w:rsidRPr="00714AA2" w:rsidR="00714AA2">
        <w:t>jikkostitwixxix</w:t>
      </w:r>
      <w:r w:rsidRPr="00714AA2" w:rsidR="00714AA2">
        <w:t xml:space="preserve">, </w:t>
      </w:r>
      <w:r w:rsidRPr="00EA7D7E">
        <w:t xml:space="preserve">u t-talba sussegwenti għat-tneħħija tal-immunità </w:t>
      </w:r>
      <w:r w:rsidRPr="00714AA2" w:rsidR="00714AA2">
        <w:t xml:space="preserve">ta’ Tomasz Buczek mhijiex relatata </w:t>
      </w:r>
      <w:r w:rsidRPr="00EA7D7E">
        <w:t>ma’</w:t>
      </w:r>
      <w:r w:rsidR="00714AA2">
        <w:t>,</w:t>
      </w:r>
      <w:r w:rsidRPr="00EA7D7E">
        <w:t xml:space="preserve"> opinjoni espressa jew ma’ vot mitfugħ minn</w:t>
      </w:r>
      <w:r w:rsidR="00937417">
        <w:t>u</w:t>
      </w:r>
      <w:r w:rsidRPr="00EA7D7E">
        <w:t xml:space="preserve"> fil-qadi ta’ dmirijietu skont it-tifsira tal-Artikolu 8 tal-Protokoll Nru 7 dwar il-Privileġġi u l-Immunitajiet tal-Unjoni Ewropea;</w:t>
      </w:r>
    </w:p>
    <w:p w:rsidR="00A46836" w:rsidRPr="00EA7D7E" w:rsidP="00A46836" w14:paraId="6D3009A2" w14:textId="0EC45563">
      <w:pPr>
        <w:pStyle w:val="NormalHanging12a"/>
      </w:pPr>
      <w:r w:rsidRPr="00EA7D7E">
        <w:t>F.</w:t>
      </w:r>
      <w:r w:rsidRPr="00EA7D7E">
        <w:tab/>
        <w:t>billi l-Artikolu 9, l-ewwel paragrafu, il-punt (a)</w:t>
      </w:r>
      <w:r w:rsidR="00BC0C0B">
        <w:t>,</w:t>
      </w:r>
      <w:r w:rsidRPr="00EA7D7E">
        <w:t xml:space="preserve"> tal-Protokoll Nru 7 dwar il-Privileġġi u l-Immunitajiet tal-Unjoni Ewropea jipprevedi li</w:t>
      </w:r>
      <w:r w:rsidRPr="00BC0C0B" w:rsidR="00BC0C0B">
        <w:t xml:space="preserve">, waqt is-sessjonijiet tal-Parlament Ewropew, </w:t>
      </w:r>
      <w:r w:rsidR="00BC0C0B">
        <w:t>i</w:t>
      </w:r>
      <w:r w:rsidRPr="00EA7D7E">
        <w:t xml:space="preserve">l-Membri </w:t>
      </w:r>
      <w:r w:rsidRPr="00BC0C0B" w:rsidR="00BC0C0B">
        <w:t xml:space="preserve">tiegħu għandhom </w:t>
      </w:r>
      <w:r w:rsidRPr="00EA7D7E">
        <w:t xml:space="preserve">igawdu fit-territorju tal-Istat </w:t>
      </w:r>
      <w:r w:rsidR="00BC0C0B">
        <w:t xml:space="preserve">Membru </w:t>
      </w:r>
      <w:r w:rsidRPr="00EA7D7E">
        <w:t>tagħhom stess, l-</w:t>
      </w:r>
      <w:r w:rsidRPr="00EA7D7E">
        <w:t>immunitajiet</w:t>
      </w:r>
      <w:r w:rsidRPr="00EA7D7E">
        <w:t xml:space="preserve"> mogħtija lill-</w:t>
      </w:r>
      <w:r w:rsidR="00BC0C0B">
        <w:t>m</w:t>
      </w:r>
      <w:r w:rsidRPr="00EA7D7E">
        <w:t>embri tal-</w:t>
      </w:r>
      <w:r w:rsidR="00BC0C0B">
        <w:t>p</w:t>
      </w:r>
      <w:r w:rsidRPr="00EA7D7E">
        <w:t xml:space="preserve">arlament </w:t>
      </w:r>
      <w:r w:rsidRPr="00BC0C0B" w:rsidR="00BC0C0B">
        <w:t>tal-Istat Membru tagħhom</w:t>
      </w:r>
      <w:r w:rsidR="00BC0C0B">
        <w:t>;</w:t>
      </w:r>
    </w:p>
    <w:p w:rsidR="00A46836" w:rsidRPr="00EA7D7E" w:rsidP="00A46836" w14:paraId="66EE908C" w14:textId="1D0C7B14">
      <w:pPr>
        <w:pStyle w:val="NormalHanging12a"/>
      </w:pPr>
      <w:r w:rsidRPr="00EA7D7E">
        <w:t>G.</w:t>
      </w:r>
      <w:r w:rsidRPr="00EA7D7E">
        <w:tab/>
        <w:t>billi, skont l-Artikolu 105(2) u (5) tal-Kostituzzjoni</w:t>
      </w:r>
      <w:r w:rsidR="00BC0C0B">
        <w:t xml:space="preserve"> tar-Repubblika tal-Polonja</w:t>
      </w:r>
      <w:r w:rsidRPr="00EA7D7E">
        <w:t xml:space="preserve">, mill-jum li fih jitħabbru r-riżultati tal-elezzjonijiet sal-jum tal-iskadenza tal-mandat tiegħu, deputat ma jistax ikun soġġett għal responsabbiltà kriminali mingħajr l-approvazzjoni </w:t>
      </w:r>
      <w:r w:rsidRPr="00EA7D7E">
        <w:t>tas-Sejm</w:t>
      </w:r>
      <w:r w:rsidRPr="00EA7D7E">
        <w:t xml:space="preserve">, u la jista’ jiġi detenut u lanqas arrestat mingħajr l-approvazzjoni </w:t>
      </w:r>
      <w:r w:rsidRPr="00EA7D7E">
        <w:t>tas-Sejm</w:t>
      </w:r>
      <w:r w:rsidRPr="00EA7D7E">
        <w:t>, għajr f’każijiet meta jkun inqabad iwettaq reat u fejn id-detenzjoni tiegħu tkun meħtieġa biex jiġi żgurat l-andament xieraq tal-proċedimenti;</w:t>
      </w:r>
    </w:p>
    <w:p w:rsidR="00A46836" w:rsidRPr="00EA7D7E" w:rsidP="00A46836" w14:paraId="692C3F12" w14:textId="77777777">
      <w:pPr>
        <w:pStyle w:val="NormalHanging12a"/>
      </w:pPr>
      <w:r w:rsidRPr="00EA7D7E">
        <w:t>H.</w:t>
      </w:r>
      <w:r w:rsidRPr="00EA7D7E"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:rsidR="00A46836" w:rsidRPr="00EA7D7E" w:rsidP="00A46836" w14:paraId="617C8B2D" w14:textId="02DA6604">
      <w:pPr>
        <w:pStyle w:val="NormalHanging12a"/>
      </w:pPr>
      <w:r w:rsidRPr="00EA7D7E">
        <w:t>I.</w:t>
      </w:r>
      <w:r w:rsidRPr="00EA7D7E">
        <w:tab/>
        <w:t xml:space="preserve">billi l-għan tal-immunità </w:t>
      </w:r>
      <w:r w:rsidRPr="00BC0C0B" w:rsidR="00BC0C0B">
        <w:t>prevista fil-Protokoll Nru 7 dwar il-Privileġġi u l-Immunitajiet tal-Unjoni Ewropea</w:t>
      </w:r>
      <w:r w:rsidRPr="00EA7D7E">
        <w:t xml:space="preserve"> huwa li tipproteġi lill-Parlament u lill-Membri tiegħu minn proċedimenti ġudizzjarji relatati ma’ attivitajiet imwettqa fil-qadi tad-dmirijiet parlamentari u li huma </w:t>
      </w:r>
      <w:r w:rsidRPr="00EA7D7E">
        <w:t>inseparabbli</w:t>
      </w:r>
      <w:r w:rsidRPr="00EA7D7E">
        <w:t xml:space="preserve"> minn dawn l-attivitajiet;</w:t>
      </w:r>
    </w:p>
    <w:p w:rsidR="00A46836" w:rsidRPr="00EA7D7E" w:rsidP="00A46836" w14:paraId="01F41DEF" w14:textId="0F886054">
      <w:pPr>
        <w:pStyle w:val="NormalHanging12a"/>
      </w:pPr>
      <w:r w:rsidRPr="00EA7D7E">
        <w:t>J.</w:t>
      </w:r>
      <w:r w:rsidRPr="00EA7D7E">
        <w:tab/>
        <w:t xml:space="preserve">billi, f’dan il-każ, il-Parlament ma sab l-ebda evidenza ta’ </w:t>
      </w:r>
      <w:r w:rsidRPr="00EA7D7E">
        <w:rPr>
          <w:i/>
        </w:rPr>
        <w:t>fumus</w:t>
      </w:r>
      <w:r w:rsidRPr="00EA7D7E">
        <w:rPr>
          <w:i/>
        </w:rPr>
        <w:t xml:space="preserve"> </w:t>
      </w:r>
      <w:r w:rsidRPr="00EA7D7E">
        <w:rPr>
          <w:i/>
        </w:rPr>
        <w:t>persecutionis</w:t>
      </w:r>
      <w:r w:rsidRPr="00EA7D7E">
        <w:t xml:space="preserve">, jiġifieri </w:t>
      </w:r>
      <w:r w:rsidRPr="008730D7" w:rsidR="008730D7">
        <w:t xml:space="preserve">ma jidhirx li l-intenzjoni </w:t>
      </w:r>
      <w:r w:rsidR="008730D7">
        <w:t>li jimminaw</w:t>
      </w:r>
      <w:r w:rsidRPr="008730D7" w:rsidR="008730D7">
        <w:t xml:space="preserve"> għall-proċedimenti legali inkwistjoni hija li tagħmel ħsara lill-attività politika ta’ Tomasz Buczek bħala Membru tal-Parlament Ewropew u, b’hekk, lill-indipendenza tal-Parlament;</w:t>
      </w:r>
    </w:p>
    <w:p w:rsidR="00A46836" w:rsidRPr="00EA7D7E" w:rsidP="00A46836" w14:paraId="0D2D1279" w14:textId="7DE424D2">
      <w:pPr>
        <w:pStyle w:val="NormalHanging12a"/>
      </w:pPr>
      <w:r w:rsidRPr="00EA7D7E">
        <w:t>K.</w:t>
      </w:r>
      <w:r w:rsidRPr="00EA7D7E">
        <w:tab/>
        <w:t>billi, minn naħa, il-Parlament ma jistax jitqies bħala qorti u, il-Membru ma jistax, fil-kuntest ta’ proċedura għat-tneħħija tal-immunità, jitqies bħala “akkużat”</w:t>
      </w:r>
      <w:r>
        <w:rPr>
          <w:vertAlign w:val="superscript"/>
        </w:rPr>
        <w:footnoteReference w:id="3"/>
      </w:r>
      <w:r w:rsidRPr="00EA7D7E">
        <w:t>;</w:t>
      </w:r>
    </w:p>
    <w:p w:rsidR="00A46836" w:rsidRPr="00EA7D7E" w:rsidP="00A46836" w14:paraId="152A6BBA" w14:textId="77777777">
      <w:pPr>
        <w:pStyle w:val="NormalHanging12a"/>
      </w:pPr>
      <w:r w:rsidRPr="00EA7D7E">
        <w:t>1.</w:t>
      </w:r>
      <w:r w:rsidRPr="00EA7D7E">
        <w:tab/>
        <w:t>Jiddeċiedi li jneħħi l-immunità ta’ Tomasz Buczek;</w:t>
      </w:r>
    </w:p>
    <w:p w:rsidR="00E365E1" w:rsidRPr="00EA7D7E" w:rsidP="00C60C8A" w14:paraId="06ADB057" w14:textId="0FFF869C">
      <w:pPr>
        <w:ind w:left="567" w:hanging="567"/>
      </w:pPr>
      <w:r w:rsidRPr="00EA7D7E">
        <w:t>2.</w:t>
      </w:r>
      <w:r w:rsidRPr="00EA7D7E">
        <w:tab/>
        <w:t>Jagħti istruzzjonijiet lill-President tiegħu biex tgħaddi minnufih din id-deċiżjoni u r-rapport tal-kumitat responsabbli tiegħu lill-awtorità kompetenti tal-Polonja u lil Tomasz Buczek.</w:t>
      </w:r>
    </w:p>
    <w:sectPr w:rsidSect="00EA7D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7D7E" w14:paraId="10FAA7A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7D7E" w14:paraId="1D7B0A5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7D7E" w14:paraId="5E14749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75D56" w:rsidRPr="00EA7D7E" w14:paraId="33112839" w14:textId="77777777">
      <w:r w:rsidRPr="00EA7D7E">
        <w:separator/>
      </w:r>
    </w:p>
  </w:footnote>
  <w:footnote w:type="continuationSeparator" w:id="1">
    <w:p w:rsidR="00E75D56" w:rsidRPr="00EA7D7E" w14:paraId="39BF8888" w14:textId="77777777">
      <w:r w:rsidRPr="00EA7D7E">
        <w:continuationSeparator/>
      </w:r>
    </w:p>
  </w:footnote>
  <w:footnote w:id="2">
    <w:p w:rsidR="00A46836" w:rsidRPr="00EA7D7E" w:rsidP="00EA7D7E" w14:paraId="43ED606B" w14:textId="3BC78F3A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EA7D7E">
        <w:rPr>
          <w:rStyle w:val="FootnoteReference"/>
          <w:sz w:val="24"/>
          <w:lang w:val="mt-MT"/>
        </w:rPr>
        <w:footnoteRef/>
      </w:r>
      <w:r w:rsidRPr="00EA7D7E" w:rsidR="00EA7D7E">
        <w:rPr>
          <w:sz w:val="24"/>
          <w:lang w:val="mt-MT"/>
        </w:rPr>
        <w:t xml:space="preserve"> </w:t>
      </w:r>
      <w:r w:rsidRPr="00EA7D7E" w:rsidR="00EA7D7E">
        <w:rPr>
          <w:sz w:val="24"/>
          <w:lang w:val="mt-MT"/>
        </w:rPr>
        <w:tab/>
      </w:r>
      <w:r w:rsidRPr="00EA7D7E">
        <w:rPr>
          <w:sz w:val="24"/>
          <w:lang w:val="mt-MT"/>
        </w:rPr>
        <w:t xml:space="preserve">Sentenza tal-Qorti tal-Ġustizzja tal-21 ta’ Ottubru 2008, </w:t>
      </w:r>
      <w:r w:rsidRPr="004A0D86">
        <w:rPr>
          <w:i/>
          <w:iCs/>
          <w:sz w:val="24"/>
          <w:lang w:val="mt-MT"/>
        </w:rPr>
        <w:t>Marra</w:t>
      </w:r>
      <w:r w:rsidRPr="004A0D86">
        <w:rPr>
          <w:i/>
          <w:iCs/>
          <w:sz w:val="24"/>
          <w:lang w:val="mt-MT"/>
        </w:rPr>
        <w:t xml:space="preserve"> </w:t>
      </w:r>
      <w:r w:rsidRPr="004A0D86">
        <w:rPr>
          <w:i/>
          <w:iCs/>
          <w:sz w:val="24"/>
          <w:lang w:val="mt-MT"/>
        </w:rPr>
        <w:t>vs</w:t>
      </w:r>
      <w:r w:rsidRPr="004A0D86">
        <w:rPr>
          <w:i/>
          <w:iCs/>
          <w:sz w:val="24"/>
          <w:lang w:val="mt-MT"/>
        </w:rPr>
        <w:t xml:space="preserve"> De </w:t>
      </w:r>
      <w:r w:rsidRPr="004A0D86">
        <w:rPr>
          <w:i/>
          <w:iCs/>
          <w:sz w:val="24"/>
          <w:lang w:val="mt-MT"/>
        </w:rPr>
        <w:t>Gregorio</w:t>
      </w:r>
      <w:r w:rsidRPr="004A0D86">
        <w:rPr>
          <w:i/>
          <w:iCs/>
          <w:sz w:val="24"/>
          <w:lang w:val="mt-MT"/>
        </w:rPr>
        <w:t xml:space="preserve"> u </w:t>
      </w:r>
      <w:r w:rsidRPr="004A0D86">
        <w:rPr>
          <w:i/>
          <w:iCs/>
          <w:sz w:val="24"/>
          <w:lang w:val="mt-MT"/>
        </w:rPr>
        <w:t>Clemente</w:t>
      </w:r>
      <w:r w:rsidRPr="00EA7D7E">
        <w:rPr>
          <w:sz w:val="24"/>
          <w:lang w:val="mt-MT"/>
        </w:rPr>
        <w:t xml:space="preserve">, C-200/07 u C-201/07, ECLI:EU:C:2008:579; Sentenza tal-Qorti Ġenerali tad-19 ta’ Marzu 2010, </w:t>
      </w:r>
      <w:r w:rsidRPr="004A0D86">
        <w:rPr>
          <w:i/>
          <w:iCs/>
          <w:sz w:val="24"/>
          <w:lang w:val="mt-MT"/>
        </w:rPr>
        <w:t>Gollnisch</w:t>
      </w:r>
      <w:r w:rsidRPr="004A0D86">
        <w:rPr>
          <w:i/>
          <w:iCs/>
          <w:sz w:val="24"/>
          <w:lang w:val="mt-MT"/>
        </w:rPr>
        <w:t xml:space="preserve"> </w:t>
      </w:r>
      <w:r w:rsidRPr="004A0D86">
        <w:rPr>
          <w:i/>
          <w:iCs/>
          <w:sz w:val="24"/>
          <w:lang w:val="mt-MT"/>
        </w:rPr>
        <w:t>vs</w:t>
      </w:r>
      <w:r w:rsidRPr="004A0D86">
        <w:rPr>
          <w:i/>
          <w:iCs/>
          <w:sz w:val="24"/>
          <w:lang w:val="mt-MT"/>
        </w:rPr>
        <w:t xml:space="preserve"> il-Parlament</w:t>
      </w:r>
      <w:r w:rsidRPr="00EA7D7E">
        <w:rPr>
          <w:sz w:val="24"/>
          <w:lang w:val="mt-MT"/>
        </w:rPr>
        <w:t xml:space="preserve">, T-42/05, ECLI:EU:T:2010:102; Sentenza tal-Qorti tal-Ġustizzja tas-6 ta’ Settembru 2011, </w:t>
      </w:r>
      <w:r w:rsidRPr="004A0D86">
        <w:rPr>
          <w:i/>
          <w:iCs/>
          <w:sz w:val="24"/>
          <w:lang w:val="mt-MT"/>
        </w:rPr>
        <w:t>Patriciello</w:t>
      </w:r>
      <w:r w:rsidRPr="00EA7D7E">
        <w:rPr>
          <w:sz w:val="24"/>
          <w:lang w:val="mt-MT"/>
        </w:rPr>
        <w:t xml:space="preserve">, C-163/10, ECLI: EU:C:2011:543; Sentenza tal-Qorti Ġenerali tas-17 ta’ Jannar 2013, </w:t>
      </w:r>
      <w:r w:rsidRPr="004A0D86">
        <w:rPr>
          <w:i/>
          <w:iCs/>
          <w:sz w:val="24"/>
          <w:lang w:val="mt-MT"/>
        </w:rPr>
        <w:t>Gollnisch</w:t>
      </w:r>
      <w:r w:rsidRPr="004A0D86">
        <w:rPr>
          <w:i/>
          <w:iCs/>
          <w:sz w:val="24"/>
          <w:lang w:val="mt-MT"/>
        </w:rPr>
        <w:t xml:space="preserve"> </w:t>
      </w:r>
      <w:r w:rsidRPr="004A0D86">
        <w:rPr>
          <w:i/>
          <w:iCs/>
          <w:sz w:val="24"/>
          <w:lang w:val="mt-MT"/>
        </w:rPr>
        <w:t>vs</w:t>
      </w:r>
      <w:r w:rsidRPr="004A0D86">
        <w:rPr>
          <w:i/>
          <w:iCs/>
          <w:sz w:val="24"/>
          <w:lang w:val="mt-MT"/>
        </w:rPr>
        <w:t xml:space="preserve"> il-Parlament</w:t>
      </w:r>
      <w:r w:rsidRPr="00EA7D7E">
        <w:rPr>
          <w:sz w:val="24"/>
          <w:lang w:val="mt-MT"/>
        </w:rPr>
        <w:t xml:space="preserve">, T-346/11 u T-347/11, ECLI:EU:T:2013:23. Sentenza tal-Qorti tal-Ġustizzja tad-19 ta’ Diċembru 2019, </w:t>
      </w:r>
      <w:r w:rsidRPr="004A0D86">
        <w:rPr>
          <w:i/>
          <w:iCs/>
          <w:sz w:val="24"/>
          <w:lang w:val="mt-MT"/>
        </w:rPr>
        <w:t>Junqueras</w:t>
      </w:r>
      <w:r w:rsidRPr="004A0D86">
        <w:rPr>
          <w:i/>
          <w:iCs/>
          <w:sz w:val="24"/>
          <w:lang w:val="mt-MT"/>
        </w:rPr>
        <w:t xml:space="preserve"> </w:t>
      </w:r>
      <w:r w:rsidRPr="004A0D86">
        <w:rPr>
          <w:i/>
          <w:iCs/>
          <w:sz w:val="24"/>
          <w:lang w:val="mt-MT"/>
        </w:rPr>
        <w:t>Vies</w:t>
      </w:r>
      <w:r w:rsidRPr="00EA7D7E">
        <w:rPr>
          <w:sz w:val="24"/>
          <w:lang w:val="mt-MT"/>
        </w:rPr>
        <w:t>, C-502/19, ECLI:EU:C:2019:1115.</w:t>
      </w:r>
    </w:p>
    <w:p w:rsidR="00A46836" w:rsidRPr="00EA7D7E" w:rsidP="00EA7D7E" w14:paraId="0498BD35" w14:textId="71CE85A0">
      <w:pPr>
        <w:pStyle w:val="FootnoteText"/>
        <w:ind w:left="567" w:hanging="567"/>
        <w:rPr>
          <w:sz w:val="24"/>
          <w:lang w:val="mt-MT"/>
        </w:rPr>
      </w:pPr>
      <w:r w:rsidRPr="00EA7D7E">
        <w:rPr>
          <w:sz w:val="24"/>
          <w:lang w:val="mt-MT"/>
        </w:rPr>
        <w:t xml:space="preserve"> </w:t>
      </w:r>
      <w:r w:rsidRPr="00EA7D7E">
        <w:rPr>
          <w:sz w:val="24"/>
          <w:lang w:val="mt-MT"/>
        </w:rPr>
        <w:tab/>
      </w:r>
    </w:p>
  </w:footnote>
  <w:footnote w:id="3">
    <w:p w:rsidR="00A46836" w:rsidRPr="00EA7D7E" w:rsidP="00EA7D7E" w14:paraId="729F4B41" w14:textId="001608A2">
      <w:pPr>
        <w:pStyle w:val="FootnoteText"/>
        <w:ind w:left="567" w:hanging="567"/>
        <w:rPr>
          <w:sz w:val="24"/>
          <w:lang w:val="mt-MT"/>
        </w:rPr>
      </w:pPr>
      <w:r w:rsidRPr="00EA7D7E">
        <w:rPr>
          <w:rStyle w:val="FootnoteReference"/>
          <w:sz w:val="24"/>
          <w:lang w:val="mt-MT"/>
        </w:rPr>
        <w:footnoteRef/>
      </w:r>
      <w:r w:rsidRPr="00EA7D7E" w:rsidR="00EA7D7E">
        <w:rPr>
          <w:sz w:val="24"/>
          <w:lang w:val="mt-MT"/>
        </w:rPr>
        <w:t xml:space="preserve"> </w:t>
      </w:r>
      <w:r w:rsidRPr="00EA7D7E" w:rsidR="00EA7D7E">
        <w:rPr>
          <w:sz w:val="24"/>
          <w:lang w:val="mt-MT"/>
        </w:rPr>
        <w:tab/>
      </w:r>
      <w:r w:rsidRPr="00EA7D7E">
        <w:rPr>
          <w:sz w:val="24"/>
          <w:lang w:val="mt-MT"/>
        </w:rPr>
        <w:t xml:space="preserve">Is-Sentenza tal-Qorti Ġenerali tat-30 ta’ April 2019, </w:t>
      </w:r>
      <w:r w:rsidRPr="00C60C8A">
        <w:rPr>
          <w:i/>
          <w:iCs/>
          <w:sz w:val="24"/>
          <w:lang w:val="mt-MT"/>
        </w:rPr>
        <w:t>Briois</w:t>
      </w:r>
      <w:r w:rsidRPr="00C60C8A">
        <w:rPr>
          <w:i/>
          <w:iCs/>
          <w:sz w:val="24"/>
          <w:lang w:val="mt-MT"/>
        </w:rPr>
        <w:t xml:space="preserve"> </w:t>
      </w:r>
      <w:r w:rsidRPr="00C60C8A">
        <w:rPr>
          <w:i/>
          <w:iCs/>
          <w:sz w:val="24"/>
          <w:lang w:val="mt-MT"/>
        </w:rPr>
        <w:t>vs</w:t>
      </w:r>
      <w:r w:rsidRPr="00C60C8A">
        <w:rPr>
          <w:i/>
          <w:iCs/>
          <w:sz w:val="24"/>
          <w:lang w:val="mt-MT"/>
        </w:rPr>
        <w:t xml:space="preserve"> il-Parlament</w:t>
      </w:r>
      <w:r w:rsidRPr="00EA7D7E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7D7E" w14:paraId="5E42C8E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7D7E" w14:paraId="7D48F50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A7D7E" w14:paraId="16FB705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6443075">
    <w:abstractNumId w:val="9"/>
  </w:num>
  <w:num w:numId="2" w16cid:durableId="437523843">
    <w:abstractNumId w:val="9"/>
  </w:num>
  <w:num w:numId="3" w16cid:durableId="399985588">
    <w:abstractNumId w:val="7"/>
  </w:num>
  <w:num w:numId="4" w16cid:durableId="731851827">
    <w:abstractNumId w:val="7"/>
  </w:num>
  <w:num w:numId="5" w16cid:durableId="1745565180">
    <w:abstractNumId w:val="6"/>
  </w:num>
  <w:num w:numId="6" w16cid:durableId="61874411">
    <w:abstractNumId w:val="6"/>
  </w:num>
  <w:num w:numId="7" w16cid:durableId="421026245">
    <w:abstractNumId w:val="5"/>
  </w:num>
  <w:num w:numId="8" w16cid:durableId="1036926359">
    <w:abstractNumId w:val="5"/>
  </w:num>
  <w:num w:numId="9" w16cid:durableId="2078016698">
    <w:abstractNumId w:val="4"/>
  </w:num>
  <w:num w:numId="10" w16cid:durableId="1338264041">
    <w:abstractNumId w:val="4"/>
  </w:num>
  <w:num w:numId="11" w16cid:durableId="229317459">
    <w:abstractNumId w:val="8"/>
  </w:num>
  <w:num w:numId="12" w16cid:durableId="1483234473">
    <w:abstractNumId w:val="8"/>
  </w:num>
  <w:num w:numId="13" w16cid:durableId="1115757538">
    <w:abstractNumId w:val="3"/>
  </w:num>
  <w:num w:numId="14" w16cid:durableId="100027222">
    <w:abstractNumId w:val="3"/>
  </w:num>
  <w:num w:numId="15" w16cid:durableId="1790512793">
    <w:abstractNumId w:val="2"/>
  </w:num>
  <w:num w:numId="16" w16cid:durableId="334456222">
    <w:abstractNumId w:val="2"/>
  </w:num>
  <w:num w:numId="17" w16cid:durableId="1426413834">
    <w:abstractNumId w:val="1"/>
  </w:num>
  <w:num w:numId="18" w16cid:durableId="1506360997">
    <w:abstractNumId w:val="1"/>
  </w:num>
  <w:num w:numId="19" w16cid:durableId="758258930">
    <w:abstractNumId w:val="0"/>
  </w:num>
  <w:num w:numId="20" w16cid:durableId="1251311264">
    <w:abstractNumId w:val="0"/>
  </w:num>
  <w:num w:numId="21" w16cid:durableId="742029767">
    <w:abstractNumId w:val="9"/>
  </w:num>
  <w:num w:numId="22" w16cid:durableId="1990939297">
    <w:abstractNumId w:val="7"/>
  </w:num>
  <w:num w:numId="23" w16cid:durableId="998389955">
    <w:abstractNumId w:val="6"/>
  </w:num>
  <w:num w:numId="24" w16cid:durableId="1005009450">
    <w:abstractNumId w:val="5"/>
  </w:num>
  <w:num w:numId="25" w16cid:durableId="408040133">
    <w:abstractNumId w:val="4"/>
  </w:num>
  <w:num w:numId="26" w16cid:durableId="1541673704">
    <w:abstractNumId w:val="8"/>
  </w:num>
  <w:num w:numId="27" w16cid:durableId="188569712">
    <w:abstractNumId w:val="3"/>
  </w:num>
  <w:num w:numId="28" w16cid:durableId="916861163">
    <w:abstractNumId w:val="2"/>
  </w:num>
  <w:num w:numId="29" w16cid:durableId="12391155">
    <w:abstractNumId w:val="1"/>
  </w:num>
  <w:num w:numId="30" w16cid:durableId="1963268697">
    <w:abstractNumId w:val="0"/>
  </w:num>
  <w:num w:numId="31" w16cid:durableId="1069379731">
    <w:abstractNumId w:val="9"/>
  </w:num>
  <w:num w:numId="32" w16cid:durableId="69079735">
    <w:abstractNumId w:val="7"/>
  </w:num>
  <w:num w:numId="33" w16cid:durableId="258636846">
    <w:abstractNumId w:val="6"/>
  </w:num>
  <w:num w:numId="34" w16cid:durableId="2082603467">
    <w:abstractNumId w:val="5"/>
  </w:num>
  <w:num w:numId="35" w16cid:durableId="798302045">
    <w:abstractNumId w:val="4"/>
  </w:num>
  <w:num w:numId="36" w16cid:durableId="106582558">
    <w:abstractNumId w:val="8"/>
  </w:num>
  <w:num w:numId="37" w16cid:durableId="693310169">
    <w:abstractNumId w:val="3"/>
  </w:num>
  <w:num w:numId="38" w16cid:durableId="474374010">
    <w:abstractNumId w:val="2"/>
  </w:num>
  <w:num w:numId="39" w16cid:durableId="1314875840">
    <w:abstractNumId w:val="1"/>
  </w:num>
  <w:num w:numId="40" w16cid:durableId="1162505695">
    <w:abstractNumId w:val="0"/>
  </w:num>
  <w:num w:numId="41" w16cid:durableId="1387027400">
    <w:abstractNumId w:val="10"/>
  </w:num>
  <w:num w:numId="42" w16cid:durableId="1508982948">
    <w:abstractNumId w:val="10"/>
  </w:num>
  <w:num w:numId="43" w16cid:durableId="1153520262">
    <w:abstractNumId w:val="10"/>
  </w:num>
  <w:num w:numId="44" w16cid:durableId="19539718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D56"/>
    <w:rsid w:val="00002272"/>
    <w:rsid w:val="00064002"/>
    <w:rsid w:val="000677B9"/>
    <w:rsid w:val="000831BA"/>
    <w:rsid w:val="000A42CC"/>
    <w:rsid w:val="000E7DD9"/>
    <w:rsid w:val="0010095E"/>
    <w:rsid w:val="00105BBE"/>
    <w:rsid w:val="00125B37"/>
    <w:rsid w:val="00187494"/>
    <w:rsid w:val="001A466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D8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501"/>
    <w:rsid w:val="006037C0"/>
    <w:rsid w:val="006631B6"/>
    <w:rsid w:val="00680577"/>
    <w:rsid w:val="006F74FA"/>
    <w:rsid w:val="00714AA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0D7"/>
    <w:rsid w:val="00881A7B"/>
    <w:rsid w:val="008840E5"/>
    <w:rsid w:val="00887B3E"/>
    <w:rsid w:val="008C2AC6"/>
    <w:rsid w:val="00930C23"/>
    <w:rsid w:val="0093193B"/>
    <w:rsid w:val="00937417"/>
    <w:rsid w:val="0095082C"/>
    <w:rsid w:val="009509D8"/>
    <w:rsid w:val="00950B64"/>
    <w:rsid w:val="00981893"/>
    <w:rsid w:val="00A1687D"/>
    <w:rsid w:val="00A43E52"/>
    <w:rsid w:val="00A4678D"/>
    <w:rsid w:val="00A46836"/>
    <w:rsid w:val="00A778C7"/>
    <w:rsid w:val="00AB441E"/>
    <w:rsid w:val="00AB6293"/>
    <w:rsid w:val="00AE0928"/>
    <w:rsid w:val="00AF3B82"/>
    <w:rsid w:val="00B12E95"/>
    <w:rsid w:val="00B22876"/>
    <w:rsid w:val="00B558F0"/>
    <w:rsid w:val="00B9537B"/>
    <w:rsid w:val="00B97E23"/>
    <w:rsid w:val="00BC0C0B"/>
    <w:rsid w:val="00BD48FE"/>
    <w:rsid w:val="00BD7BD8"/>
    <w:rsid w:val="00BE6ADC"/>
    <w:rsid w:val="00C05BFE"/>
    <w:rsid w:val="00C23CD4"/>
    <w:rsid w:val="00C60C8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D56"/>
    <w:rsid w:val="00E820A4"/>
    <w:rsid w:val="00EA7D7E"/>
    <w:rsid w:val="00EB006A"/>
    <w:rsid w:val="00EB4772"/>
    <w:rsid w:val="00ED12EA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16/2026"/>
    <w:docVar w:name="dvlangue" w:val="MT"/>
    <w:docVar w:name="dvnumam" w:val="0"/>
    <w:docVar w:name="dvpe" w:val="786.694"/>
    <w:docVar w:name="dvrapporteur" w:val="Rapporteur: "/>
    <w:docVar w:name="dvtitre" w:val="Riżoluzzjoni tal-Parlament Ewropew xx xx xxxx 2026 dwar it-talba għat-tneħħija tal-immunità ta’ Tomasz Buczek(2025/2156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FA14950"/>
  <w15:chartTrackingRefBased/>
  <w15:docId w15:val="{97CA8EE1-F23B-4A93-BD60-227401D4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46836"/>
    <w:pPr>
      <w:spacing w:after="240"/>
      <w:ind w:left="567" w:hanging="567"/>
    </w:pPr>
  </w:style>
  <w:style w:type="paragraph" w:customStyle="1" w:styleId="EPComma">
    <w:name w:val="EPComma"/>
    <w:basedOn w:val="Normal"/>
    <w:rsid w:val="00A46836"/>
    <w:pPr>
      <w:spacing w:before="480" w:after="240"/>
    </w:pPr>
  </w:style>
  <w:style w:type="paragraph" w:styleId="Revision">
    <w:name w:val="Revision"/>
    <w:hidden/>
    <w:uiPriority w:val="99"/>
    <w:semiHidden/>
    <w:rsid w:val="004A0D86"/>
    <w:rPr>
      <w:sz w:val="24"/>
      <w:lang w:val="mt-MT"/>
    </w:rPr>
  </w:style>
  <w:style w:type="paragraph" w:styleId="HTMLPreformatted">
    <w:name w:val="HTML Preformatted"/>
    <w:basedOn w:val="Normal"/>
    <w:link w:val="HTMLPreformattedChar"/>
    <w:rsid w:val="004A0D86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4A0D86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649</Words>
  <Characters>4639</Characters>
  <Application>Microsoft Office Word</Application>
  <DocSecurity>0</DocSecurity>
  <Lines>165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2026-06-03T14:40:00Z</dcterms:created>
  <dcterms:modified xsi:type="dcterms:W3CDTF">2026-06-03T14:40:00Z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A10-0116/2026</vt:lpwstr>
  </property>
  <property fmtid="{D5CDD505-2E9C-101B-9397-08002B2CF9AE}" pid="4" name="&lt;Type&gt;">
    <vt:lpwstr>RR</vt:lpwstr>
  </property>
</Properties>
</file>