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53FB11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41F6" w:rsidP="0010095E" w14:paraId="0C8ABA97" w14:textId="77777777">
            <w:pPr>
              <w:pStyle w:val="EPName"/>
            </w:pPr>
            <w:r w:rsidRPr="008C41F6">
              <w:t xml:space="preserve">Parlamento </w:t>
            </w:r>
            <w:r w:rsidRPr="008C41F6">
              <w:t>Europeu</w:t>
            </w:r>
          </w:p>
          <w:p w:rsidR="00751A4A" w:rsidRPr="008C41F6" w:rsidP="005F1B17" w14:paraId="4124EB8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41F6">
              <w:t>2024</w:t>
            </w:r>
            <w:r w:rsidRPr="008C41F6" w:rsidR="00817416">
              <w:t>-202</w:t>
            </w:r>
            <w:r w:rsidRPr="008C41F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C41F6" w:rsidP="0010095E" w14:paraId="406B73A1" w14:textId="77777777">
            <w:pPr>
              <w:pStyle w:val="EPLogo"/>
            </w:pPr>
            <w:r w:rsidRPr="008C41F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41F6" w:rsidP="004C5D52" w14:paraId="2778C141" w14:textId="77777777">
      <w:pPr>
        <w:pStyle w:val="LineTop"/>
      </w:pPr>
    </w:p>
    <w:p w:rsidR="00680577" w:rsidRPr="008C41F6" w:rsidP="00680577" w14:paraId="5E9A99A0" w14:textId="77777777">
      <w:pPr>
        <w:pStyle w:val="EPBodyTA1"/>
      </w:pPr>
      <w:r w:rsidRPr="008C41F6">
        <w:t>TEXTOS APROVADOS</w:t>
      </w:r>
    </w:p>
    <w:p w:rsidR="00D058B8" w:rsidRPr="008C41F6" w:rsidP="00D058B8" w14:paraId="6C04861C" w14:textId="77777777">
      <w:pPr>
        <w:pStyle w:val="LineBottom"/>
      </w:pPr>
    </w:p>
    <w:p w:rsidR="00712F8E" w:rsidRPr="008C41F6" w:rsidP="00712F8E" w14:paraId="0499CB19" w14:textId="3BDE30BB">
      <w:pPr>
        <w:pStyle w:val="ATHeading1"/>
      </w:pPr>
      <w:bookmarkStart w:id="0" w:name="TANumber"/>
      <w:r w:rsidRPr="008C41F6">
        <w:t>P10_</w:t>
      </w:r>
      <w:r w:rsidRPr="008C41F6">
        <w:t>TA(</w:t>
      </w:r>
      <w:r w:rsidRPr="008C41F6">
        <w:t>2026)</w:t>
      </w:r>
      <w:bookmarkEnd w:id="0"/>
      <w:r w:rsidRPr="008C41F6" w:rsidR="008C41F6">
        <w:t>0</w:t>
      </w:r>
      <w:r w:rsidRPr="008C41F6" w:rsidR="008C41F6">
        <w:t>107</w:t>
      </w:r>
    </w:p>
    <w:p w:rsidR="00712F8E" w:rsidRPr="008C41F6" w:rsidP="00712F8E" w14:paraId="1B11395A" w14:textId="77777777">
      <w:pPr>
        <w:pStyle w:val="ATHeading2"/>
      </w:pPr>
      <w:bookmarkStart w:id="1" w:name="title"/>
      <w:r w:rsidRPr="008C41F6">
        <w:t xml:space="preserve">Pedido de levantamento da imunidade de Tomasz </w:t>
      </w:r>
      <w:r w:rsidRPr="008C41F6">
        <w:t>Buczek</w:t>
      </w:r>
      <w:bookmarkEnd w:id="1"/>
    </w:p>
    <w:p w:rsidR="00712F8E" w:rsidRPr="008C41F6" w:rsidP="00712F8E" w14:paraId="7ED1FF2B" w14:textId="77777777">
      <w:pPr>
        <w:rPr>
          <w:i/>
          <w:vanish/>
        </w:rPr>
      </w:pPr>
      <w:r>
        <w:rPr>
          <w:i/>
        </w:rPr>
        <w:fldChar w:fldCharType="begin"/>
      </w:r>
      <w:r w:rsidRPr="008C41F6">
        <w:rPr>
          <w:i/>
        </w:rPr>
        <w:instrText xml:space="preserve"> TC"(</w:instrText>
      </w:r>
      <w:bookmarkStart w:id="2" w:name="DocNumber"/>
      <w:r w:rsidRPr="008C41F6">
        <w:rPr>
          <w:i/>
        </w:rPr>
        <w:instrText>A10-0116/2026</w:instrText>
      </w:r>
      <w:bookmarkEnd w:id="2"/>
      <w:r w:rsidRPr="008C41F6">
        <w:rPr>
          <w:i/>
        </w:rPr>
        <w:instrText xml:space="preserve"> - Relator: David </w:instrText>
      </w:r>
      <w:r w:rsidRPr="008C41F6">
        <w:rPr>
          <w:i/>
        </w:rPr>
        <w:instrText>Cormand</w:instrText>
      </w:r>
      <w:r w:rsidRPr="008C41F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12F8E" w:rsidRPr="008C41F6" w:rsidP="00712F8E" w14:paraId="59370DC7" w14:textId="77777777">
      <w:pPr>
        <w:rPr>
          <w:vanish/>
        </w:rPr>
      </w:pPr>
      <w:bookmarkStart w:id="3" w:name="Commission"/>
      <w:r w:rsidRPr="008C41F6">
        <w:rPr>
          <w:vanish/>
        </w:rPr>
        <w:t>Comissão dos Assuntos Jurídicos</w:t>
      </w:r>
      <w:bookmarkEnd w:id="3"/>
    </w:p>
    <w:p w:rsidR="00712F8E" w:rsidRPr="008C41F6" w:rsidP="00712F8E" w14:paraId="3018808F" w14:textId="77777777">
      <w:pPr>
        <w:rPr>
          <w:vanish/>
        </w:rPr>
      </w:pPr>
      <w:bookmarkStart w:id="4" w:name="PE"/>
      <w:r w:rsidRPr="008C41F6">
        <w:rPr>
          <w:vanish/>
        </w:rPr>
        <w:t>PE786.694</w:t>
      </w:r>
      <w:bookmarkEnd w:id="4"/>
    </w:p>
    <w:p w:rsidR="00712F8E" w:rsidRPr="008C41F6" w:rsidP="00712F8E" w14:paraId="62AF728D" w14:textId="633B0508">
      <w:pPr>
        <w:pStyle w:val="ATHeading3"/>
      </w:pPr>
      <w:bookmarkStart w:id="5" w:name="Sujet"/>
      <w:r w:rsidRPr="008C41F6">
        <w:t xml:space="preserve">Decisão do Parlamento Europeu, de </w:t>
      </w:r>
      <w:r w:rsidRPr="008C41F6" w:rsidR="00416DDB">
        <w:t xml:space="preserve">28 </w:t>
      </w:r>
      <w:r w:rsidRPr="008C41F6">
        <w:t xml:space="preserve">de </w:t>
      </w:r>
      <w:r w:rsidRPr="008C41F6" w:rsidR="00416DDB">
        <w:t xml:space="preserve">abril </w:t>
      </w:r>
      <w:r w:rsidRPr="008C41F6">
        <w:t xml:space="preserve">de 2026, sobre o pedido de levantamento da imunidade de Tomasz </w:t>
      </w:r>
      <w:r w:rsidRPr="008C41F6">
        <w:t>Buczek</w:t>
      </w:r>
      <w:bookmarkEnd w:id="5"/>
      <w:r w:rsidRPr="008C41F6">
        <w:t xml:space="preserve"> </w:t>
      </w:r>
      <w:bookmarkStart w:id="6" w:name="References"/>
      <w:r w:rsidRPr="008C41F6">
        <w:t>(2025/2193(IMM))</w:t>
      </w:r>
      <w:bookmarkEnd w:id="6"/>
    </w:p>
    <w:p w:rsidR="008C197A" w:rsidRPr="008C41F6" w:rsidP="008C197A" w14:paraId="10B701E9" w14:textId="77777777">
      <w:pPr>
        <w:pStyle w:val="EPComma"/>
      </w:pPr>
      <w:bookmarkStart w:id="7" w:name="TextBodyBegin"/>
      <w:bookmarkEnd w:id="7"/>
      <w:r w:rsidRPr="008C41F6">
        <w:rPr>
          <w:i/>
          <w:iCs/>
        </w:rPr>
        <w:t>O Parlamento Europeu,</w:t>
      </w:r>
    </w:p>
    <w:p w:rsidR="008C197A" w:rsidRPr="008C41F6" w:rsidP="008C197A" w14:paraId="57D107EF" w14:textId="53816520">
      <w:pPr>
        <w:pStyle w:val="NormalHanging12a"/>
      </w:pPr>
      <w:r w:rsidRPr="008C41F6">
        <w:t>–</w:t>
      </w:r>
      <w:r w:rsidRPr="008C41F6">
        <w:tab/>
        <w:t xml:space="preserve">Tendo recebido um pedido de levantamento da imunidade de Tomasz </w:t>
      </w:r>
      <w:r w:rsidRPr="008C41F6">
        <w:t>Buczek</w:t>
      </w:r>
      <w:r w:rsidRPr="008C41F6">
        <w:t xml:space="preserve">, transmitido pelo Tribunal de Primeira Instância de </w:t>
      </w:r>
      <w:r w:rsidRPr="008C41F6">
        <w:t>Tarnobrzeg</w:t>
      </w:r>
      <w:r w:rsidRPr="008C41F6">
        <w:t xml:space="preserve">, Segunda Secção Penal, </w:t>
      </w:r>
      <w:r w:rsidRPr="008C41F6" w:rsidR="0086082F">
        <w:t xml:space="preserve">por carta de </w:t>
      </w:r>
      <w:r w:rsidRPr="008C41F6" w:rsidR="00416DDB">
        <w:t xml:space="preserve">12 de setembro de 2025, </w:t>
      </w:r>
      <w:r w:rsidRPr="008C41F6">
        <w:t>no âmbito de um</w:t>
      </w:r>
      <w:r w:rsidRPr="008C41F6" w:rsidR="002D4266">
        <w:t>a</w:t>
      </w:r>
      <w:r w:rsidRPr="008C41F6">
        <w:t xml:space="preserve"> </w:t>
      </w:r>
      <w:r w:rsidRPr="008C41F6" w:rsidR="002D4266">
        <w:t xml:space="preserve">ação </w:t>
      </w:r>
      <w:r w:rsidRPr="008C41F6">
        <w:t xml:space="preserve">penal contra ele intentado por acusação particular deduzida pelo representante legal da </w:t>
      </w:r>
      <w:r w:rsidRPr="008C41F6" w:rsidR="002D4266">
        <w:t xml:space="preserve">acusadora </w:t>
      </w:r>
      <w:r w:rsidRPr="008C41F6">
        <w:t xml:space="preserve">particular, </w:t>
      </w:r>
      <w:r w:rsidRPr="008C41F6" w:rsidR="00600298">
        <w:t>e</w:t>
      </w:r>
      <w:r w:rsidRPr="008C41F6">
        <w:t xml:space="preserve"> </w:t>
      </w:r>
      <w:r w:rsidRPr="008C41F6" w:rsidR="0008502F">
        <w:t>tendo o pedido sido anunciado</w:t>
      </w:r>
      <w:r w:rsidRPr="008C41F6">
        <w:t xml:space="preserve"> em sessão plenária em 6 de outubro de 2025,</w:t>
      </w:r>
    </w:p>
    <w:p w:rsidR="008C197A" w:rsidRPr="008C41F6" w:rsidP="008C197A" w14:paraId="092A2FD3" w14:textId="0CAED011">
      <w:pPr>
        <w:pStyle w:val="NormalHanging12a"/>
      </w:pPr>
      <w:r w:rsidRPr="008C41F6">
        <w:t>–</w:t>
      </w:r>
      <w:r w:rsidRPr="008C41F6">
        <w:tab/>
        <w:t xml:space="preserve">Tendo ouvido Tomasz </w:t>
      </w:r>
      <w:r w:rsidRPr="008C41F6">
        <w:t>Buczek</w:t>
      </w:r>
      <w:r w:rsidRPr="008C41F6">
        <w:t xml:space="preserve"> em 23 de março de 2026 e tendo em conta os documentos que foram por ele apresentados,</w:t>
      </w:r>
      <w:r w:rsidRPr="008C41F6" w:rsidR="005C1793">
        <w:t xml:space="preserve"> nos termos do artigo 9.º, n.º 6, do seu Regimento,</w:t>
      </w:r>
    </w:p>
    <w:p w:rsidR="008C197A" w:rsidRPr="008C41F6" w:rsidP="008C197A" w14:paraId="32795685" w14:textId="77777777">
      <w:pPr>
        <w:pStyle w:val="NormalHanging12a"/>
      </w:pPr>
      <w:r w:rsidRPr="008C41F6">
        <w:t>–</w:t>
      </w:r>
      <w:r w:rsidRPr="008C41F6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:rsidR="008C197A" w:rsidRPr="008C41F6" w:rsidP="008C197A" w14:paraId="73F8EDE0" w14:textId="11A3EEEE">
      <w:pPr>
        <w:pStyle w:val="NormalHanging12a"/>
      </w:pPr>
      <w:r w:rsidRPr="008C41F6">
        <w:t>–</w:t>
      </w:r>
      <w:r w:rsidRPr="008C41F6">
        <w:tab/>
        <w:t>Tendo em conta os acórdãos proferidos pelo Tribunal de Justiça da União Europeia em 21 de outubro de 2008, 19 de março de 2010, 6 de setembro de 2011, 17 de janeiro de</w:t>
      </w:r>
      <w:r w:rsidRPr="008C41F6" w:rsidR="00416DDB">
        <w:t> </w:t>
      </w:r>
      <w:r w:rsidRPr="008C41F6">
        <w:t>2013 e 19 de dezembro de 2019</w:t>
      </w:r>
      <w:r>
        <w:rPr>
          <w:vertAlign w:val="superscript"/>
        </w:rPr>
        <w:footnoteReference w:id="2"/>
      </w:r>
      <w:r w:rsidRPr="008C41F6">
        <w:t>,</w:t>
      </w:r>
    </w:p>
    <w:p w:rsidR="008C197A" w:rsidRPr="008C41F6" w:rsidP="008C197A" w14:paraId="2FCAA81B" w14:textId="77777777">
      <w:pPr>
        <w:pStyle w:val="NormalHanging12a"/>
      </w:pPr>
      <w:r w:rsidRPr="008C41F6">
        <w:t>–</w:t>
      </w:r>
      <w:r w:rsidRPr="008C41F6">
        <w:tab/>
        <w:t xml:space="preserve">Tendo em conta o artigo 105.º, </w:t>
      </w:r>
      <w:r w:rsidRPr="008C41F6">
        <w:t>n.</w:t>
      </w:r>
      <w:r w:rsidRPr="008C41F6">
        <w:rPr>
          <w:vertAlign w:val="superscript"/>
        </w:rPr>
        <w:t>os</w:t>
      </w:r>
      <w:r w:rsidRPr="008C41F6">
        <w:t xml:space="preserve"> 2 e 5, da Constituição da República da Polónia,</w:t>
      </w:r>
    </w:p>
    <w:p w:rsidR="008C197A" w:rsidRPr="008C41F6" w:rsidP="008C197A" w14:paraId="0C9FE5DC" w14:textId="77777777">
      <w:pPr>
        <w:pStyle w:val="NormalHanging12a"/>
      </w:pPr>
      <w:r w:rsidRPr="008C41F6">
        <w:t>–</w:t>
      </w:r>
      <w:r w:rsidRPr="008C41F6">
        <w:tab/>
        <w:t>Tendo em conta o artigo 5.º, n.º 2, o artigo 6.º, n.º 1, e o artigo 9.º do seu Regimento,</w:t>
      </w:r>
    </w:p>
    <w:p w:rsidR="008C197A" w:rsidRPr="008C41F6" w:rsidP="008C197A" w14:paraId="6D41D86D" w14:textId="77777777">
      <w:pPr>
        <w:pStyle w:val="NormalHanging12a"/>
      </w:pPr>
      <w:r w:rsidRPr="008C41F6">
        <w:t>–</w:t>
      </w:r>
      <w:r w:rsidRPr="008C41F6">
        <w:tab/>
        <w:t>Tendo em conta o relatório da Comissão dos Assuntos Jurídicos (A10</w:t>
      </w:r>
      <w:r w:rsidRPr="008C41F6">
        <w:noBreakHyphen/>
        <w:t>0116/2026),</w:t>
      </w:r>
    </w:p>
    <w:p w:rsidR="008C197A" w:rsidRPr="008C41F6" w:rsidP="008C197A" w14:paraId="1218AD95" w14:textId="2970CA42">
      <w:pPr>
        <w:pStyle w:val="NormalHanging12a"/>
      </w:pPr>
      <w:r w:rsidRPr="008C41F6">
        <w:t>A.</w:t>
      </w:r>
      <w:r w:rsidRPr="008C41F6">
        <w:tab/>
        <w:t xml:space="preserve">Considerando que, por carta de 12 de setembro de 2025, o Tribunal de Primeira Instância de </w:t>
      </w:r>
      <w:r w:rsidRPr="008C41F6">
        <w:t>Tarnobrzeg</w:t>
      </w:r>
      <w:r w:rsidRPr="008C41F6">
        <w:t xml:space="preserve">, Segunda Secção Penal, </w:t>
      </w:r>
      <w:r w:rsidRPr="008C41F6" w:rsidR="00600298">
        <w:t xml:space="preserve">apresentou </w:t>
      </w:r>
      <w:r w:rsidRPr="008C41F6">
        <w:t xml:space="preserve">um pedido de levantamento da imunidade de Tomasz </w:t>
      </w:r>
      <w:r w:rsidRPr="008C41F6">
        <w:t>Buczek</w:t>
      </w:r>
      <w:r w:rsidRPr="008C41F6" w:rsidR="00600298">
        <w:t xml:space="preserve">, </w:t>
      </w:r>
      <w:bookmarkStart w:id="8" w:name="_Hlk222405545"/>
      <w:r w:rsidRPr="008C41F6" w:rsidR="00600298">
        <w:t>deputado ao Parlamento Europeu eleito na Polónia</w:t>
      </w:r>
      <w:bookmarkEnd w:id="8"/>
      <w:r w:rsidRPr="008C41F6" w:rsidR="00600298">
        <w:t>,</w:t>
      </w:r>
      <w:r w:rsidRPr="008C41F6">
        <w:t xml:space="preserve"> no âmbito de uma acusação particular contra ele deduzida por alegado crime nos termos do artigo 217.º, n.º 1, do Código Penal polaco;</w:t>
      </w:r>
    </w:p>
    <w:p w:rsidR="008C197A" w:rsidRPr="008C41F6" w:rsidP="008C197A" w14:paraId="57C7FAD4" w14:textId="76E8F3BB">
      <w:pPr>
        <w:pStyle w:val="NormalHanging12a"/>
      </w:pPr>
      <w:r w:rsidRPr="008C41F6">
        <w:t>B.</w:t>
      </w:r>
      <w:r w:rsidRPr="008C41F6">
        <w:tab/>
        <w:t xml:space="preserve">Considerando que, segundo o pedido de levantamento da imunidade, em 21 de setembro de 2024, foi realizado um encontro eleitoral em </w:t>
      </w:r>
      <w:r w:rsidRPr="008C41F6">
        <w:t>Tarnobrzeg</w:t>
      </w:r>
      <w:r w:rsidRPr="008C41F6">
        <w:t xml:space="preserve">, no qual Tomasz </w:t>
      </w:r>
      <w:r w:rsidRPr="008C41F6">
        <w:t>Buczek</w:t>
      </w:r>
      <w:r w:rsidRPr="008C41F6">
        <w:t xml:space="preserve"> esteve presente; </w:t>
      </w:r>
      <w:r w:rsidRPr="008C41F6" w:rsidR="00600298">
        <w:t xml:space="preserve">considerando </w:t>
      </w:r>
      <w:r w:rsidRPr="008C41F6">
        <w:t xml:space="preserve">que a </w:t>
      </w:r>
      <w:r w:rsidRPr="008C41F6" w:rsidR="00A87F7C">
        <w:t xml:space="preserve">acusadora </w:t>
      </w:r>
      <w:r w:rsidRPr="008C41F6">
        <w:t xml:space="preserve">particular participou no referido encontro, mais especificamente exprimindo as suas opiniões sobre temas políticos, incluindo as atividades de Tomasz </w:t>
      </w:r>
      <w:r w:rsidRPr="008C41F6">
        <w:t>Buczek</w:t>
      </w:r>
      <w:r w:rsidRPr="008C41F6">
        <w:t xml:space="preserve">; </w:t>
      </w:r>
      <w:r w:rsidRPr="008C41F6" w:rsidR="00600298">
        <w:t xml:space="preserve">considerando </w:t>
      </w:r>
      <w:r w:rsidRPr="008C41F6">
        <w:t xml:space="preserve">que, segundo o pedido, Tomasz </w:t>
      </w:r>
      <w:r w:rsidRPr="008C41F6">
        <w:t>Buczek</w:t>
      </w:r>
      <w:r w:rsidRPr="008C41F6">
        <w:t xml:space="preserve"> terá arrancado o pequeno megafone que a </w:t>
      </w:r>
      <w:r w:rsidRPr="008C41F6" w:rsidR="00650311">
        <w:t xml:space="preserve">acusadora </w:t>
      </w:r>
      <w:r w:rsidRPr="008C41F6">
        <w:t xml:space="preserve">particular segurava nas mãos para se fazer ouvir, e </w:t>
      </w:r>
      <w:r w:rsidRPr="008C41F6" w:rsidR="00650311">
        <w:t xml:space="preserve">considerando </w:t>
      </w:r>
      <w:r w:rsidRPr="008C41F6">
        <w:t>que o gesto terá sido tão violento que o megafone deixou de funcionar;</w:t>
      </w:r>
    </w:p>
    <w:p w:rsidR="008C197A" w:rsidRPr="008C41F6" w:rsidP="008C197A" w14:paraId="2DEE7EB8" w14:textId="77777777">
      <w:pPr>
        <w:pStyle w:val="NormalHanging12a"/>
      </w:pPr>
      <w:r w:rsidRPr="008C41F6">
        <w:t>C.</w:t>
      </w:r>
      <w:r w:rsidRPr="008C41F6">
        <w:tab/>
        <w:t xml:space="preserve">Considerando que o gesto de Tomasz </w:t>
      </w:r>
      <w:r w:rsidRPr="008C41F6">
        <w:t>Buczek</w:t>
      </w:r>
      <w:r w:rsidRPr="008C41F6">
        <w:t xml:space="preserve"> teria os elementos constitutivos de ofensa à integridade física, crime definido no artigo 217.º, n.º 1, do Código Penal polaco;</w:t>
      </w:r>
    </w:p>
    <w:p w:rsidR="008C197A" w:rsidRPr="008C41F6" w:rsidP="008C197A" w14:paraId="31801B4E" w14:textId="0629325E">
      <w:pPr>
        <w:pStyle w:val="NormalHanging12a"/>
      </w:pPr>
      <w:r w:rsidRPr="008C41F6">
        <w:t>D.</w:t>
      </w:r>
      <w:r w:rsidRPr="008C41F6">
        <w:tab/>
        <w:t xml:space="preserve">Considerando que Tomasz </w:t>
      </w:r>
      <w:r w:rsidRPr="008C41F6">
        <w:t>Buczek</w:t>
      </w:r>
      <w:r w:rsidRPr="008C41F6">
        <w:t xml:space="preserve"> foi eleito para o Parlamento Europeu nas eleições europeias de junho de 2024 e que</w:t>
      </w:r>
      <w:r w:rsidRPr="008C41F6" w:rsidR="00650311">
        <w:t>, por conseguinte,</w:t>
      </w:r>
      <w:r w:rsidRPr="008C41F6">
        <w:t xml:space="preserve"> era deputado ao Parlamento Europeu no momento do alegado crime;</w:t>
      </w:r>
    </w:p>
    <w:p w:rsidR="008C197A" w:rsidRPr="008C41F6" w:rsidP="00DA4743" w14:paraId="1AA45D99" w14:textId="4B605C09">
      <w:pPr>
        <w:pStyle w:val="NormalHanging12a"/>
      </w:pPr>
      <w:r w:rsidRPr="008C41F6">
        <w:t>E.</w:t>
      </w:r>
      <w:r w:rsidRPr="008C41F6">
        <w:tab/>
        <w:t xml:space="preserve">Considerando que o alegado crime </w:t>
      </w:r>
      <w:r w:rsidRPr="008C41F6" w:rsidR="00DA4743">
        <w:t xml:space="preserve">não constitui uma opinião ou um voto emitido por Tomasz </w:t>
      </w:r>
      <w:r w:rsidRPr="008C41F6" w:rsidR="00DA4743">
        <w:t>Buczek</w:t>
      </w:r>
      <w:r w:rsidRPr="008C41F6" w:rsidR="00073B88">
        <w:t xml:space="preserve"> </w:t>
      </w:r>
      <w:r w:rsidRPr="008C41F6" w:rsidR="00DA4743">
        <w:t>no exercício das suas funções, na aceção do artigo 8.º do Protocolo n.º 7 relativo aos Privilégios e Imunidades da União Europeia, n</w:t>
      </w:r>
      <w:r w:rsidRPr="008C41F6">
        <w:t>e</w:t>
      </w:r>
      <w:r w:rsidRPr="008C41F6" w:rsidR="00DA4743">
        <w:t>m</w:t>
      </w:r>
      <w:r w:rsidRPr="008C41F6">
        <w:t xml:space="preserve"> o pedido </w:t>
      </w:r>
      <w:r w:rsidRPr="008C41F6" w:rsidR="00073B88">
        <w:t xml:space="preserve">subsequente </w:t>
      </w:r>
      <w:r w:rsidRPr="008C41F6">
        <w:t xml:space="preserve">de levantamento da imunidade </w:t>
      </w:r>
      <w:r w:rsidRPr="008C41F6" w:rsidR="00073B88">
        <w:t xml:space="preserve">de Tomasz </w:t>
      </w:r>
      <w:r w:rsidRPr="008C41F6" w:rsidR="00073B88">
        <w:t>Buczek</w:t>
      </w:r>
      <w:r w:rsidRPr="008C41F6" w:rsidR="00073B88">
        <w:t xml:space="preserve"> </w:t>
      </w:r>
      <w:r w:rsidRPr="008C41F6">
        <w:t xml:space="preserve">não </w:t>
      </w:r>
      <w:r w:rsidRPr="008C41F6" w:rsidR="00DA4743">
        <w:t xml:space="preserve">está </w:t>
      </w:r>
      <w:r w:rsidRPr="008C41F6">
        <w:t xml:space="preserve">relacionado com </w:t>
      </w:r>
      <w:r w:rsidRPr="008C41F6" w:rsidR="00DA4743">
        <w:t xml:space="preserve">tal opinião </w:t>
      </w:r>
      <w:r w:rsidRPr="008C41F6">
        <w:t>ou votos;</w:t>
      </w:r>
    </w:p>
    <w:p w:rsidR="008C197A" w:rsidRPr="008C41F6" w:rsidP="008C197A" w14:paraId="2EA77D64" w14:textId="63F69EDC">
      <w:pPr>
        <w:pStyle w:val="NormalHanging12a"/>
      </w:pPr>
      <w:r w:rsidRPr="008C41F6">
        <w:t>F.</w:t>
      </w:r>
      <w:r w:rsidRPr="008C41F6">
        <w:tab/>
        <w:t>Considerando que o artigo 9.º, primeiro parágrafo, alínea a), do Protocolo n.º 7 relativo aos Privilégios e Imunidades da União Europeia prevê que</w:t>
      </w:r>
      <w:r w:rsidRPr="008C41F6" w:rsidR="007A6665">
        <w:t>, durante as sessões do Parlamento Europeu,</w:t>
      </w:r>
      <w:r w:rsidRPr="008C41F6">
        <w:t xml:space="preserve"> os </w:t>
      </w:r>
      <w:r w:rsidRPr="008C41F6" w:rsidR="007A6665">
        <w:t xml:space="preserve">seus </w:t>
      </w:r>
      <w:r w:rsidRPr="008C41F6">
        <w:t xml:space="preserve">deputados beneficiem, no seu território nacional, das imunidades reconhecidas aos membros do </w:t>
      </w:r>
      <w:r w:rsidRPr="008C41F6" w:rsidR="007A6665">
        <w:t xml:space="preserve">Parlamento </w:t>
      </w:r>
      <w:r w:rsidRPr="008C41F6">
        <w:t xml:space="preserve">do seu </w:t>
      </w:r>
      <w:r w:rsidRPr="008C41F6" w:rsidR="007A6665">
        <w:t>Estado-Membro</w:t>
      </w:r>
      <w:r w:rsidRPr="008C41F6">
        <w:t>;</w:t>
      </w:r>
    </w:p>
    <w:p w:rsidR="008C197A" w:rsidRPr="008C41F6" w:rsidP="008C197A" w14:paraId="6A8231C1" w14:textId="2635584D">
      <w:pPr>
        <w:pStyle w:val="NormalHanging12a"/>
      </w:pPr>
      <w:r w:rsidRPr="008C41F6">
        <w:t>G.</w:t>
      </w:r>
      <w:r w:rsidRPr="008C41F6">
        <w:tab/>
        <w:t xml:space="preserve">Considerando que, em conformidade com o artigo 105.º, </w:t>
      </w:r>
      <w:r w:rsidRPr="008C41F6">
        <w:t>n.</w:t>
      </w:r>
      <w:r w:rsidRPr="008C41F6">
        <w:rPr>
          <w:vertAlign w:val="superscript"/>
        </w:rPr>
        <w:t>os</w:t>
      </w:r>
      <w:r w:rsidRPr="008C41F6">
        <w:t xml:space="preserve"> 2 e 5, da Constituição </w:t>
      </w:r>
      <w:r w:rsidRPr="008C41F6" w:rsidR="007A6665">
        <w:t>da República da Polónia</w:t>
      </w:r>
      <w:r w:rsidRPr="008C41F6">
        <w:t xml:space="preserve">, a partir da data da publicação dos resultados das eleições até à data do termo do seu mandato, um deputado não pode ser sujeito a responsabilidade penal sem o consentimento do </w:t>
      </w:r>
      <w:r w:rsidRPr="008C41F6" w:rsidR="007A6665">
        <w:rPr>
          <w:iCs/>
        </w:rPr>
        <w:t>Câmara Baixa do Parlamento polaco</w:t>
      </w:r>
      <w:r w:rsidRPr="008C41F6">
        <w:t xml:space="preserve"> e que apenas pode ser detido ou privado da sua liberdade com autorização </w:t>
      </w:r>
      <w:r w:rsidRPr="008C41F6" w:rsidR="001E70D5">
        <w:t xml:space="preserve">dessa </w:t>
      </w:r>
      <w:r w:rsidRPr="008C41F6" w:rsidR="001E70D5">
        <w:rPr>
          <w:iCs/>
        </w:rPr>
        <w:t>Câmara</w:t>
      </w:r>
      <w:r w:rsidRPr="008C41F6">
        <w:t>, exceto nos casos em que tenha sido detido em flagrante delito ou em que a sua detenção seja indispensável à boa tramitação do processo;</w:t>
      </w:r>
    </w:p>
    <w:p w:rsidR="008C197A" w:rsidRPr="008C41F6" w:rsidP="008C197A" w14:paraId="1FBB9D72" w14:textId="77777777">
      <w:pPr>
        <w:pStyle w:val="NormalHanging12a"/>
      </w:pPr>
      <w:r w:rsidRPr="008C41F6">
        <w:t>H.</w:t>
      </w:r>
      <w:r w:rsidRPr="008C41F6">
        <w:tab/>
        <w:t>Considerando que, nos termos do artigo 5.º, n.º 2, do seu Regimento, a imunidade parlamentar não é um privilégio pessoal dos deputados, mas, sim, uma garantia da independência do Parlamento como um todo, e dos seus membros;</w:t>
      </w:r>
    </w:p>
    <w:p w:rsidR="008C197A" w:rsidRPr="008C41F6" w:rsidP="008C197A" w14:paraId="7B93DA34" w14:textId="3153D122">
      <w:pPr>
        <w:pStyle w:val="NormalHanging12a"/>
      </w:pPr>
      <w:r w:rsidRPr="008C41F6">
        <w:t>I.</w:t>
      </w:r>
      <w:r w:rsidRPr="008C41F6">
        <w:tab/>
        <w:t>Considerando que o objetivo da imunidade parlamentar</w:t>
      </w:r>
      <w:r w:rsidRPr="008C41F6" w:rsidR="0086082F">
        <w:t xml:space="preserve"> prevista no Protocolo n.º 7 relativo aos Privilégios e Imunidades da União Europeia</w:t>
      </w:r>
      <w:r w:rsidRPr="008C41F6">
        <w:t xml:space="preserve"> </w:t>
      </w:r>
      <w:r w:rsidRPr="008C41F6" w:rsidR="0086082F">
        <w:t>é</w:t>
      </w:r>
      <w:r w:rsidRPr="008C41F6" w:rsidR="001E70D5">
        <w:t xml:space="preserve"> </w:t>
      </w:r>
      <w:r w:rsidRPr="008C41F6">
        <w:t xml:space="preserve">proteger o Parlamento e os seus deputados de processos judiciais relacionados com atividades realizadas no </w:t>
      </w:r>
      <w:r w:rsidRPr="008C41F6">
        <w:t>exercício das funções parlamentares e indissociáveis destas;</w:t>
      </w:r>
    </w:p>
    <w:p w:rsidR="008C197A" w:rsidRPr="008C41F6" w:rsidP="008C197A" w14:paraId="7226FB24" w14:textId="09EE4845">
      <w:pPr>
        <w:pStyle w:val="NormalHanging12a"/>
      </w:pPr>
      <w:r w:rsidRPr="008C41F6">
        <w:t>J.</w:t>
      </w:r>
      <w:r w:rsidRPr="008C41F6">
        <w:tab/>
        <w:t xml:space="preserve">Considerando que, no caso em apreço, o Parlamento não </w:t>
      </w:r>
      <w:r w:rsidRPr="008C41F6" w:rsidR="001E70D5">
        <w:t>encontr</w:t>
      </w:r>
      <w:r w:rsidRPr="008C41F6" w:rsidR="009B1595">
        <w:t>ou</w:t>
      </w:r>
      <w:r w:rsidRPr="008C41F6" w:rsidR="001E70D5">
        <w:t xml:space="preserve"> indícios</w:t>
      </w:r>
      <w:r w:rsidRPr="008C41F6">
        <w:t xml:space="preserve"> de </w:t>
      </w:r>
      <w:r w:rsidRPr="008C41F6">
        <w:rPr>
          <w:i/>
        </w:rPr>
        <w:t>fumus</w:t>
      </w:r>
      <w:r w:rsidRPr="008C41F6">
        <w:rPr>
          <w:i/>
        </w:rPr>
        <w:t> </w:t>
      </w:r>
      <w:r w:rsidRPr="008C41F6">
        <w:rPr>
          <w:i/>
        </w:rPr>
        <w:t>persecutionis</w:t>
      </w:r>
      <w:r w:rsidRPr="008C41F6">
        <w:t xml:space="preserve">, ou seja, </w:t>
      </w:r>
      <w:r w:rsidRPr="008C41F6" w:rsidR="001E70D5">
        <w:t xml:space="preserve">não parece que a intenção subjacente ao </w:t>
      </w:r>
      <w:r w:rsidRPr="008C41F6">
        <w:t xml:space="preserve">processo judicial em causa </w:t>
      </w:r>
      <w:r w:rsidRPr="008C41F6" w:rsidR="00C14938">
        <w:t xml:space="preserve">tenha sido </w:t>
      </w:r>
      <w:r w:rsidRPr="008C41F6">
        <w:t xml:space="preserve">a de prejudicar a atividade política de Tomasz </w:t>
      </w:r>
      <w:r w:rsidRPr="008C41F6">
        <w:t>Buczek</w:t>
      </w:r>
      <w:r w:rsidRPr="008C41F6">
        <w:t xml:space="preserve"> enquanto deputado ao Parlamento </w:t>
      </w:r>
      <w:bookmarkStart w:id="9" w:name="_Hlk228258546"/>
      <w:r w:rsidRPr="008C41F6">
        <w:t>Europeu</w:t>
      </w:r>
      <w:r w:rsidRPr="008C41F6" w:rsidR="00C14938">
        <w:t xml:space="preserve"> e, por conseguinte, a independência do Parlamento</w:t>
      </w:r>
      <w:bookmarkEnd w:id="9"/>
      <w:r w:rsidRPr="008C41F6">
        <w:t>;</w:t>
      </w:r>
    </w:p>
    <w:p w:rsidR="008C197A" w:rsidRPr="008C41F6" w:rsidP="008C197A" w14:paraId="5C7D96D4" w14:textId="68F9E808">
      <w:pPr>
        <w:pStyle w:val="NormalHanging12a"/>
      </w:pPr>
      <w:r w:rsidRPr="008C41F6">
        <w:t>K.</w:t>
      </w:r>
      <w:r w:rsidRPr="008C41F6">
        <w:tab/>
        <w:t>Considerando, por um lado, que o Parlamento não pode ser equiparado a um tribunal e que, por outro, o deputado, no contexto de um processo de levantamento da imunidade, não pode ser considerado arguido</w:t>
      </w:r>
      <w:r>
        <w:rPr>
          <w:vertAlign w:val="superscript"/>
        </w:rPr>
        <w:footnoteReference w:id="3"/>
      </w:r>
      <w:r w:rsidRPr="008C41F6">
        <w:t>;</w:t>
      </w:r>
    </w:p>
    <w:p w:rsidR="008C197A" w:rsidRPr="008C41F6" w:rsidP="008C197A" w14:paraId="59101B81" w14:textId="77777777">
      <w:pPr>
        <w:pStyle w:val="NormalHanging12a"/>
      </w:pPr>
      <w:r w:rsidRPr="008C41F6">
        <w:t>1.</w:t>
      </w:r>
      <w:r w:rsidRPr="008C41F6">
        <w:tab/>
        <w:t xml:space="preserve">Decide levantar a imunidade de Tomasz </w:t>
      </w:r>
      <w:r w:rsidRPr="008C41F6">
        <w:t>Buczek</w:t>
      </w:r>
      <w:r w:rsidRPr="008C41F6">
        <w:t>;</w:t>
      </w:r>
    </w:p>
    <w:p w:rsidR="001B1361" w:rsidRPr="008C41F6" w:rsidP="001B1361" w14:paraId="59FC118F" w14:textId="56476920">
      <w:pPr>
        <w:pStyle w:val="NormalHanging12a"/>
      </w:pPr>
      <w:r w:rsidRPr="008C41F6">
        <w:t>2.</w:t>
      </w:r>
      <w:r w:rsidRPr="008C41F6">
        <w:tab/>
        <w:t xml:space="preserve">Encarrega a sua Presidente de transmitir de imediato a presente decisão, bem como o relatório da sua comissão </w:t>
      </w:r>
      <w:r w:rsidRPr="008C41F6" w:rsidR="00416DDB">
        <w:t>competente</w:t>
      </w:r>
      <w:r w:rsidRPr="008C41F6">
        <w:t xml:space="preserve">, à autoridade competente da Polónia e a Tomasz </w:t>
      </w:r>
      <w:r w:rsidRPr="008C41F6">
        <w:t>Buczek</w:t>
      </w:r>
      <w:r w:rsidRPr="008C41F6">
        <w:t>.</w:t>
      </w:r>
    </w:p>
    <w:p w:rsidR="00E365E1" w:rsidRPr="008C41F6" w:rsidP="00712F8E" w14:paraId="2F863551" w14:textId="65939948"/>
    <w:sectPr w:rsidSect="001B13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1361" w14:paraId="7F743E4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1361" w14:paraId="31416D5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1361" w14:paraId="1D486C3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12F8E" w:rsidRPr="001B1361" w14:paraId="001A6F0D" w14:textId="77777777">
      <w:r w:rsidRPr="001B1361">
        <w:separator/>
      </w:r>
    </w:p>
  </w:footnote>
  <w:footnote w:type="continuationSeparator" w:id="1">
    <w:p w:rsidR="00712F8E" w:rsidRPr="001B1361" w14:paraId="06ECBDA0" w14:textId="77777777">
      <w:r w:rsidRPr="001B1361">
        <w:continuationSeparator/>
      </w:r>
    </w:p>
  </w:footnote>
  <w:footnote w:id="2">
    <w:p w:rsidR="008C197A" w:rsidRPr="001B1361" w:rsidP="001B1361" w14:paraId="6BA8D5D9" w14:textId="5DB89C19">
      <w:pPr>
        <w:pStyle w:val="FootnoteText"/>
        <w:ind w:left="567" w:hanging="567"/>
        <w:rPr>
          <w:sz w:val="24"/>
          <w:lang w:val="pt-PT"/>
        </w:rPr>
      </w:pPr>
      <w:r w:rsidRPr="001B1361">
        <w:rPr>
          <w:rStyle w:val="FootnoteReference"/>
          <w:sz w:val="24"/>
          <w:lang w:val="pt-PT"/>
        </w:rPr>
        <w:footnoteRef/>
      </w:r>
      <w:r w:rsidRPr="001B1361" w:rsidR="001B1361">
        <w:rPr>
          <w:sz w:val="24"/>
          <w:lang w:val="pt-PT"/>
        </w:rPr>
        <w:t xml:space="preserve"> </w:t>
      </w:r>
      <w:r w:rsidRPr="001B1361" w:rsidR="001B1361">
        <w:rPr>
          <w:sz w:val="24"/>
          <w:lang w:val="pt-PT"/>
        </w:rPr>
        <w:tab/>
      </w:r>
      <w:r w:rsidRPr="001B1361">
        <w:rPr>
          <w:sz w:val="24"/>
          <w:lang w:val="pt-PT"/>
        </w:rPr>
        <w:t xml:space="preserve">Acórdão do Tribunal de Justiça de 21 de outubro de 2008, Marra/De </w:t>
      </w:r>
      <w:r w:rsidRPr="001B1361">
        <w:rPr>
          <w:sz w:val="24"/>
          <w:lang w:val="pt-PT"/>
        </w:rPr>
        <w:t>Gregorio</w:t>
      </w:r>
      <w:r w:rsidRPr="001B1361">
        <w:rPr>
          <w:sz w:val="24"/>
          <w:lang w:val="pt-PT"/>
        </w:rPr>
        <w:t xml:space="preserve"> e Clemente, C</w:t>
      </w:r>
      <w:r w:rsidRPr="001B1361">
        <w:rPr>
          <w:sz w:val="24"/>
          <w:lang w:val="pt-PT"/>
        </w:rPr>
        <w:noBreakHyphen/>
        <w:t>200/07 e C</w:t>
      </w:r>
      <w:r w:rsidRPr="001B1361">
        <w:rPr>
          <w:sz w:val="24"/>
          <w:lang w:val="pt-PT"/>
        </w:rPr>
        <w:noBreakHyphen/>
        <w:t xml:space="preserve">201/07, ECLI:EU:C:2008:579; Acórdão do Tribunal Geral de 19 de março de 2010, </w:t>
      </w:r>
      <w:r w:rsidRPr="001B1361">
        <w:rPr>
          <w:sz w:val="24"/>
          <w:lang w:val="pt-PT"/>
        </w:rPr>
        <w:t>Gollnisch</w:t>
      </w:r>
      <w:r w:rsidRPr="001B1361">
        <w:rPr>
          <w:sz w:val="24"/>
          <w:lang w:val="pt-PT"/>
        </w:rPr>
        <w:t>/Parlamento Europeu, T</w:t>
      </w:r>
      <w:r w:rsidRPr="001B1361">
        <w:rPr>
          <w:sz w:val="24"/>
          <w:lang w:val="pt-PT"/>
        </w:rPr>
        <w:noBreakHyphen/>
        <w:t xml:space="preserve">42/06, ECLI:EU:T:2010:102; Acórdão do Tribunal de Justiça de 6 de setembro de 2011, </w:t>
      </w:r>
      <w:r w:rsidRPr="001B1361">
        <w:rPr>
          <w:sz w:val="24"/>
          <w:lang w:val="pt-PT"/>
        </w:rPr>
        <w:t>Patriciello</w:t>
      </w:r>
      <w:r w:rsidRPr="001B1361">
        <w:rPr>
          <w:sz w:val="24"/>
          <w:lang w:val="pt-PT"/>
        </w:rPr>
        <w:t>, C</w:t>
      </w:r>
      <w:r w:rsidRPr="001B1361">
        <w:rPr>
          <w:sz w:val="24"/>
          <w:lang w:val="pt-PT"/>
        </w:rPr>
        <w:noBreakHyphen/>
        <w:t xml:space="preserve">163/10, ECLI: EU:C:2011:543; Acórdão do Tribunal Geral de 17 de janeiro de 2013, </w:t>
      </w:r>
      <w:r w:rsidRPr="001B1361">
        <w:rPr>
          <w:sz w:val="24"/>
          <w:lang w:val="pt-PT"/>
        </w:rPr>
        <w:t>Gollnisch</w:t>
      </w:r>
      <w:r w:rsidRPr="001B1361">
        <w:rPr>
          <w:sz w:val="24"/>
          <w:lang w:val="pt-PT"/>
        </w:rPr>
        <w:t>/Parlamento Europeu, T</w:t>
      </w:r>
      <w:r w:rsidRPr="001B1361">
        <w:rPr>
          <w:sz w:val="24"/>
          <w:lang w:val="pt-PT"/>
        </w:rPr>
        <w:noBreakHyphen/>
        <w:t>346/11 e T</w:t>
      </w:r>
      <w:r w:rsidRPr="001B1361">
        <w:rPr>
          <w:sz w:val="24"/>
          <w:lang w:val="pt-PT"/>
        </w:rPr>
        <w:noBreakHyphen/>
        <w:t xml:space="preserve">347/11, ECLI:EU:T:2013:23; Acórdão do Tribunal de Justiça de 19 de dezembro de 2019, </w:t>
      </w:r>
      <w:r w:rsidRPr="001B1361">
        <w:rPr>
          <w:sz w:val="24"/>
          <w:lang w:val="pt-PT"/>
        </w:rPr>
        <w:t>Junqueras</w:t>
      </w:r>
      <w:r w:rsidRPr="001B1361">
        <w:rPr>
          <w:sz w:val="24"/>
          <w:lang w:val="pt-PT"/>
        </w:rPr>
        <w:t xml:space="preserve"> </w:t>
      </w:r>
      <w:r w:rsidRPr="001B1361">
        <w:rPr>
          <w:sz w:val="24"/>
          <w:lang w:val="pt-PT"/>
        </w:rPr>
        <w:t>Vies</w:t>
      </w:r>
      <w:r w:rsidRPr="001B1361">
        <w:rPr>
          <w:sz w:val="24"/>
          <w:lang w:val="pt-PT"/>
        </w:rPr>
        <w:t>, C</w:t>
      </w:r>
      <w:r w:rsidRPr="001B1361">
        <w:rPr>
          <w:sz w:val="24"/>
          <w:lang w:val="pt-PT"/>
        </w:rPr>
        <w:noBreakHyphen/>
        <w:t>502/19, ECLI:EU:C:2019:1115.</w:t>
      </w:r>
    </w:p>
  </w:footnote>
  <w:footnote w:id="3">
    <w:p w:rsidR="008C197A" w:rsidRPr="001B1361" w:rsidP="001B1361" w14:paraId="4720CB82" w14:textId="3264B979">
      <w:pPr>
        <w:pStyle w:val="FootnoteText"/>
        <w:ind w:left="567" w:hanging="567"/>
        <w:rPr>
          <w:sz w:val="24"/>
          <w:lang w:val="pt-PT"/>
        </w:rPr>
      </w:pPr>
      <w:r w:rsidRPr="001B1361">
        <w:rPr>
          <w:rStyle w:val="FootnoteReference"/>
          <w:sz w:val="24"/>
          <w:lang w:val="pt-PT"/>
        </w:rPr>
        <w:footnoteRef/>
      </w:r>
      <w:r w:rsidRPr="001B1361" w:rsidR="001B1361">
        <w:rPr>
          <w:sz w:val="24"/>
          <w:lang w:val="pt-PT"/>
        </w:rPr>
        <w:t xml:space="preserve"> </w:t>
      </w:r>
      <w:r w:rsidRPr="001B1361" w:rsidR="001B1361">
        <w:rPr>
          <w:sz w:val="24"/>
          <w:lang w:val="pt-PT"/>
        </w:rPr>
        <w:tab/>
      </w:r>
      <w:r w:rsidRPr="001B1361">
        <w:rPr>
          <w:sz w:val="24"/>
          <w:lang w:val="pt-PT"/>
        </w:rPr>
        <w:t xml:space="preserve">Acórdão do Tribunal Geral de 30 de abril de 2019, </w:t>
      </w:r>
      <w:r w:rsidRPr="001B1361">
        <w:rPr>
          <w:sz w:val="24"/>
          <w:lang w:val="pt-PT"/>
        </w:rPr>
        <w:t>Briois</w:t>
      </w:r>
      <w:r w:rsidRPr="001B1361">
        <w:rPr>
          <w:sz w:val="24"/>
          <w:lang w:val="pt-PT"/>
        </w:rPr>
        <w:t>/Parlamento Europeu, T</w:t>
      </w:r>
      <w:r w:rsidRPr="001B1361">
        <w:rPr>
          <w:sz w:val="24"/>
          <w:lang w:val="pt-PT"/>
        </w:rPr>
        <w:noBreakHyphen/>
        <w:t>214/18, ECLI:</w:t>
      </w:r>
      <w:r w:rsidRPr="001B1361">
        <w:rPr>
          <w:sz w:val="24"/>
          <w:lang w:val="pt-PT"/>
        </w:rPr>
        <w:t>EU:T</w:t>
      </w:r>
      <w:r w:rsidRPr="001B1361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1361" w14:paraId="360EF9E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1361" w14:paraId="26D77F3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B1361" w14:paraId="784B00F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7981575">
    <w:abstractNumId w:val="9"/>
  </w:num>
  <w:num w:numId="2" w16cid:durableId="27292794">
    <w:abstractNumId w:val="9"/>
  </w:num>
  <w:num w:numId="3" w16cid:durableId="521865422">
    <w:abstractNumId w:val="7"/>
  </w:num>
  <w:num w:numId="4" w16cid:durableId="1173765867">
    <w:abstractNumId w:val="7"/>
  </w:num>
  <w:num w:numId="5" w16cid:durableId="714741880">
    <w:abstractNumId w:val="6"/>
  </w:num>
  <w:num w:numId="6" w16cid:durableId="2092968302">
    <w:abstractNumId w:val="6"/>
  </w:num>
  <w:num w:numId="7" w16cid:durableId="789015678">
    <w:abstractNumId w:val="5"/>
  </w:num>
  <w:num w:numId="8" w16cid:durableId="1175419168">
    <w:abstractNumId w:val="5"/>
  </w:num>
  <w:num w:numId="9" w16cid:durableId="1277522240">
    <w:abstractNumId w:val="4"/>
  </w:num>
  <w:num w:numId="10" w16cid:durableId="761224114">
    <w:abstractNumId w:val="4"/>
  </w:num>
  <w:num w:numId="11" w16cid:durableId="2000377157">
    <w:abstractNumId w:val="8"/>
  </w:num>
  <w:num w:numId="12" w16cid:durableId="1400592030">
    <w:abstractNumId w:val="8"/>
  </w:num>
  <w:num w:numId="13" w16cid:durableId="1473447012">
    <w:abstractNumId w:val="3"/>
  </w:num>
  <w:num w:numId="14" w16cid:durableId="923220752">
    <w:abstractNumId w:val="3"/>
  </w:num>
  <w:num w:numId="15" w16cid:durableId="11420709">
    <w:abstractNumId w:val="2"/>
  </w:num>
  <w:num w:numId="16" w16cid:durableId="2033797005">
    <w:abstractNumId w:val="2"/>
  </w:num>
  <w:num w:numId="17" w16cid:durableId="2074813114">
    <w:abstractNumId w:val="1"/>
  </w:num>
  <w:num w:numId="18" w16cid:durableId="1591037407">
    <w:abstractNumId w:val="1"/>
  </w:num>
  <w:num w:numId="19" w16cid:durableId="334309099">
    <w:abstractNumId w:val="0"/>
  </w:num>
  <w:num w:numId="20" w16cid:durableId="1226796789">
    <w:abstractNumId w:val="0"/>
  </w:num>
  <w:num w:numId="21" w16cid:durableId="1357777711">
    <w:abstractNumId w:val="9"/>
  </w:num>
  <w:num w:numId="22" w16cid:durableId="151218721">
    <w:abstractNumId w:val="7"/>
  </w:num>
  <w:num w:numId="23" w16cid:durableId="2043169726">
    <w:abstractNumId w:val="6"/>
  </w:num>
  <w:num w:numId="24" w16cid:durableId="218398695">
    <w:abstractNumId w:val="5"/>
  </w:num>
  <w:num w:numId="25" w16cid:durableId="2126463808">
    <w:abstractNumId w:val="4"/>
  </w:num>
  <w:num w:numId="26" w16cid:durableId="930234936">
    <w:abstractNumId w:val="8"/>
  </w:num>
  <w:num w:numId="27" w16cid:durableId="899167377">
    <w:abstractNumId w:val="3"/>
  </w:num>
  <w:num w:numId="28" w16cid:durableId="1215847224">
    <w:abstractNumId w:val="2"/>
  </w:num>
  <w:num w:numId="29" w16cid:durableId="1401438917">
    <w:abstractNumId w:val="1"/>
  </w:num>
  <w:num w:numId="30" w16cid:durableId="522789819">
    <w:abstractNumId w:val="0"/>
  </w:num>
  <w:num w:numId="31" w16cid:durableId="1504399537">
    <w:abstractNumId w:val="9"/>
  </w:num>
  <w:num w:numId="32" w16cid:durableId="1555115418">
    <w:abstractNumId w:val="7"/>
  </w:num>
  <w:num w:numId="33" w16cid:durableId="85470274">
    <w:abstractNumId w:val="6"/>
  </w:num>
  <w:num w:numId="34" w16cid:durableId="2101439717">
    <w:abstractNumId w:val="5"/>
  </w:num>
  <w:num w:numId="35" w16cid:durableId="813987442">
    <w:abstractNumId w:val="4"/>
  </w:num>
  <w:num w:numId="36" w16cid:durableId="459150309">
    <w:abstractNumId w:val="8"/>
  </w:num>
  <w:num w:numId="37" w16cid:durableId="1392339716">
    <w:abstractNumId w:val="3"/>
  </w:num>
  <w:num w:numId="38" w16cid:durableId="1555503909">
    <w:abstractNumId w:val="2"/>
  </w:num>
  <w:num w:numId="39" w16cid:durableId="671567399">
    <w:abstractNumId w:val="1"/>
  </w:num>
  <w:num w:numId="40" w16cid:durableId="1512718027">
    <w:abstractNumId w:val="0"/>
  </w:num>
  <w:num w:numId="41" w16cid:durableId="981427665">
    <w:abstractNumId w:val="10"/>
  </w:num>
  <w:num w:numId="42" w16cid:durableId="869145225">
    <w:abstractNumId w:val="10"/>
  </w:num>
  <w:num w:numId="43" w16cid:durableId="518667048">
    <w:abstractNumId w:val="10"/>
  </w:num>
  <w:num w:numId="44" w16cid:durableId="18940723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8E"/>
    <w:rsid w:val="00002272"/>
    <w:rsid w:val="00064002"/>
    <w:rsid w:val="000677B9"/>
    <w:rsid w:val="00073B88"/>
    <w:rsid w:val="000831BA"/>
    <w:rsid w:val="0008502F"/>
    <w:rsid w:val="000A42CC"/>
    <w:rsid w:val="000E7DD9"/>
    <w:rsid w:val="0010095E"/>
    <w:rsid w:val="00125B37"/>
    <w:rsid w:val="00187494"/>
    <w:rsid w:val="001B050C"/>
    <w:rsid w:val="001B1361"/>
    <w:rsid w:val="001E70D5"/>
    <w:rsid w:val="001F32AE"/>
    <w:rsid w:val="002767FF"/>
    <w:rsid w:val="002B18FE"/>
    <w:rsid w:val="002B5493"/>
    <w:rsid w:val="002C14E3"/>
    <w:rsid w:val="002D4266"/>
    <w:rsid w:val="00343214"/>
    <w:rsid w:val="00361C00"/>
    <w:rsid w:val="00395FA1"/>
    <w:rsid w:val="003E15D4"/>
    <w:rsid w:val="00411CCE"/>
    <w:rsid w:val="0041666E"/>
    <w:rsid w:val="00416DDB"/>
    <w:rsid w:val="00421060"/>
    <w:rsid w:val="00471C19"/>
    <w:rsid w:val="004867E3"/>
    <w:rsid w:val="00494A28"/>
    <w:rsid w:val="004A1C6C"/>
    <w:rsid w:val="004C0004"/>
    <w:rsid w:val="004C5D52"/>
    <w:rsid w:val="0050519A"/>
    <w:rsid w:val="005072A1"/>
    <w:rsid w:val="00514517"/>
    <w:rsid w:val="00545827"/>
    <w:rsid w:val="00560270"/>
    <w:rsid w:val="005C1793"/>
    <w:rsid w:val="005C2568"/>
    <w:rsid w:val="005C7D32"/>
    <w:rsid w:val="005F1B17"/>
    <w:rsid w:val="00600298"/>
    <w:rsid w:val="006037C0"/>
    <w:rsid w:val="00650311"/>
    <w:rsid w:val="006631B6"/>
    <w:rsid w:val="00680577"/>
    <w:rsid w:val="006F74FA"/>
    <w:rsid w:val="00712F8E"/>
    <w:rsid w:val="00731ADD"/>
    <w:rsid w:val="00734777"/>
    <w:rsid w:val="00747932"/>
    <w:rsid w:val="00751A4A"/>
    <w:rsid w:val="00756632"/>
    <w:rsid w:val="00762C74"/>
    <w:rsid w:val="00786EC0"/>
    <w:rsid w:val="007A6665"/>
    <w:rsid w:val="007D1690"/>
    <w:rsid w:val="007E22AD"/>
    <w:rsid w:val="00817416"/>
    <w:rsid w:val="00842779"/>
    <w:rsid w:val="0086082F"/>
    <w:rsid w:val="00865F67"/>
    <w:rsid w:val="00881A7B"/>
    <w:rsid w:val="008840E5"/>
    <w:rsid w:val="00887B3E"/>
    <w:rsid w:val="008C197A"/>
    <w:rsid w:val="008C2AC6"/>
    <w:rsid w:val="008C41F6"/>
    <w:rsid w:val="00930C23"/>
    <w:rsid w:val="0093193B"/>
    <w:rsid w:val="009509D8"/>
    <w:rsid w:val="00950B64"/>
    <w:rsid w:val="00981893"/>
    <w:rsid w:val="009B1595"/>
    <w:rsid w:val="00A1687D"/>
    <w:rsid w:val="00A43E52"/>
    <w:rsid w:val="00A4678D"/>
    <w:rsid w:val="00A778C7"/>
    <w:rsid w:val="00A87F7C"/>
    <w:rsid w:val="00AB01D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938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743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6/2026"/>
    <w:docVar w:name="dvlangue" w:val="PT"/>
    <w:docVar w:name="dvnumam" w:val="0"/>
    <w:docVar w:name="dvpe" w:val="786.694"/>
    <w:docVar w:name="dvrapporteur" w:val="Relator: "/>
    <w:docVar w:name="dvtitre" w:val="Decisão do Parlamento Europeu, de ... de ... de 2026,&#13;_x000a_ sobre o pedido de levantamento da imunidade de Tomasz Buczek(2025/2193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F1D7137"/>
  <w15:chartTrackingRefBased/>
  <w15:docId w15:val="{586F9D2F-1804-4B3F-9AF6-A9DFE91E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C197A"/>
    <w:pPr>
      <w:spacing w:after="240"/>
      <w:ind w:left="567" w:hanging="567"/>
    </w:pPr>
  </w:style>
  <w:style w:type="paragraph" w:customStyle="1" w:styleId="EPComma">
    <w:name w:val="EPComma"/>
    <w:basedOn w:val="Normal"/>
    <w:rsid w:val="008C197A"/>
    <w:pPr>
      <w:spacing w:before="480" w:after="240"/>
    </w:pPr>
  </w:style>
  <w:style w:type="paragraph" w:styleId="Revision">
    <w:name w:val="Revision"/>
    <w:hidden/>
    <w:uiPriority w:val="99"/>
    <w:semiHidden/>
    <w:rsid w:val="00416DDB"/>
    <w:rPr>
      <w:sz w:val="24"/>
      <w:lang w:val="pt-PT"/>
    </w:rPr>
  </w:style>
  <w:style w:type="character" w:styleId="CommentReference">
    <w:name w:val="annotation reference"/>
    <w:basedOn w:val="DefaultParagraphFont"/>
    <w:rsid w:val="00416D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6D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6DD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16D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6DDB"/>
    <w:rPr>
      <w:b/>
      <w:bCs/>
      <w:lang w:val="pt-PT"/>
    </w:rPr>
  </w:style>
  <w:style w:type="character" w:styleId="Hyperlink">
    <w:name w:val="Hyperlink"/>
    <w:basedOn w:val="DefaultParagraphFont"/>
    <w:rsid w:val="00416D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6D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C17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886</Words>
  <Characters>4681</Characters>
  <Application>Microsoft Office Word</Application>
  <DocSecurity>0</DocSecurity>
  <Lines>86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2026-04-28T10:54:00Z</dcterms:created>
  <dcterms:modified xsi:type="dcterms:W3CDTF">2026-04-28T10:54:00Z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A10-0116/2026</vt:lpwstr>
  </property>
  <property fmtid="{D5CDD505-2E9C-101B-9397-08002B2CF9AE}" pid="4" name="&lt;Type&gt;">
    <vt:lpwstr>RR</vt:lpwstr>
  </property>
</Properties>
</file>