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B35DCD0" w14:textId="77777777" w:rsidTr="0010095E">
        <w:tblPrEx>
          <w:tblW w:w="9072" w:type="dxa"/>
          <w:tblLook w:val="01E0"/>
        </w:tblPrEx>
        <w:trPr>
          <w:trHeight w:hRule="exact" w:val="1418"/>
        </w:trPr>
        <w:tc>
          <w:tcPr>
            <w:tcW w:w="6804" w:type="dxa"/>
            <w:shd w:val="clear" w:color="auto" w:fill="auto"/>
            <w:vAlign w:val="center"/>
          </w:tcPr>
          <w:p w:rsidR="00751A4A" w:rsidRPr="00D623F1" w:rsidP="0010095E" w14:paraId="5730A871" w14:textId="77777777">
            <w:pPr>
              <w:pStyle w:val="EPName"/>
            </w:pPr>
            <w:r w:rsidRPr="00D623F1">
              <w:t>Parlamentul European</w:t>
            </w:r>
          </w:p>
          <w:p w:rsidR="00751A4A" w:rsidRPr="00D623F1" w:rsidP="005F1B17" w14:paraId="00BAEE6A" w14:textId="77777777">
            <w:pPr>
              <w:pStyle w:val="EPTerm"/>
              <w:rPr>
                <w:rStyle w:val="HideTWBExt"/>
                <w:noProof w:val="0"/>
                <w:vanish w:val="0"/>
                <w:color w:val="auto"/>
              </w:rPr>
            </w:pPr>
            <w:r w:rsidRPr="00D623F1">
              <w:t>2024</w:t>
            </w:r>
            <w:r w:rsidRPr="00D623F1" w:rsidR="00817416">
              <w:t>-202</w:t>
            </w:r>
            <w:r w:rsidRPr="00D623F1">
              <w:t>9</w:t>
            </w:r>
          </w:p>
        </w:tc>
        <w:tc>
          <w:tcPr>
            <w:tcW w:w="2268" w:type="dxa"/>
            <w:shd w:val="clear" w:color="auto" w:fill="auto"/>
          </w:tcPr>
          <w:p w:rsidR="00751A4A" w:rsidRPr="00D623F1" w:rsidP="0010095E" w14:paraId="1E59198C" w14:textId="77777777">
            <w:pPr>
              <w:pStyle w:val="EPLogo"/>
            </w:pPr>
            <w:r w:rsidRPr="00D623F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623F1" w:rsidP="004C5D52" w14:paraId="3C64EB72" w14:textId="77777777">
      <w:pPr>
        <w:pStyle w:val="LineTop"/>
      </w:pPr>
    </w:p>
    <w:p w:rsidR="00680577" w:rsidRPr="00D623F1" w:rsidP="00680577" w14:paraId="06A94856" w14:textId="77777777">
      <w:pPr>
        <w:pStyle w:val="EPBodyTA1"/>
      </w:pPr>
      <w:r w:rsidRPr="00D623F1">
        <w:t>TEXTE ADOPTATE</w:t>
      </w:r>
    </w:p>
    <w:p w:rsidR="00D058B8" w:rsidRPr="00D623F1" w:rsidP="00D058B8" w14:paraId="2748CF81" w14:textId="77777777">
      <w:pPr>
        <w:pStyle w:val="LineBottom"/>
      </w:pPr>
    </w:p>
    <w:p w:rsidR="00B261A8" w:rsidRPr="00D623F1" w:rsidP="00B261A8" w14:paraId="2F4D4D8C" w14:textId="7B3C83E7">
      <w:pPr>
        <w:pStyle w:val="ATHeading1"/>
      </w:pPr>
      <w:bookmarkStart w:id="0" w:name="TANumber"/>
      <w:r w:rsidRPr="00D623F1">
        <w:t>P10_TA(2026)0</w:t>
      </w:r>
      <w:bookmarkEnd w:id="0"/>
      <w:r w:rsidRPr="00D623F1" w:rsidR="00D75F0F">
        <w:t>107</w:t>
      </w:r>
    </w:p>
    <w:p w:rsidR="00B261A8" w:rsidRPr="00D623F1" w:rsidP="00B261A8" w14:paraId="43A4CADA" w14:textId="77777777">
      <w:pPr>
        <w:pStyle w:val="ATHeading2"/>
      </w:pPr>
      <w:bookmarkStart w:id="1" w:name="title"/>
      <w:r w:rsidRPr="00D623F1">
        <w:t xml:space="preserve">Cererea de ridicare a imunității deputatului </w:t>
      </w:r>
      <w:r w:rsidRPr="00D623F1">
        <w:t>Tomasz</w:t>
      </w:r>
      <w:r w:rsidRPr="00D623F1">
        <w:t xml:space="preserve"> </w:t>
      </w:r>
      <w:r w:rsidRPr="00D623F1">
        <w:t>Buczek</w:t>
      </w:r>
      <w:bookmarkEnd w:id="1"/>
    </w:p>
    <w:p w:rsidR="00B261A8" w:rsidRPr="00D623F1" w:rsidP="00B261A8" w14:paraId="2406E29E" w14:textId="77777777">
      <w:pPr>
        <w:rPr>
          <w:i/>
          <w:vanish/>
        </w:rPr>
      </w:pPr>
      <w:r>
        <w:rPr>
          <w:i/>
        </w:rPr>
        <w:fldChar w:fldCharType="begin"/>
      </w:r>
      <w:r w:rsidRPr="00D623F1">
        <w:rPr>
          <w:i/>
        </w:rPr>
        <w:instrText xml:space="preserve"> TC"(</w:instrText>
      </w:r>
      <w:bookmarkStart w:id="2" w:name="DocNumber"/>
      <w:r w:rsidRPr="00D623F1">
        <w:rPr>
          <w:i/>
        </w:rPr>
        <w:instrText>A10-0116/2026</w:instrText>
      </w:r>
      <w:bookmarkEnd w:id="2"/>
      <w:r w:rsidRPr="00D623F1">
        <w:rPr>
          <w:i/>
        </w:rPr>
        <w:instrText xml:space="preserve"> - Raportor: David </w:instrText>
      </w:r>
      <w:r w:rsidRPr="00D623F1">
        <w:rPr>
          <w:i/>
        </w:rPr>
        <w:instrText>Cormand</w:instrText>
      </w:r>
      <w:r w:rsidRPr="00D623F1">
        <w:rPr>
          <w:i/>
        </w:rPr>
        <w:instrText xml:space="preserve">)"\l3 \n&gt; \* MERGEFORMAT </w:instrText>
      </w:r>
      <w:r>
        <w:rPr>
          <w:i/>
        </w:rPr>
        <w:fldChar w:fldCharType="end"/>
      </w:r>
    </w:p>
    <w:p w:rsidR="00B261A8" w:rsidRPr="00D623F1" w:rsidP="00B261A8" w14:paraId="37307D93" w14:textId="77777777">
      <w:pPr>
        <w:rPr>
          <w:vanish/>
        </w:rPr>
      </w:pPr>
      <w:bookmarkStart w:id="3" w:name="Commission"/>
      <w:r w:rsidRPr="00D623F1">
        <w:rPr>
          <w:vanish/>
        </w:rPr>
        <w:t>Comisia pentru afaceri juridice</w:t>
      </w:r>
      <w:bookmarkEnd w:id="3"/>
    </w:p>
    <w:p w:rsidR="00B261A8" w:rsidRPr="00D623F1" w:rsidP="00B261A8" w14:paraId="5A4E3064" w14:textId="77777777">
      <w:pPr>
        <w:rPr>
          <w:vanish/>
        </w:rPr>
      </w:pPr>
      <w:bookmarkStart w:id="4" w:name="PE"/>
      <w:r w:rsidRPr="00D623F1">
        <w:rPr>
          <w:vanish/>
        </w:rPr>
        <w:t>PE786.694</w:t>
      </w:r>
      <w:bookmarkEnd w:id="4"/>
    </w:p>
    <w:p w:rsidR="00B261A8" w:rsidRPr="00D623F1" w:rsidP="00B261A8" w14:paraId="04A34AD1" w14:textId="77777777">
      <w:pPr>
        <w:pStyle w:val="ATHeading3"/>
      </w:pPr>
      <w:bookmarkStart w:id="5" w:name="Sujet"/>
      <w:r w:rsidRPr="00D623F1">
        <w:t xml:space="preserve">Decizia Parlamentului European din 28 aprilie 2026 privind cererea de ridicare a imunității deputatului </w:t>
      </w:r>
      <w:r w:rsidRPr="00D623F1">
        <w:t>Tomasz</w:t>
      </w:r>
      <w:r w:rsidRPr="00D623F1">
        <w:t xml:space="preserve"> </w:t>
      </w:r>
      <w:r w:rsidRPr="00D623F1">
        <w:t>Buczek</w:t>
      </w:r>
      <w:bookmarkEnd w:id="5"/>
      <w:r w:rsidRPr="00D623F1">
        <w:t xml:space="preserve"> </w:t>
      </w:r>
      <w:bookmarkStart w:id="6" w:name="References"/>
      <w:r w:rsidRPr="00D623F1">
        <w:t>(2025/2193(IMM))</w:t>
      </w:r>
      <w:bookmarkEnd w:id="6"/>
    </w:p>
    <w:p w:rsidR="00232ACB" w:rsidRPr="00D623F1" w:rsidP="00232ACB" w14:paraId="4A66156D" w14:textId="77777777">
      <w:pPr>
        <w:pStyle w:val="EPComma"/>
      </w:pPr>
      <w:bookmarkStart w:id="7" w:name="TextBodyBegin"/>
      <w:bookmarkEnd w:id="7"/>
      <w:r w:rsidRPr="00D623F1">
        <w:rPr>
          <w:i/>
        </w:rPr>
        <w:t>Parlamentul European</w:t>
      </w:r>
      <w:r w:rsidRPr="00D623F1">
        <w:t>,</w:t>
      </w:r>
    </w:p>
    <w:p w:rsidR="00232ACB" w:rsidRPr="00D623F1" w:rsidP="00232ACB" w14:paraId="4950CB7E" w14:textId="55F25A58">
      <w:pPr>
        <w:pStyle w:val="NormalHanging12a"/>
      </w:pPr>
      <w:r w:rsidRPr="00D623F1">
        <w:t>–</w:t>
      </w:r>
      <w:r w:rsidRPr="00D623F1">
        <w:tab/>
        <w:t xml:space="preserve">având în vedere cererea de ridicare a imunității </w:t>
      </w:r>
      <w:r w:rsidRPr="00D623F1" w:rsidR="00E12DB8">
        <w:t>deputatului</w:t>
      </w:r>
      <w:r w:rsidRPr="00D623F1">
        <w:t xml:space="preserve"> </w:t>
      </w:r>
      <w:r w:rsidRPr="00D623F1">
        <w:t>Tomasz</w:t>
      </w:r>
      <w:r w:rsidRPr="00D623F1">
        <w:t xml:space="preserve"> </w:t>
      </w:r>
      <w:r w:rsidRPr="00D623F1">
        <w:t>Buczek</w:t>
      </w:r>
      <w:r w:rsidRPr="00D623F1" w:rsidR="00F52830">
        <w:t>,</w:t>
      </w:r>
      <w:r w:rsidRPr="00D623F1">
        <w:t xml:space="preserve"> depusă de Tribunalul Districtual din </w:t>
      </w:r>
      <w:r w:rsidRPr="00D623F1">
        <w:t>Tarnobrzeg</w:t>
      </w:r>
      <w:r w:rsidRPr="00D623F1">
        <w:t xml:space="preserve">, Secția a doua penală </w:t>
      </w:r>
      <w:r w:rsidRPr="00D623F1" w:rsidR="00F52830">
        <w:t>prin sc</w:t>
      </w:r>
      <w:r w:rsidRPr="00D623F1" w:rsidR="00E12DB8">
        <w:t>r</w:t>
      </w:r>
      <w:r w:rsidRPr="00D623F1" w:rsidR="00F52830">
        <w:t xml:space="preserve">isoarea din 12 septembrie 2025, </w:t>
      </w:r>
      <w:r w:rsidRPr="00D623F1">
        <w:t xml:space="preserve">în </w:t>
      </w:r>
      <w:r w:rsidRPr="00D623F1" w:rsidR="00F52830">
        <w:t xml:space="preserve">legătură cu </w:t>
      </w:r>
      <w:r w:rsidRPr="00D623F1" w:rsidR="00E12DB8">
        <w:t xml:space="preserve">o </w:t>
      </w:r>
      <w:r w:rsidRPr="00D623F1">
        <w:t>procedur</w:t>
      </w:r>
      <w:r w:rsidRPr="00D623F1" w:rsidR="00E12DB8">
        <w:t>ă</w:t>
      </w:r>
      <w:r w:rsidRPr="00D623F1">
        <w:t xml:space="preserve"> penal</w:t>
      </w:r>
      <w:r w:rsidRPr="00D623F1" w:rsidR="00E12DB8">
        <w:t>ă</w:t>
      </w:r>
      <w:r w:rsidRPr="00D623F1">
        <w:t xml:space="preserve"> inițiat</w:t>
      </w:r>
      <w:r w:rsidRPr="00D623F1" w:rsidR="00E12DB8">
        <w:t>ă</w:t>
      </w:r>
      <w:r w:rsidRPr="00D623F1">
        <w:t xml:space="preserve"> împotriva </w:t>
      </w:r>
      <w:r w:rsidRPr="00D623F1" w:rsidR="00F52830">
        <w:t>sa</w:t>
      </w:r>
      <w:r w:rsidRPr="00D623F1">
        <w:t xml:space="preserve"> </w:t>
      </w:r>
      <w:r w:rsidRPr="00D623F1" w:rsidR="00E12DB8">
        <w:t>ca urmare a unei plângeri</w:t>
      </w:r>
      <w:r w:rsidRPr="00D623F1">
        <w:t xml:space="preserve"> depus</w:t>
      </w:r>
      <w:r w:rsidRPr="00D623F1" w:rsidR="00E12DB8">
        <w:t>e</w:t>
      </w:r>
      <w:r w:rsidRPr="00D623F1">
        <w:t xml:space="preserve"> de reprezentantul legal al </w:t>
      </w:r>
      <w:r w:rsidRPr="00D623F1" w:rsidR="00E12DB8">
        <w:t>autorului plângerii</w:t>
      </w:r>
      <w:r w:rsidRPr="00D623F1">
        <w:t>, și anunțată în plen la 6 octombrie 2025,</w:t>
      </w:r>
    </w:p>
    <w:p w:rsidR="00232ACB" w:rsidRPr="00D623F1" w:rsidP="00232ACB" w14:paraId="3B9B72E5" w14:textId="39184D2E">
      <w:pPr>
        <w:pStyle w:val="NormalHanging12a"/>
      </w:pPr>
      <w:r w:rsidRPr="00D623F1">
        <w:t>–</w:t>
      </w:r>
      <w:r w:rsidRPr="00D623F1">
        <w:tab/>
        <w:t xml:space="preserve">în urma audierii deputatului </w:t>
      </w:r>
      <w:r w:rsidRPr="00D623F1">
        <w:t>Tomasz</w:t>
      </w:r>
      <w:r w:rsidRPr="00D623F1">
        <w:t xml:space="preserve"> </w:t>
      </w:r>
      <w:r w:rsidRPr="00D623F1">
        <w:t>Buczek</w:t>
      </w:r>
      <w:r w:rsidRPr="00D623F1">
        <w:t xml:space="preserve"> din 23 martie 2026 și având în vedere documentele </w:t>
      </w:r>
      <w:r w:rsidRPr="00D623F1" w:rsidR="001A684F">
        <w:t>depuse</w:t>
      </w:r>
      <w:r w:rsidRPr="00D623F1">
        <w:t xml:space="preserve"> de acesta</w:t>
      </w:r>
      <w:r w:rsidRPr="00D623F1" w:rsidR="001A684F">
        <w:t>, în conformitate cu articolul 9 alineatul (6) din Regulamentul său de procedură,</w:t>
      </w:r>
    </w:p>
    <w:p w:rsidR="00232ACB" w:rsidRPr="00D623F1" w:rsidP="00232ACB" w14:paraId="55939807" w14:textId="77777777">
      <w:pPr>
        <w:pStyle w:val="NormalHanging12a"/>
      </w:pPr>
      <w:r w:rsidRPr="00D623F1">
        <w:t>–</w:t>
      </w:r>
      <w:r w:rsidRPr="00D623F1">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232ACB" w:rsidRPr="00D623F1" w:rsidP="00232ACB" w14:paraId="1A3C2068" w14:textId="77777777">
      <w:pPr>
        <w:pStyle w:val="NormalHanging12a"/>
      </w:pPr>
      <w:r w:rsidRPr="00D623F1">
        <w:t>–</w:t>
      </w:r>
      <w:r w:rsidRPr="00D623F1">
        <w:tab/>
        <w:t>având în vedere hotărârile Curții de Justiție a Uniunii Europene din 21 octombrie 2008, 19 martie 2010, 6 septembrie 2011, 17 ianuarie 2013 și 19 decembrie 2019</w:t>
      </w:r>
      <w:r>
        <w:rPr>
          <w:vertAlign w:val="superscript"/>
        </w:rPr>
        <w:footnoteReference w:id="2"/>
      </w:r>
      <w:r w:rsidRPr="00D623F1">
        <w:t>,</w:t>
      </w:r>
    </w:p>
    <w:p w:rsidR="00232ACB" w:rsidRPr="00D623F1" w:rsidP="00232ACB" w14:paraId="0FB403C9" w14:textId="77777777">
      <w:pPr>
        <w:pStyle w:val="NormalHanging12a"/>
      </w:pPr>
      <w:r w:rsidRPr="00D623F1">
        <w:t>–</w:t>
      </w:r>
      <w:r w:rsidRPr="00D623F1">
        <w:tab/>
        <w:t>având în vedere articolul 105 alineatele (2) și (5) din Constituția Republicii Polone,</w:t>
      </w:r>
    </w:p>
    <w:p w:rsidR="00232ACB" w:rsidRPr="00D623F1" w:rsidP="00232ACB" w14:paraId="0801ECDF" w14:textId="77777777">
      <w:pPr>
        <w:pStyle w:val="NormalHanging12a"/>
      </w:pPr>
      <w:r w:rsidRPr="00D623F1">
        <w:t>–</w:t>
      </w:r>
      <w:r w:rsidRPr="00D623F1">
        <w:tab/>
        <w:t>având în vedere articolul 5 alineatul (2), articolul 6 alineatul (1) și articolul 9 din Regulamentul său de procedură,</w:t>
      </w:r>
    </w:p>
    <w:p w:rsidR="00232ACB" w:rsidRPr="00D623F1" w:rsidP="00232ACB" w14:paraId="4CE8D8FD" w14:textId="77777777">
      <w:pPr>
        <w:pStyle w:val="NormalHanging12a"/>
      </w:pPr>
      <w:r w:rsidRPr="00D623F1">
        <w:t>–</w:t>
      </w:r>
      <w:r w:rsidRPr="00D623F1">
        <w:tab/>
        <w:t>având în vedere raportul Comisiei pentru afaceri juridice (A10-0116/2026),</w:t>
      </w:r>
    </w:p>
    <w:p w:rsidR="00232ACB" w:rsidRPr="00D623F1" w:rsidP="00232ACB" w14:paraId="1BD941AC" w14:textId="58E77FCE">
      <w:pPr>
        <w:pStyle w:val="NormalHanging12a"/>
      </w:pPr>
      <w:r w:rsidRPr="00D623F1">
        <w:t>A.</w:t>
      </w:r>
      <w:r w:rsidRPr="00D623F1">
        <w:tab/>
        <w:t xml:space="preserve">întrucât, prin scrisoarea din 12 septembrie 2025, Tribunalul Districtual </w:t>
      </w:r>
      <w:r w:rsidRPr="00D623F1">
        <w:t>Tarnobrzeg</w:t>
      </w:r>
      <w:r w:rsidRPr="00D623F1">
        <w:t xml:space="preserve">, Secția a doua penală, a transmis cererea de ridicare a imunității </w:t>
      </w:r>
      <w:r w:rsidRPr="00D623F1" w:rsidR="002029D7">
        <w:t>deputatului</w:t>
      </w:r>
      <w:r w:rsidRPr="00D623F1" w:rsidR="00D00220">
        <w:t xml:space="preserve"> în Parlamentul European</w:t>
      </w:r>
      <w:r w:rsidRPr="00D623F1">
        <w:t xml:space="preserve"> </w:t>
      </w:r>
      <w:r w:rsidRPr="00D623F1">
        <w:t>Tomasz</w:t>
      </w:r>
      <w:r w:rsidRPr="00D623F1">
        <w:t xml:space="preserve"> </w:t>
      </w:r>
      <w:r w:rsidRPr="00D623F1">
        <w:t>Buczek</w:t>
      </w:r>
      <w:r w:rsidRPr="00D623F1" w:rsidR="001A684F">
        <w:t>, ales în Polonia,</w:t>
      </w:r>
      <w:r w:rsidRPr="00D623F1">
        <w:t xml:space="preserve"> în legătură cu </w:t>
      </w:r>
      <w:r w:rsidRPr="00D623F1" w:rsidR="002029D7">
        <w:t>o plângere</w:t>
      </w:r>
      <w:r w:rsidRPr="00D623F1">
        <w:t xml:space="preserve"> depus</w:t>
      </w:r>
      <w:r w:rsidRPr="00D623F1" w:rsidR="00074F79">
        <w:t>ă</w:t>
      </w:r>
      <w:r w:rsidRPr="00D623F1">
        <w:t xml:space="preserve"> împotriva acestuia pentru o presupusă infracțiune în temeiul articolului 217 alineatul (1) din Codul penal polonez;</w:t>
      </w:r>
    </w:p>
    <w:p w:rsidR="00232ACB" w:rsidRPr="00D623F1" w:rsidP="00232ACB" w14:paraId="78B91C34" w14:textId="4265A2BC">
      <w:pPr>
        <w:pStyle w:val="NormalHanging12a"/>
      </w:pPr>
      <w:r w:rsidRPr="00D623F1">
        <w:t>B.</w:t>
      </w:r>
      <w:r w:rsidRPr="00D623F1">
        <w:tab/>
        <w:t xml:space="preserve">întrucât, potrivit cererii de ridicare a imunității, la 21 septembrie 2024 a avut loc o manifestație electorală la </w:t>
      </w:r>
      <w:r w:rsidRPr="00D623F1">
        <w:t>Tarnobrzeg</w:t>
      </w:r>
      <w:r w:rsidRPr="00D623F1">
        <w:t xml:space="preserve">, cu participarea lui </w:t>
      </w:r>
      <w:r w:rsidRPr="00D623F1">
        <w:t>Tomasz</w:t>
      </w:r>
      <w:r w:rsidRPr="00D623F1">
        <w:t xml:space="preserve"> </w:t>
      </w:r>
      <w:r w:rsidRPr="00D623F1">
        <w:t>Buczek</w:t>
      </w:r>
      <w:r w:rsidRPr="00D623F1">
        <w:t xml:space="preserve">; întrucât </w:t>
      </w:r>
      <w:r w:rsidRPr="00D623F1" w:rsidR="00074F79">
        <w:t>autorul plângerii</w:t>
      </w:r>
      <w:r w:rsidRPr="00D623F1">
        <w:t xml:space="preserve"> a participat la manifestația menționată mai sus, în special prin exprimarea opiniilor sale cu privire la subiecte politice, inclusiv cu privire la activitățile lui </w:t>
      </w:r>
      <w:r w:rsidRPr="00D623F1">
        <w:t>Tomasz</w:t>
      </w:r>
      <w:r w:rsidRPr="00D623F1">
        <w:t xml:space="preserve"> </w:t>
      </w:r>
      <w:r w:rsidRPr="00D623F1">
        <w:t>Buczek</w:t>
      </w:r>
      <w:r w:rsidRPr="00D623F1">
        <w:t xml:space="preserve">; întrucât, potrivit cererii, </w:t>
      </w:r>
      <w:r w:rsidRPr="00D623F1">
        <w:t>Tomasz</w:t>
      </w:r>
      <w:r w:rsidRPr="00D623F1">
        <w:t xml:space="preserve"> </w:t>
      </w:r>
      <w:r w:rsidRPr="00D623F1">
        <w:t>Buczek</w:t>
      </w:r>
      <w:r w:rsidRPr="00D623F1">
        <w:t xml:space="preserve"> ar fi smuls megafonul de mici dimensiuni pe care </w:t>
      </w:r>
      <w:r w:rsidRPr="00D623F1" w:rsidR="00074F79">
        <w:t>autorul plângerii</w:t>
      </w:r>
      <w:r w:rsidRPr="00D623F1">
        <w:t xml:space="preserve"> îl ținea în mâinile sale pentru a se face auzită și întrucât gestul </w:t>
      </w:r>
      <w:r w:rsidRPr="00D623F1" w:rsidR="001A684F">
        <w:t xml:space="preserve">respectiv </w:t>
      </w:r>
      <w:r w:rsidRPr="00D623F1">
        <w:t>ar fi fost atât de violent încât megafonul nu mai funcționează;</w:t>
      </w:r>
    </w:p>
    <w:p w:rsidR="00232ACB" w:rsidRPr="00D623F1" w:rsidP="00232ACB" w14:paraId="707BE3FC" w14:textId="77777777">
      <w:pPr>
        <w:pStyle w:val="NormalHanging12a"/>
      </w:pPr>
      <w:r w:rsidRPr="00D623F1">
        <w:t>C.</w:t>
      </w:r>
      <w:r w:rsidRPr="00D623F1">
        <w:tab/>
        <w:t xml:space="preserve">întrucât se consideră că gestul lui </w:t>
      </w:r>
      <w:r w:rsidRPr="00D623F1">
        <w:t>Tomasz</w:t>
      </w:r>
      <w:r w:rsidRPr="00D623F1">
        <w:t xml:space="preserve"> </w:t>
      </w:r>
      <w:r w:rsidRPr="00D623F1">
        <w:t>Buczek</w:t>
      </w:r>
      <w:r w:rsidRPr="00D623F1">
        <w:t xml:space="preserve"> constituie o infracțiune împotriva integrității corporale, astfel cum este definită la articolul 217 alineatul (1) din Codul penal polonez;</w:t>
      </w:r>
    </w:p>
    <w:p w:rsidR="00232ACB" w:rsidRPr="00D623F1" w:rsidP="00232ACB" w14:paraId="5BE6265E" w14:textId="6FCF7E94">
      <w:pPr>
        <w:pStyle w:val="NormalHanging12a"/>
      </w:pPr>
      <w:r w:rsidRPr="00D623F1">
        <w:t>D.</w:t>
      </w:r>
      <w:r w:rsidRPr="00D623F1">
        <w:tab/>
        <w:t xml:space="preserve">întrucât </w:t>
      </w:r>
      <w:r w:rsidRPr="00D623F1">
        <w:t>Tomasz</w:t>
      </w:r>
      <w:r w:rsidRPr="00D623F1">
        <w:t xml:space="preserve"> </w:t>
      </w:r>
      <w:r w:rsidRPr="00D623F1">
        <w:t>Buczek</w:t>
      </w:r>
      <w:r w:rsidRPr="00D623F1">
        <w:t xml:space="preserve"> a fost ales în Parlamentul European la alegerile europene din iunie 2024 și era</w:t>
      </w:r>
      <w:r w:rsidRPr="00D623F1" w:rsidR="00295393">
        <w:t>, prin urmare,</w:t>
      </w:r>
      <w:r w:rsidRPr="00D623F1">
        <w:t xml:space="preserve"> deputat în Parlamentul European la momentul presupusei infracțiuni;</w:t>
      </w:r>
    </w:p>
    <w:p w:rsidR="00232ACB" w:rsidRPr="00D623F1" w:rsidP="00232ACB" w14:paraId="275ACCAD" w14:textId="2B78C5AC">
      <w:pPr>
        <w:pStyle w:val="NormalHanging12a"/>
      </w:pPr>
      <w:r w:rsidRPr="00D623F1">
        <w:t>E.</w:t>
      </w:r>
      <w:r w:rsidRPr="00D623F1">
        <w:tab/>
        <w:t xml:space="preserve">întrucât presupusa infracțiune </w:t>
      </w:r>
      <w:r w:rsidRPr="00D623F1" w:rsidR="00295393">
        <w:t>nu constituie o</w:t>
      </w:r>
      <w:r w:rsidRPr="00D623F1">
        <w:t xml:space="preserve"> opini</w:t>
      </w:r>
      <w:r w:rsidRPr="00D623F1" w:rsidR="00295393">
        <w:t>e</w:t>
      </w:r>
      <w:r w:rsidRPr="00D623F1">
        <w:t xml:space="preserve"> sau </w:t>
      </w:r>
      <w:r w:rsidRPr="00D623F1" w:rsidR="00295393">
        <w:t xml:space="preserve">un </w:t>
      </w:r>
      <w:r w:rsidRPr="00D623F1">
        <w:t xml:space="preserve">vot exprimat de </w:t>
      </w:r>
      <w:r w:rsidRPr="00D623F1">
        <w:t>Tomasz</w:t>
      </w:r>
      <w:r w:rsidRPr="00D623F1">
        <w:t xml:space="preserve"> </w:t>
      </w:r>
      <w:r w:rsidRPr="00D623F1">
        <w:t>Buczek</w:t>
      </w:r>
      <w:r w:rsidRPr="00D623F1">
        <w:t xml:space="preserve"> în exercitarea funcțiilor sale în sensul articolului 8 din Protocolul nr. 7 privind privilegiile și imunitățile Uniunii Europene</w:t>
      </w:r>
      <w:r w:rsidRPr="00D623F1" w:rsidR="00740BBE">
        <w:t>,</w:t>
      </w:r>
      <w:r w:rsidRPr="00D623F1" w:rsidR="00295393">
        <w:t xml:space="preserve"> iar cererea subsecventă de ridicare a imunității sale nu </w:t>
      </w:r>
      <w:r w:rsidRPr="00D623F1" w:rsidR="008269ED">
        <w:t>are</w:t>
      </w:r>
      <w:r w:rsidRPr="00D623F1" w:rsidR="00074F79">
        <w:t xml:space="preserve"> legătură cu o opinie sau un vot exprimat de acesta</w:t>
      </w:r>
      <w:r w:rsidRPr="00D623F1">
        <w:t>;</w:t>
      </w:r>
    </w:p>
    <w:p w:rsidR="00232ACB" w:rsidRPr="00D623F1" w:rsidP="00232ACB" w14:paraId="616ACB3B" w14:textId="58516367">
      <w:pPr>
        <w:pStyle w:val="NormalHanging12a"/>
      </w:pPr>
      <w:r w:rsidRPr="00D623F1">
        <w:t>F.</w:t>
      </w:r>
      <w:r w:rsidRPr="00D623F1">
        <w:tab/>
        <w:t>întrucât articolul 9 primul paragraf litera (a) din Protocolul nr. 7 privind privilegiile și imunitățile Uniunii Europene</w:t>
      </w:r>
      <w:r w:rsidRPr="00D623F1" w:rsidR="00295393">
        <w:t xml:space="preserve"> stipulează că, pe durata sesiunilor Parlamentului European</w:t>
      </w:r>
      <w:r w:rsidRPr="00D623F1">
        <w:t xml:space="preserve">, deputații în Parlamentul European beneficiază, pe teritoriul național, de imunitățile </w:t>
      </w:r>
      <w:r w:rsidRPr="00D623F1" w:rsidR="00074F79">
        <w:t>recunoscute</w:t>
      </w:r>
      <w:r w:rsidRPr="00D623F1" w:rsidR="00295393">
        <w:t xml:space="preserve"> </w:t>
      </w:r>
      <w:r w:rsidRPr="00D623F1" w:rsidR="00074F79">
        <w:t>membrilor</w:t>
      </w:r>
      <w:r w:rsidRPr="00D623F1" w:rsidR="00295393">
        <w:t xml:space="preserve"> Parlamentului propriului stat membru</w:t>
      </w:r>
      <w:r w:rsidRPr="00D623F1">
        <w:t>;</w:t>
      </w:r>
    </w:p>
    <w:p w:rsidR="00232ACB" w:rsidRPr="00D623F1" w:rsidP="00232ACB" w14:paraId="59039416" w14:textId="2439144E">
      <w:pPr>
        <w:pStyle w:val="NormalHanging12a"/>
      </w:pPr>
      <w:r w:rsidRPr="00D623F1">
        <w:t>G.</w:t>
      </w:r>
      <w:r w:rsidRPr="00D623F1">
        <w:tab/>
        <w:t>întrucât, în conformitate cu articolul 105 alineat</w:t>
      </w:r>
      <w:r w:rsidRPr="00D623F1" w:rsidR="00F44A3E">
        <w:t>ele</w:t>
      </w:r>
      <w:r w:rsidRPr="00D623F1">
        <w:t xml:space="preserve"> (2) și (5) din Constituția </w:t>
      </w:r>
      <w:r w:rsidRPr="00D623F1" w:rsidR="00295393">
        <w:t>Republicii Poloneze</w:t>
      </w:r>
      <w:r w:rsidRPr="00D623F1">
        <w:t>, din ziua anunțării rezultatelor alegerilor și până în ziua expirării mandatului său, un deputat nu poate fi urmărit penal fără consimțământul Seimului și nu poate fi nici reținut, nici arestat fără consimțământul Seimului, cu excepția cazului în care a fost surprins în flagrant delict și în care reținerea sa este necesară pentru buna desfășurare a procedurilor;</w:t>
      </w:r>
    </w:p>
    <w:p w:rsidR="00232ACB" w:rsidRPr="00D623F1" w:rsidP="00232ACB" w14:paraId="79550148" w14:textId="758F865B">
      <w:pPr>
        <w:pStyle w:val="NormalHanging12a"/>
      </w:pPr>
      <w:r w:rsidRPr="00D623F1">
        <w:t>H.</w:t>
      </w:r>
      <w:r w:rsidRPr="00D623F1">
        <w:tab/>
        <w:t xml:space="preserve">întrucât, în conformitate cu articolul 5 alineatul (2) din Regulamentul său de procedură, imunitatea parlamentară nu este un privilegiu personal al </w:t>
      </w:r>
      <w:r w:rsidRPr="00D623F1" w:rsidR="00E92436">
        <w:t>deputaților</w:t>
      </w:r>
      <w:r w:rsidRPr="00D623F1">
        <w:t xml:space="preserve">, ci o garanție </w:t>
      </w:r>
      <w:r w:rsidRPr="00D623F1" w:rsidR="00E92436">
        <w:t xml:space="preserve">pentru </w:t>
      </w:r>
      <w:r w:rsidRPr="00D623F1">
        <w:t>independenț</w:t>
      </w:r>
      <w:r w:rsidRPr="00D623F1" w:rsidR="00E92436">
        <w:t>a</w:t>
      </w:r>
      <w:r w:rsidRPr="00D623F1">
        <w:t xml:space="preserve"> Parlamentului în ansamblu și a </w:t>
      </w:r>
      <w:r w:rsidRPr="00D623F1" w:rsidR="00E92436">
        <w:t>membrilor</w:t>
      </w:r>
      <w:r w:rsidRPr="00D623F1">
        <w:t xml:space="preserve"> săi;</w:t>
      </w:r>
    </w:p>
    <w:p w:rsidR="00232ACB" w:rsidRPr="00D623F1" w:rsidP="00232ACB" w14:paraId="4D1F1992" w14:textId="1E223EAE">
      <w:pPr>
        <w:pStyle w:val="NormalHanging12a"/>
      </w:pPr>
      <w:r w:rsidRPr="00D623F1">
        <w:t>I.</w:t>
      </w:r>
      <w:r w:rsidRPr="00D623F1">
        <w:tab/>
        <w:t xml:space="preserve">întrucât scopul imunității </w:t>
      </w:r>
      <w:r w:rsidRPr="00D623F1" w:rsidR="00E92436">
        <w:t xml:space="preserve">prevăzute de Protocolul nr. 7 privind privilegiile și imunitățile Uniunii Europene </w:t>
      </w:r>
      <w:r w:rsidRPr="00D623F1">
        <w:t>este acela de a proteja Parlamentul și pe deputații săi de proceduri judiciare inițiate în legătură cu activități desfășurate în cadrul exercitării funcțiilor parlamentare și care nu pot fi disociate de aceste funcții;</w:t>
      </w:r>
    </w:p>
    <w:p w:rsidR="00232ACB" w:rsidRPr="00D623F1" w:rsidP="00232ACB" w14:paraId="3D24DDF7" w14:textId="18EB4A7A">
      <w:pPr>
        <w:pStyle w:val="NormalHanging12a"/>
      </w:pPr>
      <w:r w:rsidRPr="00D623F1">
        <w:t>J.</w:t>
      </w:r>
      <w:r w:rsidRPr="00D623F1">
        <w:tab/>
        <w:t xml:space="preserve">întrucât, în speță, Parlamentul nu a </w:t>
      </w:r>
      <w:r w:rsidRPr="00D623F1" w:rsidR="00D00220">
        <w:t>putut stabili</w:t>
      </w:r>
      <w:r w:rsidRPr="00D623F1">
        <w:t xml:space="preserve"> existența </w:t>
      </w:r>
      <w:r w:rsidRPr="00D623F1">
        <w:rPr>
          <w:i/>
        </w:rPr>
        <w:t>fumus</w:t>
      </w:r>
      <w:r w:rsidRPr="00D623F1">
        <w:rPr>
          <w:i/>
        </w:rPr>
        <w:t> </w:t>
      </w:r>
      <w:r w:rsidRPr="00D623F1">
        <w:rPr>
          <w:i/>
        </w:rPr>
        <w:t>persecutionis</w:t>
      </w:r>
      <w:r w:rsidRPr="00D623F1">
        <w:t>, și</w:t>
      </w:r>
      <w:r w:rsidRPr="00D623F1" w:rsidR="00E92436">
        <w:t xml:space="preserve">, cu alte cuvinte, nu rezultă că intenția care stă la baza procedurii judiciare în cauză este de a </w:t>
      </w:r>
      <w:r w:rsidRPr="00D623F1" w:rsidR="00E92436">
        <w:t>prejudicia activitatea politică</w:t>
      </w:r>
      <w:r w:rsidRPr="00D623F1">
        <w:t xml:space="preserve"> </w:t>
      </w:r>
      <w:r w:rsidRPr="00D623F1" w:rsidR="00E92436">
        <w:t xml:space="preserve">a lui </w:t>
      </w:r>
      <w:r w:rsidRPr="00D623F1" w:rsidR="00E92436">
        <w:t>Tomasz</w:t>
      </w:r>
      <w:r w:rsidRPr="00D623F1" w:rsidR="00E92436">
        <w:t xml:space="preserve"> </w:t>
      </w:r>
      <w:r w:rsidRPr="00D623F1" w:rsidR="00E92436">
        <w:t>Buczek</w:t>
      </w:r>
      <w:r w:rsidRPr="00D623F1" w:rsidR="00E92436">
        <w:t xml:space="preserve"> în calitatea sa de deputat în Parlamentul European și, prin urmare, independența Parlamentului</w:t>
      </w:r>
      <w:r w:rsidRPr="00D623F1">
        <w:t>;</w:t>
      </w:r>
    </w:p>
    <w:p w:rsidR="00232ACB" w:rsidRPr="00D623F1" w:rsidP="00232ACB" w14:paraId="4A642419" w14:textId="0D861055">
      <w:pPr>
        <w:pStyle w:val="NormalHanging12a"/>
      </w:pPr>
      <w:r w:rsidRPr="00D623F1">
        <w:t>K.</w:t>
      </w:r>
      <w:r w:rsidRPr="00D623F1">
        <w:tab/>
        <w:t xml:space="preserve">întrucât, pe de o parte, Parlamentul nu poate fi </w:t>
      </w:r>
      <w:r w:rsidRPr="00D623F1" w:rsidR="00E92436">
        <w:t>asimilat unei instanțe judecătorești</w:t>
      </w:r>
      <w:r w:rsidRPr="00D623F1">
        <w:t xml:space="preserve"> și, pe de altă parte, în contextul unei proceduri de ridicare a imunității, deputatul în cauză nu poate fi considerat „</w:t>
      </w:r>
      <w:r w:rsidRPr="00D623F1" w:rsidR="00E92436">
        <w:t xml:space="preserve">persoană </w:t>
      </w:r>
      <w:r w:rsidRPr="00D623F1">
        <w:t>acuzat</w:t>
      </w:r>
      <w:r w:rsidRPr="00D623F1" w:rsidR="00E92436">
        <w:t>ă</w:t>
      </w:r>
      <w:r w:rsidRPr="00D623F1">
        <w:t>”</w:t>
      </w:r>
      <w:r>
        <w:rPr>
          <w:vertAlign w:val="superscript"/>
        </w:rPr>
        <w:footnoteReference w:id="3"/>
      </w:r>
      <w:r w:rsidRPr="00D623F1">
        <w:t>,</w:t>
      </w:r>
    </w:p>
    <w:p w:rsidR="00232ACB" w:rsidRPr="00D623F1" w:rsidP="00232ACB" w14:paraId="7EC9A4FA" w14:textId="77777777">
      <w:pPr>
        <w:pStyle w:val="NormalHanging12a"/>
      </w:pPr>
      <w:r w:rsidRPr="00D623F1">
        <w:t>1.</w:t>
      </w:r>
      <w:r w:rsidRPr="00D623F1">
        <w:tab/>
        <w:t xml:space="preserve">hotărăște să ridice imunitatea deputatului </w:t>
      </w:r>
      <w:r w:rsidRPr="00D623F1">
        <w:t>Tomasz</w:t>
      </w:r>
      <w:r w:rsidRPr="00D623F1">
        <w:t xml:space="preserve"> </w:t>
      </w:r>
      <w:r w:rsidRPr="00D623F1">
        <w:t>Buczek</w:t>
      </w:r>
      <w:r w:rsidRPr="00D623F1">
        <w:t>;</w:t>
      </w:r>
    </w:p>
    <w:p w:rsidR="00E365E1" w:rsidRPr="00D623F1" w:rsidP="000631BE" w14:paraId="221B9F03" w14:textId="4415DD31">
      <w:pPr>
        <w:ind w:left="567" w:hanging="567"/>
      </w:pPr>
      <w:r w:rsidRPr="00D623F1">
        <w:t>2.</w:t>
      </w:r>
      <w:r w:rsidRPr="00D623F1">
        <w:tab/>
        <w:t>încredințează Președintei sarcina de a transmite imediat prezenta decizie, precum și raportul comisiei competente</w:t>
      </w:r>
      <w:r w:rsidRPr="00D623F1" w:rsidR="00E92436">
        <w:t>,</w:t>
      </w:r>
      <w:r w:rsidRPr="00D623F1">
        <w:t xml:space="preserve"> autorității competente a </w:t>
      </w:r>
      <w:r w:rsidRPr="00D623F1" w:rsidR="00E92436">
        <w:t>Republicii Poloneze</w:t>
      </w:r>
      <w:r w:rsidRPr="00D623F1">
        <w:t xml:space="preserve"> și </w:t>
      </w:r>
      <w:r w:rsidRPr="00D623F1" w:rsidR="00E92436">
        <w:t>deputatului</w:t>
      </w:r>
      <w:r w:rsidRPr="00D623F1">
        <w:t xml:space="preserve"> </w:t>
      </w:r>
      <w:r w:rsidRPr="00D623F1">
        <w:t>Tomasz</w:t>
      </w:r>
      <w:r w:rsidRPr="00D623F1">
        <w:t xml:space="preserve"> </w:t>
      </w:r>
      <w:r w:rsidRPr="00D623F1">
        <w:t>Buczek</w:t>
      </w:r>
      <w:r w:rsidRPr="00D623F1">
        <w:t>.</w:t>
      </w:r>
    </w:p>
    <w:sectPr w:rsidSect="000050F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50FB" w14:paraId="39D593B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50FB" w14:paraId="19FBDB0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50FB" w14:paraId="26B1970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261A8" w:rsidRPr="000050FB" w14:paraId="1C02F931" w14:textId="77777777">
      <w:r w:rsidRPr="000050FB">
        <w:separator/>
      </w:r>
    </w:p>
  </w:footnote>
  <w:footnote w:type="continuationSeparator" w:id="1">
    <w:p w:rsidR="00B261A8" w:rsidRPr="000050FB" w14:paraId="653132AD" w14:textId="77777777">
      <w:r w:rsidRPr="000050FB">
        <w:continuationSeparator/>
      </w:r>
    </w:p>
  </w:footnote>
  <w:footnote w:id="2">
    <w:p w:rsidR="00232ACB" w:rsidRPr="000050FB" w:rsidP="000050FB" w14:paraId="1820C6B8" w14:textId="6F989A47">
      <w:pPr>
        <w:pStyle w:val="FootnoteText"/>
        <w:ind w:left="567" w:hanging="567"/>
        <w:rPr>
          <w:sz w:val="24"/>
          <w:lang w:val="ro-RO"/>
        </w:rPr>
      </w:pPr>
      <w:r w:rsidRPr="000050FB">
        <w:rPr>
          <w:rStyle w:val="FootnoteReference"/>
          <w:sz w:val="24"/>
          <w:lang w:val="ro-RO"/>
        </w:rPr>
        <w:footnoteRef/>
      </w:r>
      <w:r w:rsidRPr="000050FB" w:rsidR="000050FB">
        <w:rPr>
          <w:sz w:val="24"/>
          <w:lang w:val="ro-RO"/>
        </w:rPr>
        <w:t xml:space="preserve"> </w:t>
      </w:r>
      <w:r w:rsidRPr="000050FB" w:rsidR="000050FB">
        <w:rPr>
          <w:sz w:val="24"/>
          <w:lang w:val="ro-RO"/>
        </w:rPr>
        <w:tab/>
      </w:r>
      <w:r w:rsidRPr="000050FB">
        <w:rPr>
          <w:sz w:val="24"/>
          <w:lang w:val="ro-RO"/>
        </w:rPr>
        <w:t xml:space="preserve">Hotărârea Curții de Justiție din 21 octombrie 2008, </w:t>
      </w:r>
      <w:r w:rsidRPr="000050FB">
        <w:rPr>
          <w:sz w:val="24"/>
          <w:lang w:val="ro-RO"/>
        </w:rPr>
        <w:t>Marra</w:t>
      </w:r>
      <w:r w:rsidRPr="000050FB">
        <w:rPr>
          <w:sz w:val="24"/>
          <w:lang w:val="ro-RO"/>
        </w:rPr>
        <w:t xml:space="preserve">/De Gregorio și Clemente, C-200/07 și C-201/07, ECLI:EU:C:2008:579, Hotărârea Tribunalului din 19 martie 2010, </w:t>
      </w:r>
      <w:r w:rsidRPr="000050FB">
        <w:rPr>
          <w:sz w:val="24"/>
          <w:lang w:val="ro-RO"/>
        </w:rPr>
        <w:t>Gollnisch</w:t>
      </w:r>
      <w:r w:rsidRPr="000050FB">
        <w:rPr>
          <w:sz w:val="24"/>
          <w:lang w:val="ro-RO"/>
        </w:rPr>
        <w:t xml:space="preserve">/Parlamentul, T-42/06, ECLI:EU:T:2010:102, Hotărârea Curții de Justiție din 6 septembrie 2011, </w:t>
      </w:r>
      <w:r w:rsidRPr="000050FB">
        <w:rPr>
          <w:sz w:val="24"/>
          <w:lang w:val="ro-RO"/>
        </w:rPr>
        <w:t>Patriciello</w:t>
      </w:r>
      <w:r w:rsidRPr="000050FB">
        <w:rPr>
          <w:sz w:val="24"/>
          <w:lang w:val="ro-RO"/>
        </w:rPr>
        <w:t xml:space="preserve">, C-163/10, ECLI: EU:C:2011:543, Hotărârea Tribunalului din 17 ianuarie 2013, </w:t>
      </w:r>
      <w:r w:rsidRPr="000050FB">
        <w:rPr>
          <w:sz w:val="24"/>
          <w:lang w:val="ro-RO"/>
        </w:rPr>
        <w:t>Gollnisch</w:t>
      </w:r>
      <w:r w:rsidRPr="000050FB">
        <w:rPr>
          <w:sz w:val="24"/>
          <w:lang w:val="ro-RO"/>
        </w:rPr>
        <w:t xml:space="preserve">/Parlamentul, T-346/11 și T-347/11, ECLI:EU:T:2013:23, Hotărârea Curții de Justiție din 19 decembrie 2019, </w:t>
      </w:r>
      <w:r w:rsidRPr="000050FB">
        <w:rPr>
          <w:sz w:val="24"/>
          <w:lang w:val="ro-RO"/>
        </w:rPr>
        <w:t>Junqueras</w:t>
      </w:r>
      <w:r w:rsidRPr="000050FB">
        <w:rPr>
          <w:sz w:val="24"/>
          <w:lang w:val="ro-RO"/>
        </w:rPr>
        <w:t xml:space="preserve"> </w:t>
      </w:r>
      <w:r w:rsidRPr="000050FB">
        <w:rPr>
          <w:sz w:val="24"/>
          <w:lang w:val="ro-RO"/>
        </w:rPr>
        <w:t>Vies</w:t>
      </w:r>
      <w:r w:rsidRPr="000050FB">
        <w:rPr>
          <w:sz w:val="24"/>
          <w:lang w:val="ro-RO"/>
        </w:rPr>
        <w:t>, C-502/19, ECLI:EU:C:2019:1115.</w:t>
      </w:r>
    </w:p>
  </w:footnote>
  <w:footnote w:id="3">
    <w:p w:rsidR="00232ACB" w:rsidRPr="000050FB" w:rsidP="000050FB" w14:paraId="3C744242" w14:textId="7B4C2D23">
      <w:pPr>
        <w:pStyle w:val="FootnoteText"/>
        <w:ind w:left="567" w:hanging="567"/>
        <w:rPr>
          <w:sz w:val="24"/>
          <w:lang w:val="ro-RO"/>
        </w:rPr>
      </w:pPr>
      <w:r w:rsidRPr="000050FB">
        <w:rPr>
          <w:rStyle w:val="FootnoteReference"/>
          <w:sz w:val="24"/>
          <w:lang w:val="ro-RO"/>
        </w:rPr>
        <w:footnoteRef/>
      </w:r>
      <w:r w:rsidRPr="000050FB" w:rsidR="000050FB">
        <w:rPr>
          <w:sz w:val="24"/>
          <w:lang w:val="ro-RO"/>
        </w:rPr>
        <w:t xml:space="preserve"> </w:t>
      </w:r>
      <w:r w:rsidRPr="000050FB" w:rsidR="000050FB">
        <w:rPr>
          <w:sz w:val="24"/>
          <w:lang w:val="ro-RO"/>
        </w:rPr>
        <w:tab/>
      </w:r>
      <w:r w:rsidRPr="000050FB">
        <w:rPr>
          <w:sz w:val="24"/>
          <w:lang w:val="ro-RO"/>
        </w:rPr>
        <w:t xml:space="preserve">Hotărârea Tribunalului din 30 aprilie 2019, </w:t>
      </w:r>
      <w:r w:rsidRPr="000050FB">
        <w:rPr>
          <w:sz w:val="24"/>
          <w:lang w:val="ro-RO"/>
        </w:rPr>
        <w:t>Briois</w:t>
      </w:r>
      <w:r w:rsidRPr="000050FB">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50FB" w14:paraId="54FF50B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50FB" w14:paraId="3FFCCF0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50FB" w14:paraId="204B9E3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4740891">
    <w:abstractNumId w:val="9"/>
  </w:num>
  <w:num w:numId="2" w16cid:durableId="356347482">
    <w:abstractNumId w:val="9"/>
  </w:num>
  <w:num w:numId="3" w16cid:durableId="259221361">
    <w:abstractNumId w:val="7"/>
  </w:num>
  <w:num w:numId="4" w16cid:durableId="1849824948">
    <w:abstractNumId w:val="7"/>
  </w:num>
  <w:num w:numId="5" w16cid:durableId="1967420235">
    <w:abstractNumId w:val="6"/>
  </w:num>
  <w:num w:numId="6" w16cid:durableId="306012712">
    <w:abstractNumId w:val="6"/>
  </w:num>
  <w:num w:numId="7" w16cid:durableId="157111912">
    <w:abstractNumId w:val="5"/>
  </w:num>
  <w:num w:numId="8" w16cid:durableId="1068499287">
    <w:abstractNumId w:val="5"/>
  </w:num>
  <w:num w:numId="9" w16cid:durableId="325862560">
    <w:abstractNumId w:val="4"/>
  </w:num>
  <w:num w:numId="10" w16cid:durableId="1343362168">
    <w:abstractNumId w:val="4"/>
  </w:num>
  <w:num w:numId="11" w16cid:durableId="234515691">
    <w:abstractNumId w:val="8"/>
  </w:num>
  <w:num w:numId="12" w16cid:durableId="2076001542">
    <w:abstractNumId w:val="8"/>
  </w:num>
  <w:num w:numId="13" w16cid:durableId="824709090">
    <w:abstractNumId w:val="3"/>
  </w:num>
  <w:num w:numId="14" w16cid:durableId="828983284">
    <w:abstractNumId w:val="3"/>
  </w:num>
  <w:num w:numId="15" w16cid:durableId="496044527">
    <w:abstractNumId w:val="2"/>
  </w:num>
  <w:num w:numId="16" w16cid:durableId="465583154">
    <w:abstractNumId w:val="2"/>
  </w:num>
  <w:num w:numId="17" w16cid:durableId="1709524744">
    <w:abstractNumId w:val="1"/>
  </w:num>
  <w:num w:numId="18" w16cid:durableId="646787776">
    <w:abstractNumId w:val="1"/>
  </w:num>
  <w:num w:numId="19" w16cid:durableId="1705668781">
    <w:abstractNumId w:val="0"/>
  </w:num>
  <w:num w:numId="20" w16cid:durableId="958146601">
    <w:abstractNumId w:val="0"/>
  </w:num>
  <w:num w:numId="21" w16cid:durableId="1259826094">
    <w:abstractNumId w:val="9"/>
  </w:num>
  <w:num w:numId="22" w16cid:durableId="552160090">
    <w:abstractNumId w:val="7"/>
  </w:num>
  <w:num w:numId="23" w16cid:durableId="1768962138">
    <w:abstractNumId w:val="6"/>
  </w:num>
  <w:num w:numId="24" w16cid:durableId="1176917112">
    <w:abstractNumId w:val="5"/>
  </w:num>
  <w:num w:numId="25" w16cid:durableId="849639156">
    <w:abstractNumId w:val="4"/>
  </w:num>
  <w:num w:numId="26" w16cid:durableId="1943142990">
    <w:abstractNumId w:val="8"/>
  </w:num>
  <w:num w:numId="27" w16cid:durableId="947353320">
    <w:abstractNumId w:val="3"/>
  </w:num>
  <w:num w:numId="28" w16cid:durableId="280769209">
    <w:abstractNumId w:val="2"/>
  </w:num>
  <w:num w:numId="29" w16cid:durableId="1064063354">
    <w:abstractNumId w:val="1"/>
  </w:num>
  <w:num w:numId="30" w16cid:durableId="1087269760">
    <w:abstractNumId w:val="0"/>
  </w:num>
  <w:num w:numId="31" w16cid:durableId="809133105">
    <w:abstractNumId w:val="9"/>
  </w:num>
  <w:num w:numId="32" w16cid:durableId="1371033755">
    <w:abstractNumId w:val="7"/>
  </w:num>
  <w:num w:numId="33" w16cid:durableId="275910608">
    <w:abstractNumId w:val="6"/>
  </w:num>
  <w:num w:numId="34" w16cid:durableId="820275244">
    <w:abstractNumId w:val="5"/>
  </w:num>
  <w:num w:numId="35" w16cid:durableId="1023943986">
    <w:abstractNumId w:val="4"/>
  </w:num>
  <w:num w:numId="36" w16cid:durableId="1010989847">
    <w:abstractNumId w:val="8"/>
  </w:num>
  <w:num w:numId="37" w16cid:durableId="486095233">
    <w:abstractNumId w:val="3"/>
  </w:num>
  <w:num w:numId="38" w16cid:durableId="2038307862">
    <w:abstractNumId w:val="2"/>
  </w:num>
  <w:num w:numId="39" w16cid:durableId="478036419">
    <w:abstractNumId w:val="1"/>
  </w:num>
  <w:num w:numId="40" w16cid:durableId="817962111">
    <w:abstractNumId w:val="0"/>
  </w:num>
  <w:num w:numId="41" w16cid:durableId="843125558">
    <w:abstractNumId w:val="10"/>
  </w:num>
  <w:num w:numId="42" w16cid:durableId="1090084847">
    <w:abstractNumId w:val="10"/>
  </w:num>
  <w:num w:numId="43" w16cid:durableId="310721773">
    <w:abstractNumId w:val="10"/>
  </w:num>
  <w:num w:numId="44" w16cid:durableId="1832410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1A8"/>
    <w:rsid w:val="00002272"/>
    <w:rsid w:val="000050FB"/>
    <w:rsid w:val="000631BE"/>
    <w:rsid w:val="00064002"/>
    <w:rsid w:val="000677B9"/>
    <w:rsid w:val="00074F79"/>
    <w:rsid w:val="000831BA"/>
    <w:rsid w:val="000A42CC"/>
    <w:rsid w:val="000E7DD9"/>
    <w:rsid w:val="0010095E"/>
    <w:rsid w:val="00125B37"/>
    <w:rsid w:val="00187494"/>
    <w:rsid w:val="001A684F"/>
    <w:rsid w:val="001F32AE"/>
    <w:rsid w:val="002029D7"/>
    <w:rsid w:val="00232ACB"/>
    <w:rsid w:val="002767FF"/>
    <w:rsid w:val="00295393"/>
    <w:rsid w:val="002A73DA"/>
    <w:rsid w:val="002B18FE"/>
    <w:rsid w:val="002B5493"/>
    <w:rsid w:val="002C29B1"/>
    <w:rsid w:val="00343214"/>
    <w:rsid w:val="00361C00"/>
    <w:rsid w:val="00367CD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0BBE"/>
    <w:rsid w:val="00747932"/>
    <w:rsid w:val="00751A4A"/>
    <w:rsid w:val="00756632"/>
    <w:rsid w:val="00762C74"/>
    <w:rsid w:val="00786EC0"/>
    <w:rsid w:val="007D1690"/>
    <w:rsid w:val="007E22AD"/>
    <w:rsid w:val="00817416"/>
    <w:rsid w:val="008269ED"/>
    <w:rsid w:val="00842779"/>
    <w:rsid w:val="00865F67"/>
    <w:rsid w:val="00881A7B"/>
    <w:rsid w:val="008840E5"/>
    <w:rsid w:val="00887B3E"/>
    <w:rsid w:val="008C2AC6"/>
    <w:rsid w:val="00930C23"/>
    <w:rsid w:val="0093193B"/>
    <w:rsid w:val="009509D8"/>
    <w:rsid w:val="00950B64"/>
    <w:rsid w:val="00981893"/>
    <w:rsid w:val="009867D1"/>
    <w:rsid w:val="00A1687D"/>
    <w:rsid w:val="00A43E52"/>
    <w:rsid w:val="00A4678D"/>
    <w:rsid w:val="00A778C7"/>
    <w:rsid w:val="00AB441E"/>
    <w:rsid w:val="00AB6293"/>
    <w:rsid w:val="00AE0928"/>
    <w:rsid w:val="00AF3B82"/>
    <w:rsid w:val="00B12E95"/>
    <w:rsid w:val="00B22876"/>
    <w:rsid w:val="00B261A8"/>
    <w:rsid w:val="00B558F0"/>
    <w:rsid w:val="00BD48FE"/>
    <w:rsid w:val="00BD7BD8"/>
    <w:rsid w:val="00BE6ADC"/>
    <w:rsid w:val="00C05BFE"/>
    <w:rsid w:val="00C23CD4"/>
    <w:rsid w:val="00C61C0C"/>
    <w:rsid w:val="00C941CB"/>
    <w:rsid w:val="00CC2357"/>
    <w:rsid w:val="00CF071A"/>
    <w:rsid w:val="00D00220"/>
    <w:rsid w:val="00D058B8"/>
    <w:rsid w:val="00D56C11"/>
    <w:rsid w:val="00D623F1"/>
    <w:rsid w:val="00D75F0F"/>
    <w:rsid w:val="00D834A0"/>
    <w:rsid w:val="00D872DF"/>
    <w:rsid w:val="00D91E21"/>
    <w:rsid w:val="00DA7FCD"/>
    <w:rsid w:val="00E12DB8"/>
    <w:rsid w:val="00E221E5"/>
    <w:rsid w:val="00E365E1"/>
    <w:rsid w:val="00E820A4"/>
    <w:rsid w:val="00E92436"/>
    <w:rsid w:val="00EB006A"/>
    <w:rsid w:val="00EB4772"/>
    <w:rsid w:val="00ED169E"/>
    <w:rsid w:val="00ED4235"/>
    <w:rsid w:val="00F04346"/>
    <w:rsid w:val="00F075DC"/>
    <w:rsid w:val="00F149E9"/>
    <w:rsid w:val="00F35BC1"/>
    <w:rsid w:val="00F44A3E"/>
    <w:rsid w:val="00F5134D"/>
    <w:rsid w:val="00F52830"/>
    <w:rsid w:val="00F74202"/>
    <w:rsid w:val="00F87713"/>
    <w:rsid w:val="00FB4360"/>
    <w:rsid w:val="00FD0C70"/>
  </w:rsids>
  <w:docVars>
    <w:docVar w:name="dvdocse" w:val="A10-0116/2026"/>
    <w:docVar w:name="dvlangue" w:val="RO"/>
    <w:docVar w:name="dvnumam" w:val="0"/>
    <w:docVar w:name="dvpe" w:val="786.694"/>
    <w:docVar w:name="dvrapporteur" w:val="Raportor: "/>
    <w:docVar w:name="dvtitre" w:val="Decizia Parlamentului European din 28 aprilie 2026 privind cererea de ridicare a imunității deputatului Tomasz Buczek(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1CF131F"/>
  <w15:chartTrackingRefBased/>
  <w15:docId w15:val="{2B92EBDC-CBDD-49B0-A317-BF75FE10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32ACB"/>
    <w:pPr>
      <w:spacing w:after="240"/>
      <w:ind w:left="567" w:hanging="567"/>
    </w:pPr>
  </w:style>
  <w:style w:type="paragraph" w:customStyle="1" w:styleId="EPComma">
    <w:name w:val="EPComma"/>
    <w:basedOn w:val="Normal"/>
    <w:rsid w:val="00232ACB"/>
    <w:pPr>
      <w:spacing w:before="480" w:after="240"/>
    </w:pPr>
  </w:style>
  <w:style w:type="paragraph" w:styleId="Revision">
    <w:name w:val="Revision"/>
    <w:hidden/>
    <w:uiPriority w:val="99"/>
    <w:semiHidden/>
    <w:rsid w:val="00F52830"/>
    <w:rPr>
      <w:sz w:val="24"/>
      <w:lang w:val="ro-RO"/>
    </w:rPr>
  </w:style>
  <w:style w:type="character" w:styleId="CommentReference">
    <w:name w:val="annotation reference"/>
    <w:basedOn w:val="DefaultParagraphFont"/>
    <w:rsid w:val="00F52830"/>
    <w:rPr>
      <w:sz w:val="16"/>
      <w:szCs w:val="16"/>
    </w:rPr>
  </w:style>
  <w:style w:type="paragraph" w:styleId="CommentText">
    <w:name w:val="annotation text"/>
    <w:basedOn w:val="Normal"/>
    <w:link w:val="CommentTextChar"/>
    <w:rsid w:val="00F52830"/>
    <w:rPr>
      <w:sz w:val="20"/>
    </w:rPr>
  </w:style>
  <w:style w:type="character" w:customStyle="1" w:styleId="CommentTextChar">
    <w:name w:val="Comment Text Char"/>
    <w:basedOn w:val="DefaultParagraphFont"/>
    <w:link w:val="CommentText"/>
    <w:rsid w:val="00F52830"/>
    <w:rPr>
      <w:lang w:val="ro-RO"/>
    </w:rPr>
  </w:style>
  <w:style w:type="paragraph" w:styleId="CommentSubject">
    <w:name w:val="annotation subject"/>
    <w:basedOn w:val="CommentText"/>
    <w:next w:val="CommentText"/>
    <w:link w:val="CommentSubjectChar"/>
    <w:rsid w:val="00F52830"/>
    <w:rPr>
      <w:b/>
      <w:bCs/>
    </w:rPr>
  </w:style>
  <w:style w:type="character" w:customStyle="1" w:styleId="CommentSubjectChar">
    <w:name w:val="Comment Subject Char"/>
    <w:basedOn w:val="CommentTextChar"/>
    <w:link w:val="CommentSubject"/>
    <w:rsid w:val="00F52830"/>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798</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2026-04-28T11:54:00Z</dcterms:created>
  <dcterms:modified xsi:type="dcterms:W3CDTF">2026-04-28T11:54:00Z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A10-0116/2026</vt:lpwstr>
  </property>
  <property fmtid="{D5CDD505-2E9C-101B-9397-08002B2CF9AE}" pid="4" name="&lt;Type&gt;">
    <vt:lpwstr>RR</vt:lpwstr>
  </property>
</Properties>
</file>