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5ADACB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18F3" w:rsidP="0010095E" w14:paraId="40EB3483" w14:textId="77777777">
            <w:pPr>
              <w:pStyle w:val="EPName"/>
            </w:pPr>
            <w:r w:rsidRPr="00E318F3">
              <w:t>Európsky parlament</w:t>
            </w:r>
          </w:p>
          <w:p w:rsidR="00751A4A" w:rsidRPr="00E318F3" w:rsidP="005F1B17" w14:paraId="1A4A65F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8F3">
              <w:t>2024</w:t>
            </w:r>
            <w:r w:rsidRPr="00E318F3" w:rsidR="00817416">
              <w:t>-202</w:t>
            </w:r>
            <w:r w:rsidRPr="00E318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18F3" w:rsidP="0010095E" w14:paraId="3335E562" w14:textId="77777777">
            <w:pPr>
              <w:pStyle w:val="EPLogo"/>
            </w:pPr>
            <w:r w:rsidRPr="00E318F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18F3" w:rsidP="004C5D52" w14:paraId="62C84A63" w14:textId="77777777">
      <w:pPr>
        <w:pStyle w:val="LineTop"/>
      </w:pPr>
    </w:p>
    <w:p w:rsidR="00680577" w:rsidRPr="00E318F3" w:rsidP="00680577" w14:paraId="38DAAA9B" w14:textId="77777777">
      <w:pPr>
        <w:pStyle w:val="EPBodyTA1"/>
      </w:pPr>
      <w:r w:rsidRPr="00E318F3">
        <w:t>PRIJATÉ TEXTY</w:t>
      </w:r>
    </w:p>
    <w:p w:rsidR="00D058B8" w:rsidRPr="00E318F3" w:rsidP="00D058B8" w14:paraId="37CFD2B4" w14:textId="77777777">
      <w:pPr>
        <w:pStyle w:val="LineBottom"/>
      </w:pPr>
    </w:p>
    <w:p w:rsidR="00E22C36" w:rsidRPr="00E318F3" w:rsidP="00E22C36" w14:paraId="3AD3076D" w14:textId="4CEE66FF">
      <w:pPr>
        <w:pStyle w:val="ATHeading1"/>
      </w:pPr>
      <w:bookmarkStart w:id="0" w:name="TANumber"/>
      <w:r w:rsidRPr="00E318F3">
        <w:t>P10_TA(2026)0</w:t>
      </w:r>
      <w:r w:rsidRPr="00E318F3" w:rsidR="00E318F3">
        <w:t>107</w:t>
      </w:r>
      <w:bookmarkEnd w:id="0"/>
    </w:p>
    <w:p w:rsidR="00E22C36" w:rsidRPr="00E318F3" w:rsidP="00E22C36" w14:paraId="4CD0B7BD" w14:textId="77777777">
      <w:pPr>
        <w:pStyle w:val="ATHeading2"/>
      </w:pPr>
      <w:bookmarkStart w:id="1" w:name="title"/>
      <w:r w:rsidRPr="00E318F3">
        <w:t xml:space="preserve">Žiadosť o zbavenie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 imunity</w:t>
      </w:r>
      <w:bookmarkEnd w:id="1"/>
    </w:p>
    <w:p w:rsidR="00E22C36" w:rsidRPr="00E318F3" w:rsidP="00E22C36" w14:paraId="7E25B103" w14:textId="77777777">
      <w:pPr>
        <w:rPr>
          <w:i/>
          <w:vanish/>
        </w:rPr>
      </w:pPr>
      <w:r>
        <w:rPr>
          <w:i/>
        </w:rPr>
        <w:fldChar w:fldCharType="begin"/>
      </w:r>
      <w:r w:rsidRPr="00E318F3">
        <w:rPr>
          <w:i/>
        </w:rPr>
        <w:instrText xml:space="preserve"> TC"(</w:instrText>
      </w:r>
      <w:bookmarkStart w:id="2" w:name="DocNumber"/>
      <w:r w:rsidRPr="00E318F3">
        <w:rPr>
          <w:i/>
        </w:rPr>
        <w:instrText>A10-0116/2026</w:instrText>
      </w:r>
      <w:bookmarkEnd w:id="2"/>
      <w:r w:rsidRPr="00E318F3">
        <w:rPr>
          <w:i/>
        </w:rPr>
        <w:instrText xml:space="preserve"> - Spravodajca: David Cormand)"\l3 \n&gt; \* MERGEFORMAT </w:instrText>
      </w:r>
      <w:r>
        <w:rPr>
          <w:i/>
        </w:rPr>
        <w:fldChar w:fldCharType="end"/>
      </w:r>
    </w:p>
    <w:p w:rsidR="00E22C36" w:rsidRPr="00E318F3" w:rsidP="00E22C36" w14:paraId="0704BAC0" w14:textId="77777777">
      <w:pPr>
        <w:rPr>
          <w:vanish/>
        </w:rPr>
      </w:pPr>
      <w:bookmarkStart w:id="3" w:name="Commission"/>
      <w:r w:rsidRPr="00E318F3">
        <w:rPr>
          <w:vanish/>
        </w:rPr>
        <w:t>Výbor pre právne veci</w:t>
      </w:r>
      <w:bookmarkEnd w:id="3"/>
    </w:p>
    <w:p w:rsidR="00E22C36" w:rsidRPr="00E318F3" w:rsidP="00E22C36" w14:paraId="5B7D1890" w14:textId="77777777">
      <w:pPr>
        <w:rPr>
          <w:vanish/>
        </w:rPr>
      </w:pPr>
      <w:bookmarkStart w:id="4" w:name="PE"/>
      <w:r w:rsidRPr="00E318F3">
        <w:rPr>
          <w:vanish/>
        </w:rPr>
        <w:t>PE786.694</w:t>
      </w:r>
      <w:bookmarkEnd w:id="4"/>
    </w:p>
    <w:p w:rsidR="00E22C36" w:rsidRPr="00E318F3" w:rsidP="00E22C36" w14:paraId="69242AB8" w14:textId="7EC406ED">
      <w:pPr>
        <w:pStyle w:val="ATHeading3"/>
      </w:pPr>
      <w:bookmarkStart w:id="5" w:name="Sujet"/>
      <w:r w:rsidRPr="00E318F3">
        <w:t xml:space="preserve">Rozhodnutie Európskeho parlamentu z </w:t>
      </w:r>
      <w:r w:rsidRPr="00E318F3" w:rsidR="00476FE0">
        <w:t>28</w:t>
      </w:r>
      <w:r w:rsidRPr="00E318F3">
        <w:t xml:space="preserve">. </w:t>
      </w:r>
      <w:r w:rsidRPr="00E318F3" w:rsidR="00120A3E">
        <w:t xml:space="preserve">apríla </w:t>
      </w:r>
      <w:r w:rsidRPr="00E318F3">
        <w:t xml:space="preserve">2026 o žiadosti o zbavenie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 imunity</w:t>
      </w:r>
      <w:bookmarkEnd w:id="5"/>
      <w:r w:rsidRPr="00E318F3">
        <w:t xml:space="preserve"> </w:t>
      </w:r>
      <w:bookmarkStart w:id="6" w:name="References"/>
      <w:r w:rsidRPr="00E318F3">
        <w:t>(2025/2193(IMM))</w:t>
      </w:r>
      <w:bookmarkEnd w:id="6"/>
    </w:p>
    <w:p w:rsidR="00E6778D" w:rsidRPr="00E318F3" w:rsidP="00E6778D" w14:paraId="4C66335E" w14:textId="77777777">
      <w:pPr>
        <w:pStyle w:val="EPComma"/>
      </w:pPr>
      <w:bookmarkStart w:id="7" w:name="TextBodyBegin"/>
      <w:bookmarkEnd w:id="7"/>
      <w:r w:rsidRPr="00E318F3">
        <w:rPr>
          <w:i/>
        </w:rPr>
        <w:t>Európsky parlament</w:t>
      </w:r>
      <w:r w:rsidRPr="00E318F3">
        <w:t>,</w:t>
      </w:r>
    </w:p>
    <w:p w:rsidR="00E6778D" w:rsidRPr="00E318F3" w:rsidP="00E6778D" w14:paraId="07CD8B99" w14:textId="2BAD86FE">
      <w:pPr>
        <w:pStyle w:val="NormalHanging12a"/>
      </w:pPr>
      <w:r w:rsidRPr="00E318F3">
        <w:t>–</w:t>
      </w:r>
      <w:r w:rsidRPr="00E318F3">
        <w:tab/>
        <w:t xml:space="preserve">so zreteľom na žiadosť o zbavenie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 imunity, ktorú podal druhý trestný senát okresného súdu v </w:t>
      </w:r>
      <w:r w:rsidRPr="00E318F3">
        <w:t>Tarnobrzegu</w:t>
      </w:r>
      <w:r w:rsidRPr="00E318F3">
        <w:t xml:space="preserve"> </w:t>
      </w:r>
      <w:r w:rsidRPr="00E318F3" w:rsidR="00476FE0">
        <w:t>listom z 12. septembra 2025 súvislosti s</w:t>
      </w:r>
      <w:r w:rsidRPr="00E318F3">
        <w:t xml:space="preserve"> trestn</w:t>
      </w:r>
      <w:r w:rsidRPr="00E318F3" w:rsidR="00476FE0">
        <w:t>ým</w:t>
      </w:r>
      <w:r w:rsidRPr="00E318F3">
        <w:t xml:space="preserve"> konan</w:t>
      </w:r>
      <w:r w:rsidRPr="00E318F3" w:rsidR="00476FE0">
        <w:t>ím</w:t>
      </w:r>
      <w:r w:rsidRPr="00E318F3">
        <w:t>, ktoré sa proti nemu začalo na základe súkromnej žaloby podanej právnym zástupcom súkromnej žalobkyne, a ktorá bola oznámená na plenárnej schôdzi 6. októbra 2025,</w:t>
      </w:r>
    </w:p>
    <w:p w:rsidR="00E6778D" w:rsidRPr="00E318F3" w:rsidP="00E6778D" w14:paraId="73711604" w14:textId="6803358C">
      <w:pPr>
        <w:pStyle w:val="NormalHanging12a"/>
      </w:pPr>
      <w:r w:rsidRPr="00E318F3">
        <w:t>–</w:t>
      </w:r>
      <w:r w:rsidRPr="00E318F3">
        <w:tab/>
        <w:t xml:space="preserve">po vypočutí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 23. marca 2026 a so zreteľom na dokumenty, ktoré </w:t>
      </w:r>
      <w:r w:rsidRPr="00E318F3" w:rsidR="00476FE0">
        <w:t>predložil v súlade s článkom 9 ods. 6 rokovacieho poriadku</w:t>
      </w:r>
      <w:r w:rsidRPr="00E318F3">
        <w:t>,</w:t>
      </w:r>
    </w:p>
    <w:p w:rsidR="00E6778D" w:rsidRPr="00E318F3" w:rsidP="00E6778D" w14:paraId="54668273" w14:textId="77777777">
      <w:pPr>
        <w:pStyle w:val="NormalHanging12a"/>
      </w:pPr>
      <w:r w:rsidRPr="00E318F3">
        <w:t>–</w:t>
      </w:r>
      <w:r w:rsidRPr="00E318F3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:rsidR="00E6778D" w:rsidRPr="00E318F3" w:rsidP="00E6778D" w14:paraId="7BA75E4D" w14:textId="77777777">
      <w:pPr>
        <w:pStyle w:val="NormalHanging12a"/>
      </w:pPr>
      <w:r w:rsidRPr="00E318F3">
        <w:t>–</w:t>
      </w:r>
      <w:r w:rsidRPr="00E318F3">
        <w:tab/>
        <w:t>so zreteľom na rozsudky Súdneho dvora Európskej únie z 21. októbra 2008, 19. marca 2010, 6. septembra 2011, 17. januára 2013 a 19. decembra 2019</w:t>
      </w:r>
      <w:r>
        <w:rPr>
          <w:vertAlign w:val="superscript"/>
        </w:rPr>
        <w:footnoteReference w:id="2"/>
      </w:r>
      <w:r w:rsidRPr="00E318F3">
        <w:t>,</w:t>
      </w:r>
    </w:p>
    <w:p w:rsidR="00E6778D" w:rsidRPr="00E318F3" w:rsidP="00E6778D" w14:paraId="5ED998B9" w14:textId="77777777">
      <w:pPr>
        <w:pStyle w:val="NormalHanging12a"/>
      </w:pPr>
      <w:r w:rsidRPr="00E318F3">
        <w:t>–</w:t>
      </w:r>
      <w:r w:rsidRPr="00E318F3">
        <w:tab/>
        <w:t>so zreteľom na článok 105 ods. 2 a 5 Ústavy Poľskej republiky,</w:t>
      </w:r>
    </w:p>
    <w:p w:rsidR="00E6778D" w:rsidRPr="00E318F3" w:rsidP="00E6778D" w14:paraId="5CC4C8A6" w14:textId="77777777">
      <w:pPr>
        <w:pStyle w:val="NormalHanging12a"/>
      </w:pPr>
      <w:r w:rsidRPr="00E318F3">
        <w:t>–</w:t>
      </w:r>
      <w:r w:rsidRPr="00E318F3">
        <w:tab/>
        <w:t>so zreteľom na článok 5 ods. 2, článok 6 ods. 1 a článok 9 rokovacieho poriadku,</w:t>
      </w:r>
    </w:p>
    <w:p w:rsidR="00E6778D" w:rsidRPr="00E318F3" w:rsidP="00E6778D" w14:paraId="0452612C" w14:textId="77777777">
      <w:pPr>
        <w:pStyle w:val="NormalHanging12a"/>
      </w:pPr>
      <w:r w:rsidRPr="00E318F3">
        <w:t>–</w:t>
      </w:r>
      <w:r w:rsidRPr="00E318F3">
        <w:tab/>
        <w:t>so zreteľom na správu Výboru pre právne veci (A10-0116/2026),</w:t>
      </w:r>
    </w:p>
    <w:p w:rsidR="00E6778D" w:rsidRPr="00E318F3" w:rsidP="00E6778D" w14:paraId="676698CB" w14:textId="430DF602">
      <w:pPr>
        <w:pStyle w:val="NormalHanging12a"/>
      </w:pPr>
      <w:r w:rsidRPr="00E318F3">
        <w:t>A.</w:t>
      </w:r>
      <w:r w:rsidRPr="00E318F3">
        <w:tab/>
        <w:t xml:space="preserve">keďže listom z 12. septembra 2025 druhý trestný senát okresného súdu v </w:t>
      </w:r>
      <w:r w:rsidRPr="00E318F3">
        <w:t>Tarnobrzegu</w:t>
      </w:r>
      <w:r w:rsidRPr="00E318F3">
        <w:t xml:space="preserve"> </w:t>
      </w:r>
      <w:r w:rsidRPr="00E318F3" w:rsidR="00476FE0">
        <w:t xml:space="preserve">predložil </w:t>
      </w:r>
      <w:r w:rsidRPr="00E318F3">
        <w:t xml:space="preserve">žiadosť o zbavenie </w:t>
      </w:r>
      <w:r w:rsidRPr="00E318F3" w:rsidR="00476FE0">
        <w:t xml:space="preserve">imunity </w:t>
      </w:r>
      <w:r w:rsidRPr="00E318F3">
        <w:t>Tomasza</w:t>
      </w:r>
      <w:r w:rsidRPr="00E318F3">
        <w:t xml:space="preserve"> </w:t>
      </w:r>
      <w:r w:rsidRPr="00E318F3">
        <w:t>Buczeka</w:t>
      </w:r>
      <w:bookmarkStart w:id="8" w:name="_Hlk222405545"/>
      <w:r w:rsidRPr="00E318F3" w:rsidR="00476FE0">
        <w:t>, poslanca Európskeho parlamentu zvoleného v Poľsku</w:t>
      </w:r>
      <w:bookmarkEnd w:id="8"/>
      <w:r w:rsidRPr="00E318F3" w:rsidR="00476FE0">
        <w:t>,</w:t>
      </w:r>
      <w:r w:rsidRPr="00E318F3">
        <w:t xml:space="preserve"> v súvislosti so súkromnou obžalobou, ktorá bola proti nemu podaná za údajný trestný čin podľa článku 217 ods. 1 poľského trestného zákonníka;</w:t>
      </w:r>
    </w:p>
    <w:p w:rsidR="00E6778D" w:rsidRPr="00E318F3" w:rsidP="00E6778D" w14:paraId="66008C58" w14:textId="3CA26456">
      <w:pPr>
        <w:pStyle w:val="NormalHanging12a"/>
      </w:pPr>
      <w:r w:rsidRPr="00E318F3">
        <w:t>B.</w:t>
      </w:r>
      <w:r w:rsidRPr="00E318F3">
        <w:tab/>
        <w:t xml:space="preserve">keďže podľa žiadosti o zbavenie imunity sa 21. septembra 2024 v </w:t>
      </w:r>
      <w:r w:rsidRPr="00E318F3">
        <w:t>Tarnobrzegu</w:t>
      </w:r>
      <w:r w:rsidRPr="00E318F3">
        <w:t xml:space="preserve"> uskutočnilo volebné zhromaždenie, na ktorom bol prítomný Tomasz </w:t>
      </w:r>
      <w:r w:rsidRPr="00E318F3">
        <w:t>Buczek</w:t>
      </w:r>
      <w:r w:rsidRPr="00E318F3">
        <w:t xml:space="preserve">; keďže súkromná žalobkyňa sa zúčastnila na uvedenom zhromaždení, kde vyjadrila svoje názory na politické témy vrátane aktivít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; keďže podľa žiadosti Tomasz </w:t>
      </w:r>
      <w:r w:rsidRPr="00E318F3">
        <w:t>Buczek</w:t>
      </w:r>
      <w:r w:rsidRPr="00E318F3">
        <w:t xml:space="preserve"> údajne vytrhol súkromnej žalobkyni z rúk miniatúrny megafón, do ktorého hovorila, a</w:t>
      </w:r>
      <w:r w:rsidRPr="00E318F3" w:rsidR="005E5587">
        <w:t xml:space="preserve"> keďže uvedené </w:t>
      </w:r>
      <w:r w:rsidRPr="00E318F3">
        <w:t>gesto bolo údajne také násilné, že megafón znefunkčnil;</w:t>
      </w:r>
    </w:p>
    <w:p w:rsidR="00E6778D" w:rsidRPr="00E318F3" w:rsidP="00E6778D" w14:paraId="3E14FBB0" w14:textId="77777777">
      <w:pPr>
        <w:pStyle w:val="NormalHanging12a"/>
      </w:pPr>
      <w:r w:rsidRPr="00E318F3">
        <w:t>C.</w:t>
      </w:r>
      <w:r w:rsidRPr="00E318F3">
        <w:tab/>
        <w:t xml:space="preserve">keďže toto gesto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 údajne predstavuje trestný čin zásahu do fyzickej integrity osoby v zmysle článku 217 ods. 1 poľského trestného zákonníka;</w:t>
      </w:r>
    </w:p>
    <w:p w:rsidR="00E6778D" w:rsidRPr="00E318F3" w:rsidP="00E6778D" w14:paraId="4608621C" w14:textId="60C6648F">
      <w:pPr>
        <w:pStyle w:val="NormalHanging12a"/>
      </w:pPr>
      <w:r w:rsidRPr="00E318F3">
        <w:t>D.</w:t>
      </w:r>
      <w:r w:rsidRPr="00E318F3">
        <w:tab/>
        <w:t xml:space="preserve">keďže Tomasz </w:t>
      </w:r>
      <w:r w:rsidRPr="00E318F3">
        <w:t>Buczek</w:t>
      </w:r>
      <w:r w:rsidRPr="00E318F3">
        <w:t xml:space="preserve"> bol zvolený do Európskeho parlamentu v európskych voľbách v júni 2024 a</w:t>
      </w:r>
      <w:r w:rsidRPr="00E318F3" w:rsidR="005E5587">
        <w:t xml:space="preserve"> preto bol </w:t>
      </w:r>
      <w:r w:rsidRPr="00E318F3">
        <w:t>v čase údajného trestného činu poslancom Európskeho parlamentu;</w:t>
      </w:r>
    </w:p>
    <w:p w:rsidR="00E6778D" w:rsidRPr="00E318F3" w:rsidP="00E6778D" w14:paraId="4AA89779" w14:textId="0F10051C">
      <w:pPr>
        <w:pStyle w:val="NormalHanging12a"/>
      </w:pPr>
      <w:r w:rsidRPr="00E318F3">
        <w:t>E.</w:t>
      </w:r>
      <w:r w:rsidRPr="00E318F3">
        <w:tab/>
        <w:t xml:space="preserve">keďže údajný trestný čin </w:t>
      </w:r>
      <w:r w:rsidRPr="00E318F3" w:rsidR="005E5587">
        <w:t xml:space="preserve">nepredstavuje </w:t>
      </w:r>
      <w:r w:rsidRPr="00E318F3">
        <w:t xml:space="preserve">a súvisiaca žiadosť o zbavenie imunity </w:t>
      </w:r>
      <w:r w:rsidRPr="00E318F3" w:rsidR="005E5587">
        <w:t>Tomasza</w:t>
      </w:r>
      <w:r w:rsidRPr="00E318F3" w:rsidR="005E5587">
        <w:t xml:space="preserve"> </w:t>
      </w:r>
      <w:r w:rsidRPr="00E318F3" w:rsidR="005E5587">
        <w:t>Buczeka</w:t>
      </w:r>
      <w:r w:rsidRPr="00E318F3" w:rsidR="005E5587">
        <w:t xml:space="preserve"> </w:t>
      </w:r>
      <w:r w:rsidRPr="00E318F3">
        <w:t>nesúvis</w:t>
      </w:r>
      <w:r w:rsidRPr="00E318F3" w:rsidR="005E5587">
        <w:t>í</w:t>
      </w:r>
      <w:r w:rsidRPr="00E318F3">
        <w:t xml:space="preserve"> s</w:t>
      </w:r>
      <w:r w:rsidRPr="00E318F3" w:rsidR="005E5587">
        <w:t xml:space="preserve"> jeho </w:t>
      </w:r>
      <w:r w:rsidRPr="00E318F3">
        <w:t xml:space="preserve">vyjadreným názorom alebo </w:t>
      </w:r>
      <w:r w:rsidRPr="00E318F3" w:rsidR="005E5587">
        <w:t xml:space="preserve">jeho </w:t>
      </w:r>
      <w:r w:rsidRPr="00E318F3">
        <w:t>hlasovaním pri výkone jeho funkcií v zmysle článku 8 Protokolu č. 7 o výsadách a imunitách Európskej únie;</w:t>
      </w:r>
    </w:p>
    <w:p w:rsidR="00E6778D" w:rsidRPr="00E318F3" w:rsidP="00E6778D" w14:paraId="40C7EBDA" w14:textId="4047B55C">
      <w:pPr>
        <w:pStyle w:val="NormalHanging12a"/>
      </w:pPr>
      <w:r w:rsidRPr="00E318F3">
        <w:t>F.</w:t>
      </w:r>
      <w:r w:rsidRPr="00E318F3">
        <w:tab/>
        <w:t xml:space="preserve">keďže v článku 9 </w:t>
      </w:r>
      <w:r w:rsidRPr="00E318F3" w:rsidR="005E5587">
        <w:t xml:space="preserve">prvom </w:t>
      </w:r>
      <w:r w:rsidRPr="00E318F3">
        <w:t>ods</w:t>
      </w:r>
      <w:r w:rsidRPr="00E318F3" w:rsidR="005E5587">
        <w:t>eku</w:t>
      </w:r>
      <w:r w:rsidRPr="00E318F3">
        <w:t xml:space="preserve"> písm. a) Protokolu č. 7 o výsadách a imunitách Európskej únie sa stanovuje, že </w:t>
      </w:r>
      <w:r w:rsidRPr="00E318F3" w:rsidR="005E5587">
        <w:t xml:space="preserve">v priebehu zasadnutí Európskeho parlamentu požívajú jeho </w:t>
      </w:r>
      <w:r w:rsidRPr="00E318F3">
        <w:t>poslanci na území ich vlastného štátu imunitu priznanú členom parlamentu</w:t>
      </w:r>
      <w:r w:rsidRPr="00E318F3" w:rsidR="005E5587">
        <w:t xml:space="preserve"> ich členského štátu</w:t>
      </w:r>
      <w:r w:rsidRPr="00E318F3">
        <w:t>;</w:t>
      </w:r>
    </w:p>
    <w:p w:rsidR="00E6778D" w:rsidRPr="00E318F3" w:rsidP="00E6778D" w14:paraId="50AFDD71" w14:textId="1A054EE9">
      <w:pPr>
        <w:pStyle w:val="NormalHanging12a"/>
      </w:pPr>
      <w:r w:rsidRPr="00E318F3">
        <w:t>G.</w:t>
      </w:r>
      <w:r w:rsidRPr="00E318F3">
        <w:tab/>
        <w:t xml:space="preserve">keďže podľa článku 105 ods. 2 a 5 </w:t>
      </w:r>
      <w:r w:rsidRPr="00E318F3" w:rsidR="00371034">
        <w:t>Ú</w:t>
      </w:r>
      <w:r w:rsidRPr="00E318F3">
        <w:t xml:space="preserve">stavy </w:t>
      </w:r>
      <w:r w:rsidRPr="00E318F3" w:rsidR="00371034">
        <w:t xml:space="preserve">Poľskej republiky </w:t>
      </w:r>
      <w:r w:rsidRPr="00E318F3">
        <w:t xml:space="preserve">odo dňa oznámenia výsledkov volieb až do dňa skončenia mandátu nesmie byť poslanec bez súhlasu </w:t>
      </w:r>
      <w:r w:rsidRPr="00E318F3">
        <w:t>Sejmu</w:t>
      </w:r>
      <w:r w:rsidRPr="00E318F3">
        <w:t xml:space="preserve"> trestne stíhaný ani zadržaný či zatknutý s výnimkou prípadov, keď je zadržaný pri páchaní trestného činu a keď je jeho zadržanie potrebné na riadny priebeh konania;</w:t>
      </w:r>
    </w:p>
    <w:p w:rsidR="00E6778D" w:rsidRPr="00E318F3" w:rsidP="00E6778D" w14:paraId="05CF0A53" w14:textId="77777777">
      <w:pPr>
        <w:pStyle w:val="NormalHanging12a"/>
      </w:pPr>
      <w:r w:rsidRPr="00E318F3">
        <w:t>H.</w:t>
      </w:r>
      <w:r w:rsidRPr="00E318F3">
        <w:tab/>
        <w:t>keďže v súlade s článkom 5 ods. 2 rokovacieho poriadku poslanecká imunita nie je osobná výsada poslanca, ale záruka nezávislosti Európskeho parlamentu ako celku a jeho poslancov;</w:t>
      </w:r>
    </w:p>
    <w:p w:rsidR="00E6778D" w:rsidRPr="00E318F3" w:rsidP="00E6778D" w14:paraId="72CBD68F" w14:textId="58B0F4DE">
      <w:pPr>
        <w:pStyle w:val="NormalHanging12a"/>
      </w:pPr>
      <w:r w:rsidRPr="00E318F3">
        <w:t>I.</w:t>
      </w:r>
      <w:r w:rsidRPr="00E318F3">
        <w:tab/>
        <w:t xml:space="preserve">keďže účelom imunity </w:t>
      </w:r>
      <w:bookmarkStart w:id="9" w:name="_Hlk222405989"/>
      <w:r w:rsidRPr="00E318F3" w:rsidR="00371034">
        <w:t>podľa Protokolu č. 7 o výsadách a imunitách Európskej únie</w:t>
      </w:r>
      <w:bookmarkEnd w:id="9"/>
      <w:r w:rsidRPr="00E318F3" w:rsidR="00371034">
        <w:t xml:space="preserve"> </w:t>
      </w:r>
      <w:r w:rsidRPr="00E318F3">
        <w:t>je chrániť Európsky parlament a jeho poslancov pred súdnym konaním v súvislosti s činnosťami, ktoré sa týkajú výkonu poslaneckého mandátu a ktoré sú od výkonu tohto mandátu neoddeliteľné;</w:t>
      </w:r>
    </w:p>
    <w:p w:rsidR="00E6778D" w:rsidRPr="00E318F3" w:rsidP="00E6778D" w14:paraId="10F325F0" w14:textId="17AED9A5">
      <w:pPr>
        <w:pStyle w:val="NormalHanging12a"/>
      </w:pPr>
      <w:r w:rsidRPr="00E318F3">
        <w:t>J.</w:t>
      </w:r>
      <w:r w:rsidRPr="00E318F3">
        <w:tab/>
        <w:t xml:space="preserve">keďže v tomto prípade Európsky parlament nenašiel žiadny dôkaz </w:t>
      </w:r>
      <w:r w:rsidRPr="00E318F3">
        <w:rPr>
          <w:i/>
        </w:rPr>
        <w:t>fumus</w:t>
      </w:r>
      <w:r w:rsidRPr="00E318F3">
        <w:rPr>
          <w:i/>
        </w:rPr>
        <w:t xml:space="preserve"> </w:t>
      </w:r>
      <w:r w:rsidRPr="00E318F3">
        <w:rPr>
          <w:i/>
        </w:rPr>
        <w:t>persecutionis</w:t>
      </w:r>
      <w:r w:rsidRPr="00E318F3">
        <w:t xml:space="preserve">, t. j. </w:t>
      </w:r>
      <w:r w:rsidRPr="00E318F3" w:rsidR="00371034">
        <w:t xml:space="preserve">nezdá sa, že zámerom predmetného súdneho konania je poškodiť politickú činnosť </w:t>
      </w:r>
      <w:r w:rsidRPr="00E318F3" w:rsidR="00371034">
        <w:t>Tomasza</w:t>
      </w:r>
      <w:r w:rsidRPr="00E318F3" w:rsidR="00371034">
        <w:t xml:space="preserve"> </w:t>
      </w:r>
      <w:r w:rsidRPr="00E318F3" w:rsidR="00371034">
        <w:t>Buczeka</w:t>
      </w:r>
      <w:r w:rsidRPr="00E318F3" w:rsidR="00371034">
        <w:t xml:space="preserve"> ako poslanca Európskeho parlamentu, a teda nezávislosť Európskeho parlamentu</w:t>
      </w:r>
      <w:r w:rsidRPr="00E318F3">
        <w:t>;</w:t>
      </w:r>
    </w:p>
    <w:p w:rsidR="00E6778D" w:rsidRPr="00E318F3" w:rsidP="00E6778D" w14:paraId="5B031093" w14:textId="78AC7EB1">
      <w:pPr>
        <w:pStyle w:val="NormalHanging12a"/>
      </w:pPr>
      <w:r w:rsidRPr="00E318F3">
        <w:t>K.</w:t>
      </w:r>
      <w:r w:rsidRPr="00E318F3">
        <w:tab/>
        <w:t xml:space="preserve">keďže </w:t>
      </w:r>
      <w:r w:rsidRPr="00E318F3" w:rsidR="00120A3E">
        <w:t>Európsky p</w:t>
      </w:r>
      <w:r w:rsidRPr="00E318F3">
        <w:t>arlament nemožno považovať za súd a poslanec nemôže byť v súvislosti s postupom zbavenia imunity považovaný za „obvineného“</w:t>
      </w:r>
      <w:r>
        <w:rPr>
          <w:vertAlign w:val="superscript"/>
        </w:rPr>
        <w:footnoteReference w:id="3"/>
      </w:r>
      <w:r w:rsidRPr="00E318F3">
        <w:t>;</w:t>
      </w:r>
    </w:p>
    <w:p w:rsidR="00E6778D" w:rsidRPr="00E318F3" w:rsidP="00E6778D" w14:paraId="1F9FAD92" w14:textId="77777777">
      <w:pPr>
        <w:pStyle w:val="NormalHanging12a"/>
      </w:pPr>
      <w:r w:rsidRPr="00E318F3">
        <w:t>1.</w:t>
      </w:r>
      <w:r w:rsidRPr="00E318F3">
        <w:tab/>
        <w:t xml:space="preserve">rozhodol zbaviť </w:t>
      </w:r>
      <w:r w:rsidRPr="00E318F3">
        <w:t>Tomasza</w:t>
      </w:r>
      <w:r w:rsidRPr="00E318F3">
        <w:t xml:space="preserve"> </w:t>
      </w:r>
      <w:r w:rsidRPr="00E318F3">
        <w:t>Buczeka</w:t>
      </w:r>
      <w:r w:rsidRPr="00E318F3">
        <w:t xml:space="preserve"> imunity;</w:t>
      </w:r>
    </w:p>
    <w:p w:rsidR="00E365E1" w:rsidRPr="00E318F3" w:rsidP="00120A3E" w14:paraId="31048EBB" w14:textId="77828985">
      <w:pPr>
        <w:pStyle w:val="NormalHanging12a"/>
      </w:pPr>
      <w:r w:rsidRPr="00E318F3">
        <w:t>2.</w:t>
      </w:r>
      <w:r w:rsidRPr="00E318F3">
        <w:tab/>
        <w:t xml:space="preserve">poveruje svoju predsedníčku, aby bezodkladne postúpila toto rozhodnutie a správu gestorského výboru príslušnému poľskému orgánu a </w:t>
      </w:r>
      <w:r w:rsidRPr="00E318F3">
        <w:t>Tomaszovi</w:t>
      </w:r>
      <w:r w:rsidRPr="00E318F3">
        <w:t xml:space="preserve"> </w:t>
      </w:r>
      <w:r w:rsidRPr="00E318F3">
        <w:t>Buczekovi</w:t>
      </w:r>
      <w:r w:rsidRPr="00E318F3">
        <w:t>.</w:t>
      </w:r>
    </w:p>
    <w:sectPr w:rsidSect="004D2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693" w14:paraId="79358BF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693" w14:paraId="366168E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693" w14:paraId="3738909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22C36" w:rsidRPr="004D2693" w14:paraId="61ADE259" w14:textId="77777777">
      <w:r w:rsidRPr="004D2693">
        <w:separator/>
      </w:r>
    </w:p>
  </w:footnote>
  <w:footnote w:type="continuationSeparator" w:id="1">
    <w:p w:rsidR="00E22C36" w:rsidRPr="004D2693" w14:paraId="05EC2D9A" w14:textId="77777777">
      <w:r w:rsidRPr="004D2693">
        <w:continuationSeparator/>
      </w:r>
    </w:p>
  </w:footnote>
  <w:footnote w:id="2">
    <w:p w:rsidR="00E6778D" w:rsidRPr="004D2693" w:rsidP="004D2693" w14:paraId="44EDC4FD" w14:textId="1C2FF97A">
      <w:pPr>
        <w:pStyle w:val="FootnoteText"/>
        <w:ind w:left="567" w:hanging="567"/>
        <w:rPr>
          <w:sz w:val="24"/>
          <w:lang w:val="sk-SK"/>
        </w:rPr>
      </w:pPr>
      <w:r w:rsidRPr="004D2693">
        <w:rPr>
          <w:rStyle w:val="FootnoteReference"/>
          <w:sz w:val="24"/>
          <w:lang w:val="sk-SK"/>
        </w:rPr>
        <w:footnoteRef/>
      </w:r>
      <w:r w:rsidRPr="004D2693" w:rsidR="004D2693">
        <w:rPr>
          <w:sz w:val="24"/>
          <w:lang w:val="sk-SK"/>
        </w:rPr>
        <w:t xml:space="preserve"> </w:t>
      </w:r>
      <w:r w:rsidRPr="004D2693" w:rsidR="004D2693">
        <w:rPr>
          <w:sz w:val="24"/>
          <w:lang w:val="sk-SK"/>
        </w:rPr>
        <w:tab/>
      </w:r>
      <w:r w:rsidRPr="004D2693">
        <w:rPr>
          <w:sz w:val="24"/>
          <w:lang w:val="sk-SK"/>
        </w:rPr>
        <w:t xml:space="preserve">Rozsudok Súdneho dvora z 21. októbra 2008, </w:t>
      </w:r>
      <w:r w:rsidRPr="004D2693">
        <w:rPr>
          <w:sz w:val="24"/>
          <w:lang w:val="sk-SK"/>
        </w:rPr>
        <w:t>Marra</w:t>
      </w:r>
      <w:r w:rsidRPr="004D2693">
        <w:rPr>
          <w:sz w:val="24"/>
          <w:lang w:val="sk-SK"/>
        </w:rPr>
        <w:t xml:space="preserve">/De </w:t>
      </w:r>
      <w:r w:rsidRPr="004D2693">
        <w:rPr>
          <w:sz w:val="24"/>
          <w:lang w:val="sk-SK"/>
        </w:rPr>
        <w:t>Gregorio</w:t>
      </w:r>
      <w:r w:rsidRPr="004D2693">
        <w:rPr>
          <w:sz w:val="24"/>
          <w:lang w:val="sk-SK"/>
        </w:rPr>
        <w:t xml:space="preserve"> a </w:t>
      </w:r>
      <w:r w:rsidRPr="004D2693">
        <w:rPr>
          <w:sz w:val="24"/>
          <w:lang w:val="sk-SK"/>
        </w:rPr>
        <w:t>Clemente</w:t>
      </w:r>
      <w:r w:rsidRPr="004D2693">
        <w:rPr>
          <w:sz w:val="24"/>
          <w:lang w:val="sk-SK"/>
        </w:rPr>
        <w:t xml:space="preserve">, C-200/07 a C-201/07, ECLI:EU:C:2008:579; rozsudok Všeobecného súdu z 19. marca 2010, </w:t>
      </w:r>
      <w:r w:rsidRPr="004D2693">
        <w:rPr>
          <w:sz w:val="24"/>
          <w:lang w:val="sk-SK"/>
        </w:rPr>
        <w:t>Gollnisch</w:t>
      </w:r>
      <w:r w:rsidRPr="004D2693">
        <w:rPr>
          <w:sz w:val="24"/>
          <w:lang w:val="sk-SK"/>
        </w:rPr>
        <w:t xml:space="preserve">/Parlament, T-42/06, ECLI:EU:T:2010:102; rozsudok Súdneho dvora zo 6. septembra 2011, </w:t>
      </w:r>
      <w:r w:rsidRPr="004D2693">
        <w:rPr>
          <w:sz w:val="24"/>
          <w:lang w:val="sk-SK"/>
        </w:rPr>
        <w:t>Patriciello</w:t>
      </w:r>
      <w:r w:rsidRPr="004D2693">
        <w:rPr>
          <w:sz w:val="24"/>
          <w:lang w:val="sk-SK"/>
        </w:rPr>
        <w:t xml:space="preserve">, C-163/10, ECLI: EU:C:2011:543; rozsudok Všeobecného súdu zo 17. januára 2013, </w:t>
      </w:r>
      <w:r w:rsidRPr="004D2693">
        <w:rPr>
          <w:sz w:val="24"/>
          <w:lang w:val="sk-SK"/>
        </w:rPr>
        <w:t>Gollnisch</w:t>
      </w:r>
      <w:r w:rsidRPr="004D2693">
        <w:rPr>
          <w:sz w:val="24"/>
          <w:lang w:val="sk-SK"/>
        </w:rPr>
        <w:t xml:space="preserve">/Parlament, T-346/11 a T-347/11, ECLI:EU:T:2013:23; rozsudok Súdneho dvora z 19. decembra 2019, </w:t>
      </w:r>
      <w:r w:rsidRPr="004D2693">
        <w:rPr>
          <w:sz w:val="24"/>
          <w:lang w:val="sk-SK"/>
        </w:rPr>
        <w:t>Junqueras</w:t>
      </w:r>
      <w:r w:rsidRPr="004D2693">
        <w:rPr>
          <w:sz w:val="24"/>
          <w:lang w:val="sk-SK"/>
        </w:rPr>
        <w:t xml:space="preserve"> </w:t>
      </w:r>
      <w:r w:rsidRPr="004D2693">
        <w:rPr>
          <w:sz w:val="24"/>
          <w:lang w:val="sk-SK"/>
        </w:rPr>
        <w:t>Vies</w:t>
      </w:r>
      <w:r w:rsidRPr="004D2693">
        <w:rPr>
          <w:sz w:val="24"/>
          <w:lang w:val="sk-SK"/>
        </w:rPr>
        <w:t>, C-502/19, ECLI:EU:C:2019:1115.</w:t>
      </w:r>
    </w:p>
  </w:footnote>
  <w:footnote w:id="3">
    <w:p w:rsidR="00E6778D" w:rsidRPr="004D2693" w:rsidP="004D2693" w14:paraId="70AAEFBB" w14:textId="4E4305EB">
      <w:pPr>
        <w:pStyle w:val="FootnoteText"/>
        <w:ind w:left="567" w:hanging="567"/>
        <w:rPr>
          <w:sz w:val="24"/>
          <w:lang w:val="sk-SK"/>
        </w:rPr>
      </w:pPr>
      <w:r w:rsidRPr="004D2693">
        <w:rPr>
          <w:rStyle w:val="FootnoteReference"/>
          <w:sz w:val="24"/>
          <w:lang w:val="sk-SK"/>
        </w:rPr>
        <w:footnoteRef/>
      </w:r>
      <w:r w:rsidRPr="004D2693" w:rsidR="004D2693">
        <w:rPr>
          <w:sz w:val="24"/>
          <w:lang w:val="sk-SK"/>
        </w:rPr>
        <w:t xml:space="preserve"> </w:t>
      </w:r>
      <w:r w:rsidRPr="004D2693" w:rsidR="004D2693">
        <w:rPr>
          <w:sz w:val="24"/>
          <w:lang w:val="sk-SK"/>
        </w:rPr>
        <w:tab/>
      </w:r>
      <w:r w:rsidRPr="004D2693">
        <w:rPr>
          <w:sz w:val="24"/>
          <w:lang w:val="sk-SK"/>
        </w:rPr>
        <w:t xml:space="preserve">Rozsudok Všeobecného súdu z 30. apríla 2019, </w:t>
      </w:r>
      <w:r w:rsidRPr="004D2693">
        <w:rPr>
          <w:sz w:val="24"/>
          <w:lang w:val="sk-SK"/>
        </w:rPr>
        <w:t>Briois</w:t>
      </w:r>
      <w:r w:rsidRPr="004D2693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693" w14:paraId="1B13B52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693" w14:paraId="295CB10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693" w14:paraId="555EBB3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2388052">
    <w:abstractNumId w:val="9"/>
  </w:num>
  <w:num w:numId="2" w16cid:durableId="44959712">
    <w:abstractNumId w:val="9"/>
  </w:num>
  <w:num w:numId="3" w16cid:durableId="1765610277">
    <w:abstractNumId w:val="7"/>
  </w:num>
  <w:num w:numId="4" w16cid:durableId="1142305493">
    <w:abstractNumId w:val="7"/>
  </w:num>
  <w:num w:numId="5" w16cid:durableId="1485390196">
    <w:abstractNumId w:val="6"/>
  </w:num>
  <w:num w:numId="6" w16cid:durableId="1318411897">
    <w:abstractNumId w:val="6"/>
  </w:num>
  <w:num w:numId="7" w16cid:durableId="854029997">
    <w:abstractNumId w:val="5"/>
  </w:num>
  <w:num w:numId="8" w16cid:durableId="1725105102">
    <w:abstractNumId w:val="5"/>
  </w:num>
  <w:num w:numId="9" w16cid:durableId="1468552513">
    <w:abstractNumId w:val="4"/>
  </w:num>
  <w:num w:numId="10" w16cid:durableId="1032151029">
    <w:abstractNumId w:val="4"/>
  </w:num>
  <w:num w:numId="11" w16cid:durableId="1759332072">
    <w:abstractNumId w:val="8"/>
  </w:num>
  <w:num w:numId="12" w16cid:durableId="458912439">
    <w:abstractNumId w:val="8"/>
  </w:num>
  <w:num w:numId="13" w16cid:durableId="1018265558">
    <w:abstractNumId w:val="3"/>
  </w:num>
  <w:num w:numId="14" w16cid:durableId="1371295110">
    <w:abstractNumId w:val="3"/>
  </w:num>
  <w:num w:numId="15" w16cid:durableId="443303524">
    <w:abstractNumId w:val="2"/>
  </w:num>
  <w:num w:numId="16" w16cid:durableId="1038622239">
    <w:abstractNumId w:val="2"/>
  </w:num>
  <w:num w:numId="17" w16cid:durableId="1015618576">
    <w:abstractNumId w:val="1"/>
  </w:num>
  <w:num w:numId="18" w16cid:durableId="2075082148">
    <w:abstractNumId w:val="1"/>
  </w:num>
  <w:num w:numId="19" w16cid:durableId="1220822860">
    <w:abstractNumId w:val="0"/>
  </w:num>
  <w:num w:numId="20" w16cid:durableId="972906028">
    <w:abstractNumId w:val="0"/>
  </w:num>
  <w:num w:numId="21" w16cid:durableId="1594587501">
    <w:abstractNumId w:val="9"/>
  </w:num>
  <w:num w:numId="22" w16cid:durableId="1012151367">
    <w:abstractNumId w:val="7"/>
  </w:num>
  <w:num w:numId="23" w16cid:durableId="1230656382">
    <w:abstractNumId w:val="6"/>
  </w:num>
  <w:num w:numId="24" w16cid:durableId="1874884806">
    <w:abstractNumId w:val="5"/>
  </w:num>
  <w:num w:numId="25" w16cid:durableId="14429037">
    <w:abstractNumId w:val="4"/>
  </w:num>
  <w:num w:numId="26" w16cid:durableId="227813850">
    <w:abstractNumId w:val="8"/>
  </w:num>
  <w:num w:numId="27" w16cid:durableId="334386033">
    <w:abstractNumId w:val="3"/>
  </w:num>
  <w:num w:numId="28" w16cid:durableId="1470436365">
    <w:abstractNumId w:val="2"/>
  </w:num>
  <w:num w:numId="29" w16cid:durableId="566500807">
    <w:abstractNumId w:val="1"/>
  </w:num>
  <w:num w:numId="30" w16cid:durableId="1582762707">
    <w:abstractNumId w:val="0"/>
  </w:num>
  <w:num w:numId="31" w16cid:durableId="1453212443">
    <w:abstractNumId w:val="9"/>
  </w:num>
  <w:num w:numId="32" w16cid:durableId="1040589939">
    <w:abstractNumId w:val="7"/>
  </w:num>
  <w:num w:numId="33" w16cid:durableId="1470245637">
    <w:abstractNumId w:val="6"/>
  </w:num>
  <w:num w:numId="34" w16cid:durableId="821460526">
    <w:abstractNumId w:val="5"/>
  </w:num>
  <w:num w:numId="35" w16cid:durableId="1239748014">
    <w:abstractNumId w:val="4"/>
  </w:num>
  <w:num w:numId="36" w16cid:durableId="531654019">
    <w:abstractNumId w:val="8"/>
  </w:num>
  <w:num w:numId="37" w16cid:durableId="491288586">
    <w:abstractNumId w:val="3"/>
  </w:num>
  <w:num w:numId="38" w16cid:durableId="122968094">
    <w:abstractNumId w:val="2"/>
  </w:num>
  <w:num w:numId="39" w16cid:durableId="34275692">
    <w:abstractNumId w:val="1"/>
  </w:num>
  <w:num w:numId="40" w16cid:durableId="1359086887">
    <w:abstractNumId w:val="0"/>
  </w:num>
  <w:num w:numId="41" w16cid:durableId="150996657">
    <w:abstractNumId w:val="10"/>
  </w:num>
  <w:num w:numId="42" w16cid:durableId="413404509">
    <w:abstractNumId w:val="10"/>
  </w:num>
  <w:num w:numId="43" w16cid:durableId="803930737">
    <w:abstractNumId w:val="10"/>
  </w:num>
  <w:num w:numId="44" w16cid:durableId="1501306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36"/>
    <w:rsid w:val="00002272"/>
    <w:rsid w:val="00064002"/>
    <w:rsid w:val="000677B9"/>
    <w:rsid w:val="000831BA"/>
    <w:rsid w:val="000A42CC"/>
    <w:rsid w:val="000E7DD9"/>
    <w:rsid w:val="0010095E"/>
    <w:rsid w:val="00120A3E"/>
    <w:rsid w:val="00125B37"/>
    <w:rsid w:val="00187494"/>
    <w:rsid w:val="001F32AE"/>
    <w:rsid w:val="002767FF"/>
    <w:rsid w:val="002B18FE"/>
    <w:rsid w:val="002B5493"/>
    <w:rsid w:val="00343214"/>
    <w:rsid w:val="00361C00"/>
    <w:rsid w:val="00371034"/>
    <w:rsid w:val="00395FA1"/>
    <w:rsid w:val="003E15D4"/>
    <w:rsid w:val="00411CCE"/>
    <w:rsid w:val="0041666E"/>
    <w:rsid w:val="00421060"/>
    <w:rsid w:val="00471C19"/>
    <w:rsid w:val="00476FE0"/>
    <w:rsid w:val="004867E3"/>
    <w:rsid w:val="00494A28"/>
    <w:rsid w:val="004C0004"/>
    <w:rsid w:val="004C5D52"/>
    <w:rsid w:val="004D2693"/>
    <w:rsid w:val="004F664A"/>
    <w:rsid w:val="0050519A"/>
    <w:rsid w:val="005072A1"/>
    <w:rsid w:val="00514517"/>
    <w:rsid w:val="00545827"/>
    <w:rsid w:val="00560270"/>
    <w:rsid w:val="005C2568"/>
    <w:rsid w:val="005E5587"/>
    <w:rsid w:val="005F1B17"/>
    <w:rsid w:val="006037C0"/>
    <w:rsid w:val="006631B6"/>
    <w:rsid w:val="00680577"/>
    <w:rsid w:val="006F74FA"/>
    <w:rsid w:val="007005E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A140F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5E7"/>
    <w:rsid w:val="00D56C11"/>
    <w:rsid w:val="00D834A0"/>
    <w:rsid w:val="00D872DF"/>
    <w:rsid w:val="00D91E21"/>
    <w:rsid w:val="00DA7FCD"/>
    <w:rsid w:val="00E22C36"/>
    <w:rsid w:val="00E318F3"/>
    <w:rsid w:val="00E365E1"/>
    <w:rsid w:val="00E6778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6/2026"/>
    <w:docVar w:name="dvlangue" w:val="SK"/>
    <w:docVar w:name="dvnumam" w:val="0"/>
    <w:docVar w:name="dvpe" w:val="786.694"/>
    <w:docVar w:name="dvrapporteur" w:val="Spravodajca: "/>
    <w:docVar w:name="dvtitre" w:val="Rozhodnutie Európskeho parlamentu z/zo xx. xxx 2026 o žiadosti o zbavenie Tomasza Buczeka imunity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383299"/>
  <w15:chartTrackingRefBased/>
  <w15:docId w15:val="{97B7C0E5-D9F7-4BAB-9578-8BB44991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6778D"/>
    <w:pPr>
      <w:spacing w:after="240"/>
      <w:ind w:left="567" w:hanging="567"/>
    </w:pPr>
  </w:style>
  <w:style w:type="paragraph" w:customStyle="1" w:styleId="EPComma">
    <w:name w:val="EPComma"/>
    <w:basedOn w:val="Normal"/>
    <w:rsid w:val="00E6778D"/>
    <w:pPr>
      <w:spacing w:before="480" w:after="240"/>
    </w:pPr>
  </w:style>
  <w:style w:type="paragraph" w:styleId="Revision">
    <w:name w:val="Revision"/>
    <w:hidden/>
    <w:uiPriority w:val="99"/>
    <w:semiHidden/>
    <w:rsid w:val="00120A3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3785</Characters>
  <Application>Microsoft Office Word</Application>
  <DocSecurity>0</DocSecurity>
  <Lines>102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2026-04-28T09:53:00Z</dcterms:created>
  <dcterms:modified xsi:type="dcterms:W3CDTF">2026-04-28T09:53:00Z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