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DF23A21" w14:textId="77777777" w:rsidTr="0010095E">
        <w:tblPrEx>
          <w:tblW w:w="9072" w:type="dxa"/>
          <w:tblLook w:val="01E0"/>
        </w:tblPrEx>
        <w:trPr>
          <w:trHeight w:hRule="exact" w:val="1418"/>
        </w:trPr>
        <w:tc>
          <w:tcPr>
            <w:tcW w:w="6804" w:type="dxa"/>
            <w:shd w:val="clear" w:color="auto" w:fill="auto"/>
            <w:vAlign w:val="center"/>
          </w:tcPr>
          <w:p w:rsidR="00751A4A" w:rsidRPr="00C36257" w:rsidP="0010095E" w14:paraId="78445B15" w14:textId="3B3C4D7E">
            <w:pPr>
              <w:pStyle w:val="EPName"/>
            </w:pPr>
            <w:r w:rsidRPr="00C36257">
              <w:t>Европейски</w:t>
            </w:r>
            <w:r w:rsidRPr="00C36257" w:rsidR="00BA2AE9">
              <w:t xml:space="preserve"> парламент</w:t>
            </w:r>
          </w:p>
          <w:p w:rsidR="00751A4A" w:rsidRPr="00C36257" w:rsidP="005F1B17" w14:paraId="71671FA0" w14:textId="6A882AAF">
            <w:pPr>
              <w:pStyle w:val="EPTerm"/>
              <w:rPr>
                <w:rStyle w:val="HideTWBExt"/>
                <w:noProof w:val="0"/>
                <w:vanish w:val="0"/>
                <w:color w:val="auto"/>
              </w:rPr>
            </w:pPr>
            <w:r w:rsidRPr="00C36257">
              <w:t>2024</w:t>
            </w:r>
            <w:r w:rsidRPr="00C36257" w:rsidR="002628CE">
              <w:t> – </w:t>
            </w:r>
            <w:r w:rsidRPr="00C36257" w:rsidR="00817416">
              <w:t>202</w:t>
            </w:r>
            <w:r w:rsidRPr="00C36257">
              <w:t>9</w:t>
            </w:r>
          </w:p>
        </w:tc>
        <w:tc>
          <w:tcPr>
            <w:tcW w:w="2268" w:type="dxa"/>
            <w:shd w:val="clear" w:color="auto" w:fill="auto"/>
          </w:tcPr>
          <w:p w:rsidR="00751A4A" w:rsidRPr="00C36257" w:rsidP="0010095E" w14:paraId="1C3525A7" w14:textId="77777777">
            <w:pPr>
              <w:pStyle w:val="EPLogo"/>
            </w:pPr>
            <w:r w:rsidRPr="00C3625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36257" w:rsidP="004C5D52" w14:paraId="10ACE240" w14:textId="77777777">
      <w:pPr>
        <w:pStyle w:val="LineTop"/>
      </w:pPr>
    </w:p>
    <w:p w:rsidR="00680577" w:rsidRPr="00C36257" w:rsidP="00680577" w14:paraId="5370780E" w14:textId="77777777">
      <w:pPr>
        <w:pStyle w:val="EPBodyTA1"/>
      </w:pPr>
      <w:r w:rsidRPr="00C36257">
        <w:t>ПРИЕТИ ТЕКСТОВЕ</w:t>
      </w:r>
    </w:p>
    <w:p w:rsidR="00D058B8" w:rsidRPr="00C36257" w:rsidP="00D058B8" w14:paraId="1CBAA3E1" w14:textId="77777777">
      <w:pPr>
        <w:pStyle w:val="LineBottom"/>
      </w:pPr>
    </w:p>
    <w:p w:rsidR="00BA2AE9" w:rsidRPr="00C36257" w:rsidP="00BA2AE9" w14:paraId="3F2DACB4" w14:textId="6D625877">
      <w:pPr>
        <w:pStyle w:val="ATHeading1"/>
      </w:pPr>
      <w:bookmarkStart w:id="0" w:name="TANumber"/>
      <w:r w:rsidRPr="00C36257">
        <w:t>P10_TA(2026)0</w:t>
      </w:r>
      <w:r w:rsidRPr="00C36257" w:rsidR="00C36257">
        <w:rPr>
          <w:lang w:val="en-GB"/>
        </w:rPr>
        <w:t>1</w:t>
      </w:r>
      <w:r w:rsidRPr="00C36257">
        <w:t>0</w:t>
      </w:r>
      <w:r w:rsidRPr="00C36257" w:rsidR="00C36257">
        <w:rPr>
          <w:lang w:val="en-GB"/>
        </w:rPr>
        <w:t>8</w:t>
      </w:r>
      <w:bookmarkEnd w:id="0"/>
    </w:p>
    <w:p w:rsidR="00BA2AE9" w:rsidRPr="00C36257" w:rsidP="00BA2AE9" w14:paraId="5647578C" w14:textId="77777777">
      <w:pPr>
        <w:pStyle w:val="ATHeading2"/>
      </w:pPr>
      <w:bookmarkStart w:id="1" w:name="title"/>
      <w:r w:rsidRPr="00C36257">
        <w:t xml:space="preserve">Искане за снемане на имунитета на Диана </w:t>
      </w:r>
      <w:r w:rsidRPr="00C36257">
        <w:t>Йовановичи</w:t>
      </w:r>
      <w:r w:rsidRPr="00C36257">
        <w:t xml:space="preserve"> </w:t>
      </w:r>
      <w:r w:rsidRPr="00C36257">
        <w:t>Шошоака</w:t>
      </w:r>
      <w:bookmarkEnd w:id="1"/>
    </w:p>
    <w:p w:rsidR="00BA2AE9" w:rsidRPr="00C36257" w:rsidP="00BA2AE9" w14:paraId="09F66DC1" w14:textId="77777777">
      <w:pPr>
        <w:rPr>
          <w:i/>
          <w:vanish/>
        </w:rPr>
      </w:pPr>
      <w:r>
        <w:rPr>
          <w:i/>
        </w:rPr>
        <w:fldChar w:fldCharType="begin"/>
      </w:r>
      <w:r w:rsidRPr="00C36257">
        <w:rPr>
          <w:i/>
        </w:rPr>
        <w:instrText xml:space="preserve"> TC"(</w:instrText>
      </w:r>
      <w:bookmarkStart w:id="2" w:name="DocNumber"/>
      <w:r w:rsidRPr="00C36257">
        <w:rPr>
          <w:i/>
        </w:rPr>
        <w:instrText>A10-0117/2026</w:instrText>
      </w:r>
      <w:bookmarkEnd w:id="2"/>
      <w:r w:rsidRPr="00C36257">
        <w:rPr>
          <w:i/>
        </w:rPr>
        <w:instrText xml:space="preserve"> - Докладчик: Доминик Тарчински)"\l3 \n&gt; \* MERGEFORMAT </w:instrText>
      </w:r>
      <w:r>
        <w:rPr>
          <w:i/>
        </w:rPr>
        <w:fldChar w:fldCharType="end"/>
      </w:r>
    </w:p>
    <w:p w:rsidR="00BA2AE9" w:rsidRPr="00C36257" w:rsidP="00BA2AE9" w14:paraId="4DDD3B10" w14:textId="77777777">
      <w:pPr>
        <w:rPr>
          <w:vanish/>
        </w:rPr>
      </w:pPr>
      <w:bookmarkStart w:id="3" w:name="Commission"/>
      <w:r w:rsidRPr="00C36257">
        <w:rPr>
          <w:vanish/>
        </w:rPr>
        <w:t>Комисия по правни въпроси</w:t>
      </w:r>
      <w:bookmarkEnd w:id="3"/>
    </w:p>
    <w:p w:rsidR="00BA2AE9" w:rsidRPr="00C36257" w:rsidP="00BA2AE9" w14:paraId="3B2FA643" w14:textId="77777777">
      <w:pPr>
        <w:rPr>
          <w:vanish/>
        </w:rPr>
      </w:pPr>
      <w:bookmarkStart w:id="4" w:name="PE"/>
      <w:r w:rsidRPr="00C36257">
        <w:rPr>
          <w:vanish/>
        </w:rPr>
        <w:t>PE785.318</w:t>
      </w:r>
      <w:bookmarkEnd w:id="4"/>
    </w:p>
    <w:p w:rsidR="00BA2AE9" w:rsidRPr="00C36257" w:rsidP="002628CE" w14:paraId="5500A53D" w14:textId="5CAF5EC0">
      <w:pPr>
        <w:pStyle w:val="ATHeading3"/>
      </w:pPr>
      <w:bookmarkStart w:id="5" w:name="Sujet"/>
      <w:r w:rsidRPr="00C36257">
        <w:t xml:space="preserve">Решение на Европейския парламент от </w:t>
      </w:r>
      <w:r w:rsidRPr="00C36257" w:rsidR="002628CE">
        <w:t xml:space="preserve">28 април </w:t>
      </w:r>
      <w:r w:rsidRPr="00C36257">
        <w:t xml:space="preserve">2026 г. относно искането за снемане на имунитета на Диана </w:t>
      </w:r>
      <w:r w:rsidRPr="00C36257">
        <w:t>Йовановичи</w:t>
      </w:r>
      <w:r w:rsidRPr="00C36257">
        <w:t xml:space="preserve"> </w:t>
      </w:r>
      <w:r w:rsidRPr="00C36257">
        <w:t>Шошоака</w:t>
      </w:r>
      <w:bookmarkEnd w:id="5"/>
      <w:r w:rsidRPr="00C36257">
        <w:t xml:space="preserve"> </w:t>
      </w:r>
      <w:bookmarkStart w:id="6" w:name="References"/>
      <w:r w:rsidRPr="00C36257">
        <w:t>(2025/2196(IMM))</w:t>
      </w:r>
      <w:bookmarkEnd w:id="6"/>
    </w:p>
    <w:p w:rsidR="00733C17" w:rsidRPr="00C36257" w:rsidP="00733C17" w14:paraId="5D637635" w14:textId="77777777">
      <w:pPr>
        <w:pStyle w:val="EPComma"/>
      </w:pPr>
      <w:bookmarkStart w:id="7" w:name="TextBodyBegin"/>
      <w:bookmarkEnd w:id="7"/>
      <w:r w:rsidRPr="00C36257">
        <w:rPr>
          <w:i/>
          <w:iCs/>
        </w:rPr>
        <w:t>Европейският парламент</w:t>
      </w:r>
      <w:r w:rsidRPr="00C36257">
        <w:t>,</w:t>
      </w:r>
    </w:p>
    <w:p w:rsidR="00733C17" w:rsidRPr="00C36257" w:rsidP="00733C17" w14:paraId="4BBAA56C" w14:textId="77D2FEFE">
      <w:pPr>
        <w:pStyle w:val="NormalHanging12a"/>
      </w:pPr>
      <w:r w:rsidRPr="00C36257">
        <w:t>–</w:t>
      </w:r>
      <w:r w:rsidRPr="00C36257">
        <w:tab/>
        <w:t xml:space="preserve">като взе предвид искането за снемане на имунитета на Диана </w:t>
      </w:r>
      <w:r w:rsidRPr="00C36257">
        <w:t>Йовановичи</w:t>
      </w:r>
      <w:r w:rsidRPr="00C36257">
        <w:t xml:space="preserve"> </w:t>
      </w:r>
      <w:r w:rsidRPr="00C36257">
        <w:t>Шошоака</w:t>
      </w:r>
      <w:r w:rsidRPr="00C36257">
        <w:t xml:space="preserve">, получено с писмо от 24 септември 2025 г. от министъра на правосъдието на Румъния, с което се предава искане от прокуратурата към Върховния касационен съд на Румъния, във връзка с наказателно производство срещу Диана </w:t>
      </w:r>
      <w:r w:rsidRPr="00C36257">
        <w:t>Йовановичи</w:t>
      </w:r>
      <w:r w:rsidRPr="00C36257">
        <w:t xml:space="preserve"> </w:t>
      </w:r>
      <w:r w:rsidRPr="00C36257">
        <w:t>Шошоака</w:t>
      </w:r>
      <w:r w:rsidRPr="00C36257">
        <w:t>, и обявено в Парламента на 9 октомври 2025 г.</w:t>
      </w:r>
    </w:p>
    <w:p w:rsidR="00733C17" w:rsidRPr="00C36257" w:rsidP="00733C17" w14:paraId="5268F5BA" w14:textId="748D3D72">
      <w:pPr>
        <w:pStyle w:val="NormalHanging12a"/>
      </w:pPr>
      <w:r w:rsidRPr="00C36257">
        <w:t>–</w:t>
      </w:r>
      <w:r w:rsidRPr="00C36257">
        <w:tab/>
        <w:t xml:space="preserve">като изслуша Диана </w:t>
      </w:r>
      <w:r w:rsidRPr="00C36257">
        <w:t>Йовановичи</w:t>
      </w:r>
      <w:r w:rsidRPr="00C36257">
        <w:t xml:space="preserve"> </w:t>
      </w:r>
      <w:r w:rsidRPr="00C36257">
        <w:t>Шошоака</w:t>
      </w:r>
      <w:r w:rsidRPr="00C36257">
        <w:t xml:space="preserve"> на 24 март 2026 г. в съответствие с член 9, параграф 6 от своя </w:t>
      </w:r>
      <w:r w:rsidRPr="00C36257" w:rsidR="00E34977">
        <w:t>П</w:t>
      </w:r>
      <w:r w:rsidRPr="00C36257">
        <w:t>равилник</w:t>
      </w:r>
      <w:r w:rsidRPr="00C36257" w:rsidR="00E34977">
        <w:t xml:space="preserve"> за дейността</w:t>
      </w:r>
      <w:r w:rsidRPr="00C36257">
        <w:t>,</w:t>
      </w:r>
    </w:p>
    <w:p w:rsidR="00733C17" w:rsidRPr="00C36257" w:rsidP="00733C17" w14:paraId="1FA7C414" w14:textId="77777777">
      <w:pPr>
        <w:pStyle w:val="NormalHanging12a"/>
      </w:pPr>
      <w:r w:rsidRPr="00C36257">
        <w:t>–</w:t>
      </w:r>
      <w:r w:rsidRPr="00C36257">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rsidR="00733C17" w:rsidRPr="00C36257" w:rsidP="00733C17" w14:paraId="0219EF23" w14:textId="77777777">
      <w:pPr>
        <w:pStyle w:val="NormalHanging12a"/>
      </w:pPr>
      <w:r w:rsidRPr="00C36257">
        <w:t>–</w:t>
      </w:r>
      <w:r w:rsidRPr="00C36257">
        <w:tab/>
        <w:t>като взе предвид решенията на Съда на Европейския съюз от 21 октомври 2008 г., 19 март 2010 г., 6 септември 2011 г., 17 януари 2013 г. и 19 декември 2019 г.</w:t>
      </w:r>
      <w:r>
        <w:rPr>
          <w:vertAlign w:val="superscript"/>
        </w:rPr>
        <w:footnoteReference w:id="2"/>
      </w:r>
      <w:r w:rsidRPr="00C36257">
        <w:t>,</w:t>
      </w:r>
    </w:p>
    <w:p w:rsidR="00733C17" w:rsidRPr="00C36257" w:rsidP="00733C17" w14:paraId="37F7CA36" w14:textId="77777777">
      <w:pPr>
        <w:pStyle w:val="NormalHanging12a"/>
      </w:pPr>
      <w:r w:rsidRPr="00C36257">
        <w:t>–</w:t>
      </w:r>
      <w:r w:rsidRPr="00C36257">
        <w:tab/>
        <w:t>като взе предвид член 72, параграфи 1 и 2 от Конституцията на Румъния,</w:t>
      </w:r>
    </w:p>
    <w:p w:rsidR="00733C17" w:rsidRPr="00C36257" w:rsidP="00733C17" w14:paraId="381551D0" w14:textId="77777777">
      <w:pPr>
        <w:pStyle w:val="NormalHanging12a"/>
      </w:pPr>
      <w:r w:rsidRPr="00C36257">
        <w:t>–</w:t>
      </w:r>
      <w:r w:rsidRPr="00C36257">
        <w:tab/>
        <w:t xml:space="preserve">като взе предвид член 5, параграф 2, член 6, параграф 1 и член 9 от своя </w:t>
      </w:r>
      <w:r w:rsidRPr="00C36257">
        <w:t>Правилник за дейността,</w:t>
      </w:r>
    </w:p>
    <w:p w:rsidR="00733C17" w:rsidRPr="00C36257" w:rsidP="00733C17" w14:paraId="24F05B07" w14:textId="77777777">
      <w:pPr>
        <w:pStyle w:val="NormalHanging12a"/>
      </w:pPr>
      <w:r w:rsidRPr="00C36257">
        <w:t>–</w:t>
      </w:r>
      <w:r w:rsidRPr="00C36257">
        <w:tab/>
        <w:t>като взе предвид доклада на комисията по правни въпроси (A10-0117/2026),</w:t>
      </w:r>
    </w:p>
    <w:p w:rsidR="00733C17" w:rsidRPr="00C36257" w:rsidP="00733C17" w14:paraId="33E0D371" w14:textId="21C75147">
      <w:pPr>
        <w:pStyle w:val="NormalHanging12a"/>
        <w:rPr>
          <w:color w:val="000000"/>
        </w:rPr>
      </w:pPr>
      <w:r w:rsidRPr="00C36257">
        <w:t>А.</w:t>
      </w:r>
      <w:r w:rsidRPr="00C36257">
        <w:tab/>
        <w:t xml:space="preserve">като има предвид, че с писмо от 24 септември 2025 г. министърът на правосъдието на Румъния предаде искане от прокуратурата към Върховния касационен съд на Румъния, за снемане на имунитета на Диана </w:t>
      </w:r>
      <w:r w:rsidRPr="00C36257">
        <w:t>Йовановичи</w:t>
      </w:r>
      <w:r w:rsidRPr="00C36257">
        <w:t xml:space="preserve"> </w:t>
      </w:r>
      <w:r w:rsidRPr="00C36257">
        <w:t>Шошоака</w:t>
      </w:r>
      <w:r w:rsidRPr="00C36257">
        <w:t xml:space="preserve">, член на Европейския парламент, избрана в Румъния, във връзка с наказателно производство за няколко </w:t>
      </w:r>
      <w:r w:rsidRPr="00C36257" w:rsidR="00E34977">
        <w:t xml:space="preserve">предполагаеми </w:t>
      </w:r>
      <w:r w:rsidRPr="00C36257">
        <w:t>престъпления, извършени на различни дати между 10 декември 2021 г. и 11 февруари 2025 г.;</w:t>
      </w:r>
    </w:p>
    <w:p w:rsidR="00733C17" w:rsidRPr="00C36257" w:rsidP="00733C17" w14:paraId="531C5CDB" w14:textId="77777777">
      <w:pPr>
        <w:pStyle w:val="NormalHanging12a"/>
        <w:rPr>
          <w:color w:val="000000"/>
        </w:rPr>
      </w:pPr>
      <w:r w:rsidRPr="00C36257">
        <w:rPr>
          <w:color w:val="000000"/>
        </w:rPr>
        <w:t>Б.</w:t>
      </w:r>
      <w:r w:rsidRPr="00C36257">
        <w:rPr>
          <w:color w:val="000000"/>
        </w:rPr>
        <w:tab/>
        <w:t xml:space="preserve">като има предвид, че според искането три лица са подали жалба, в която се оплакват, че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и други лица предполагаемо са лишили жалбоподателите и четвърто лице от свобода за приблизително 20 минути между 15.40 ч. и 16.00 ч. на 10 декември 2021 г. в апартамент в Букурещ; като има предвид, че предполагаемото деяние съставлява престъпление по член 205, параграф 1 от румънския Наказателен кодекс;</w:t>
      </w:r>
    </w:p>
    <w:p w:rsidR="00733C17" w:rsidRPr="00C36257" w:rsidP="00733C17" w14:paraId="0223305A" w14:textId="09F1A141">
      <w:pPr>
        <w:pStyle w:val="NormalHanging12a"/>
        <w:rPr>
          <w:color w:val="000000"/>
        </w:rPr>
      </w:pPr>
      <w:r w:rsidRPr="00C36257">
        <w:rPr>
          <w:color w:val="000000"/>
        </w:rPr>
        <w:t>В.</w:t>
      </w:r>
      <w:r w:rsidRPr="00C36257">
        <w:rPr>
          <w:color w:val="000000"/>
        </w:rPr>
        <w:tab/>
        <w:t xml:space="preserve">като има предвид, че според искането на 28 февруари 2024 г. Националният институт за изследване на Холокоста „Ели Визел“ към румънското правителство е уведомил съдебните органи, че на 19 февруари 2024 г. на официалния уебсайт на партията SOS </w:t>
      </w:r>
      <w:r w:rsidRPr="00C36257">
        <w:rPr>
          <w:color w:val="000000"/>
        </w:rPr>
        <w:t>România</w:t>
      </w:r>
      <w:r w:rsidRPr="00C36257">
        <w:rPr>
          <w:color w:val="000000"/>
        </w:rPr>
        <w:t xml:space="preserve"> </w:t>
      </w:r>
      <w:r w:rsidRPr="00C36257" w:rsidR="00E34977">
        <w:rPr>
          <w:color w:val="000000"/>
        </w:rPr>
        <w:t>с</w:t>
      </w:r>
      <w:r w:rsidRPr="00C36257">
        <w:rPr>
          <w:color w:val="000000"/>
        </w:rPr>
        <w:t>е предполаг</w:t>
      </w:r>
      <w:r w:rsidRPr="00C36257" w:rsidR="00E34977">
        <w:rPr>
          <w:color w:val="000000"/>
        </w:rPr>
        <w:t xml:space="preserve">а, че е </w:t>
      </w:r>
      <w:r w:rsidRPr="00C36257">
        <w:rPr>
          <w:color w:val="000000"/>
        </w:rPr>
        <w:t xml:space="preserve"> публикувано съобщение на тази партия за пресата, подписано от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като председател на същата партия, в което тя предполагаемо е възхвалила лице, осъдено като военнопрестъпник съгласно румънския Закон № 312/1945 за наказателно преследване и наказване на лица, виновни за</w:t>
      </w:r>
      <w:r w:rsidRPr="00C36257" w:rsidR="00890971">
        <w:rPr>
          <w:color w:val="000000"/>
        </w:rPr>
        <w:t xml:space="preserve"> довеждането на страната до</w:t>
      </w:r>
      <w:r w:rsidRPr="00C36257">
        <w:rPr>
          <w:color w:val="000000"/>
        </w:rPr>
        <w:t xml:space="preserve"> бедствие или за военни престъпления; като има предвид, че предполагаемото деяние съставлява престъпление по член 5 от Извънредно постановление № 31/2002 на правителството на Румъния;</w:t>
      </w:r>
    </w:p>
    <w:p w:rsidR="00733C17" w:rsidRPr="00C36257" w:rsidP="00733C17" w14:paraId="1B02AAAA" w14:textId="77777777">
      <w:pPr>
        <w:pStyle w:val="NormalHanging12a"/>
        <w:rPr>
          <w:bCs/>
          <w:iCs/>
          <w:color w:val="000000"/>
        </w:rPr>
      </w:pPr>
      <w:r w:rsidRPr="00C36257">
        <w:rPr>
          <w:color w:val="000000"/>
        </w:rPr>
        <w:t>Г.</w:t>
      </w:r>
      <w:r w:rsidRPr="00C36257">
        <w:rPr>
          <w:color w:val="000000"/>
        </w:rPr>
        <w:tab/>
        <w:t xml:space="preserve">като има предвид, че според искането на 27 май 2024 г. Центърът за мониторинг и борба с антисемитизма в Румъния е докладвал, че на 13 май и 14 май 2024 г.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предполагаемо е направила публични изявления, включително чрез публичния си профил във Фейсбук, докато е била в помещенията на румънския парламент, обвинявайки евреите колективно в исторически престъпления срещу румънския народ; като има предвид, че предполагаемото деяние съставлява престъпление по член 3 от Закон № 157/2018 на Румъния относно мерките за предотвратяване и борба с антисемитизма;</w:t>
      </w:r>
    </w:p>
    <w:p w:rsidR="00733C17" w:rsidRPr="00C36257" w:rsidP="00733C17" w14:paraId="5059F78D" w14:textId="498660B1">
      <w:pPr>
        <w:pStyle w:val="NormalHanging12a"/>
        <w:rPr>
          <w:bCs/>
          <w:iCs/>
          <w:color w:val="000000"/>
        </w:rPr>
      </w:pPr>
      <w:r w:rsidRPr="00C36257">
        <w:rPr>
          <w:color w:val="000000"/>
        </w:rPr>
        <w:t>Д.</w:t>
      </w:r>
      <w:r w:rsidRPr="00C36257">
        <w:rPr>
          <w:color w:val="000000"/>
        </w:rPr>
        <w:tab/>
        <w:t xml:space="preserve">като има предвид, че според искането на 14 май 2024 г.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докато е била в помещенията на румънския парламент, за да присъства на съвместно заседание на Камарата на депутатите и Сената на Румъния, </w:t>
      </w:r>
      <w:r w:rsidRPr="00C36257" w:rsidR="00E34977">
        <w:rPr>
          <w:color w:val="000000"/>
        </w:rPr>
        <w:t xml:space="preserve">се предполага, че </w:t>
      </w:r>
      <w:r w:rsidRPr="00C36257">
        <w:rPr>
          <w:color w:val="000000"/>
        </w:rPr>
        <w:t>е направила изявления, в които колективно обвинява евреите в исторически престъпления срещу румънския народ; като има предвид, че предполагаемото деяние съставлява престъпление по член 6, параграф 1 от Извънредно постановление № 31/2002 на правителството на Румъния;</w:t>
      </w:r>
    </w:p>
    <w:p w:rsidR="00733C17" w:rsidRPr="00C36257" w:rsidP="00733C17" w14:paraId="267ACB1E" w14:textId="77777777">
      <w:pPr>
        <w:pStyle w:val="NormalHanging12a"/>
        <w:rPr>
          <w:bCs/>
          <w:iCs/>
          <w:color w:val="000000"/>
        </w:rPr>
      </w:pPr>
      <w:r w:rsidRPr="00C36257">
        <w:rPr>
          <w:color w:val="000000"/>
        </w:rPr>
        <w:t>Е.</w:t>
      </w:r>
      <w:r w:rsidRPr="00C36257">
        <w:rPr>
          <w:color w:val="000000"/>
        </w:rPr>
        <w:tab/>
        <w:t xml:space="preserve">като има предвид, че според искането на 5 и 6 октомври 2024 г.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е направила няколко публични онлайн изявления, възхваляващи определени лица и движения, за които се счита, че са извършили или участвали във военни престъпления съгласно румънското национално право, </w:t>
      </w:r>
      <w:r w:rsidRPr="00C36257">
        <w:rPr>
          <w:color w:val="000000"/>
        </w:rPr>
        <w:t>и обвиняващи евреите колективно в исторически и религиозни престъпления; като има предвид, че предполагаемите деяния съставляват престъпления по член 5 от Извънредно постановление № 31/2002 на правителството на Румъния;</w:t>
      </w:r>
    </w:p>
    <w:p w:rsidR="00733C17" w:rsidRPr="00C36257" w:rsidP="00733C17" w14:paraId="4FCF1125" w14:textId="77777777">
      <w:pPr>
        <w:pStyle w:val="NormalHanging12a"/>
        <w:rPr>
          <w:color w:val="000000"/>
        </w:rPr>
      </w:pPr>
      <w:r w:rsidRPr="00C36257">
        <w:rPr>
          <w:color w:val="000000"/>
        </w:rPr>
        <w:t>Ж.</w:t>
      </w:r>
      <w:r w:rsidRPr="00C36257">
        <w:rPr>
          <w:color w:val="000000"/>
        </w:rPr>
        <w:tab/>
        <w:t xml:space="preserve">като има предвид, че според искането на 1 декември 2024 г.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предполагаемо е възхвалила публично лице, осъдено за военни престъпления съгласно румънското национално право, чрез изявления, направени онлайн и в актове на публично популяризиране на легионерски, расистки и ксенофобски идеи и концепции във връзка с еврейската общност; като има предвид, че предполагаемите деяния съставляват престъпления по член 5 от Извънредно постановление № 31/2002 на правителството на Румъния;</w:t>
      </w:r>
    </w:p>
    <w:p w:rsidR="00733C17" w:rsidRPr="00C36257" w:rsidP="00733C17" w14:paraId="55D18AB6" w14:textId="77777777">
      <w:pPr>
        <w:pStyle w:val="NormalHanging12a"/>
        <w:rPr>
          <w:bCs/>
          <w:iCs/>
          <w:color w:val="000000"/>
        </w:rPr>
      </w:pPr>
      <w:r w:rsidRPr="00C36257">
        <w:rPr>
          <w:color w:val="000000"/>
        </w:rPr>
        <w:t>З.</w:t>
      </w:r>
      <w:r w:rsidRPr="00C36257">
        <w:rPr>
          <w:color w:val="000000"/>
        </w:rPr>
        <w:tab/>
        <w:t xml:space="preserve">като има предвид, че според искането на 15 декември 2024 г.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предполагаемо е заплашвала пряко да извърши актове на насилие срещу двама полицейски служители при изпълнението на служебните им задължения, свързани с наложено преди това административно наказание глоба; като има предвид, че предполагаемото деяние съставлява престъпление по член 257, параграфи 1 и 4 от румънския Наказателен кодекс;</w:t>
      </w:r>
    </w:p>
    <w:p w:rsidR="00733C17" w:rsidRPr="00C36257" w:rsidP="00733C17" w14:paraId="62C352E3" w14:textId="15C3DDE8">
      <w:pPr>
        <w:pStyle w:val="NormalHanging12a"/>
        <w:rPr>
          <w:bCs/>
          <w:iCs/>
          <w:color w:val="000000"/>
        </w:rPr>
      </w:pPr>
      <w:r w:rsidRPr="00C36257">
        <w:rPr>
          <w:color w:val="000000"/>
        </w:rPr>
        <w:t>И.</w:t>
      </w:r>
      <w:r w:rsidRPr="00C36257">
        <w:rPr>
          <w:color w:val="000000"/>
        </w:rPr>
        <w:tab/>
        <w:t xml:space="preserve">като има предвид, че според искането на 25 февруари 2025 г. правителствената организация Институт за разследване на комунистическите престъпления и паметта за румънското изгнание е уведомила съдебните органи, че на 11 февруари 2025 г.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е произнесла реч на пленарното заседание на Европейския парламент, по време на която </w:t>
      </w:r>
      <w:r w:rsidRPr="00C36257" w:rsidR="00890971">
        <w:rPr>
          <w:color w:val="000000"/>
        </w:rPr>
        <w:t xml:space="preserve">се </w:t>
      </w:r>
      <w:r w:rsidRPr="00C36257" w:rsidR="00E34977">
        <w:rPr>
          <w:color w:val="000000"/>
        </w:rPr>
        <w:t>предполага</w:t>
      </w:r>
      <w:r w:rsidRPr="00C36257" w:rsidR="00890971">
        <w:rPr>
          <w:color w:val="000000"/>
        </w:rPr>
        <w:t xml:space="preserve">, че </w:t>
      </w:r>
      <w:r w:rsidRPr="00C36257">
        <w:rPr>
          <w:color w:val="000000"/>
        </w:rPr>
        <w:t>е препоръчала на колегите си да разработят стратегии за външна политика по модела на тази на Николае Чаушеску, който е осъден за геноцид с присъда от 25 декември 1989 г. на Териториалния военен съд в Букурещ; като има предвид, че предполагаемото деяние съставлява престъпление по член 5 от Извънредно постановление № 31/2002 на правителството на Румъния;</w:t>
      </w:r>
    </w:p>
    <w:p w:rsidR="00733C17" w:rsidRPr="00C36257" w:rsidP="00733C17" w14:paraId="7A4FC872" w14:textId="77777777">
      <w:pPr>
        <w:pStyle w:val="NormalHanging12a"/>
        <w:rPr>
          <w:bCs/>
          <w:iCs/>
          <w:color w:val="000000"/>
        </w:rPr>
      </w:pPr>
      <w:r w:rsidRPr="00C36257">
        <w:rPr>
          <w:color w:val="000000"/>
        </w:rPr>
        <w:t>Й.</w:t>
      </w:r>
      <w:r w:rsidRPr="00C36257">
        <w:rPr>
          <w:color w:val="000000"/>
        </w:rPr>
        <w:tab/>
        <w:t xml:space="preserve">като има предвид, че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беше избрана за член на Европейския парламент на изборите за Европейски парламент през юни 2024 г. и следователно не е била член на Европейския парламент по време на нито едно от предполагаемите деяния, посочени в искането, които са били извършени съответно на 10 декември 2021 г., на 19 февруари 2024 г. и на 13 и 14 май 2024 г.; като има предвид, че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е била член на Европейския парламент по време на предполагаемите деяния, посочени в искането, които са били извършени съответно на 5 и 6 октомври 2024 г., на 1 декември 2024 г., на 15 декември 2024 г. и на 11 февруари 2025 г.; като има предвид, че с изключение на производството по жалбите или наказателните производства срещу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във връзка с предполагаемите деяния от 10 декември 2021 г. и 19 февруари 2024 г., всички други наказателни производства бяха образувани след избирането ѝ за член на Европейския парламент;</w:t>
      </w:r>
    </w:p>
    <w:p w:rsidR="00733C17" w:rsidRPr="00C36257" w:rsidP="00733C17" w14:paraId="61C9B286" w14:textId="77777777">
      <w:pPr>
        <w:pStyle w:val="NormalHanging12a"/>
        <w:rPr>
          <w:bCs/>
          <w:iCs/>
          <w:color w:val="000000"/>
        </w:rPr>
      </w:pPr>
      <w:r w:rsidRPr="00C36257">
        <w:rPr>
          <w:color w:val="000000"/>
        </w:rPr>
        <w:t>К.</w:t>
      </w:r>
      <w:r w:rsidRPr="00C36257">
        <w:rPr>
          <w:color w:val="000000"/>
        </w:rPr>
        <w:tab/>
        <w:t>като има предвид, че член 8 от Протокол № 7 за привилегиите и имунитетите на Европейския съюз предвижда, че „членовете на Европейския парламент не могат да бъдат подлагани под каквато и да било форма на претърсване, задържане или съдебно производство във връзка с изразените от тях мнения или подадените от тях гласове при изпълнението на задълженията им“;</w:t>
      </w:r>
    </w:p>
    <w:p w:rsidR="00733C17" w:rsidRPr="00C36257" w:rsidP="00733C17" w14:paraId="11D2BB4A" w14:textId="77777777">
      <w:pPr>
        <w:pStyle w:val="NormalHanging12a"/>
        <w:rPr>
          <w:bCs/>
          <w:iCs/>
          <w:color w:val="000000"/>
        </w:rPr>
      </w:pPr>
      <w:r w:rsidRPr="00C36257">
        <w:rPr>
          <w:color w:val="000000"/>
        </w:rPr>
        <w:t>Л.</w:t>
      </w:r>
      <w:r w:rsidRPr="00C36257">
        <w:rPr>
          <w:color w:val="000000"/>
        </w:rPr>
        <w:tab/>
        <w:t xml:space="preserve">като има предвид, че предполагаемото престъпление, извършено на 11 февруари </w:t>
      </w:r>
      <w:r w:rsidRPr="00C36257">
        <w:rPr>
          <w:color w:val="000000"/>
        </w:rPr>
        <w:t xml:space="preserve">2025 г. във връзка с предполагаемо възхваляване на Николае Чаушеску, осъден като военнопрестъпник съгласно румънското национално право, включва изявление, направено от нея по време на пленарното заседание на Европейския парламент в Страсбург в хода на дебат относно „По-всеобхватна стратегия на ЕС за Близкия изток“; като има предвид, че следователно това изявление съставлява становище, изразено от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или подаден от нея глас при изпълнението на нейните служебни задължения по смисъла на член 8 от Протокол № 7 за привилегиите и имунитетите на Европейския съюз;</w:t>
      </w:r>
    </w:p>
    <w:p w:rsidR="00733C17" w:rsidRPr="00C36257" w:rsidP="00733C17" w14:paraId="5C67BBFB" w14:textId="72E4F73D">
      <w:pPr>
        <w:pStyle w:val="NormalHanging12a"/>
        <w:rPr>
          <w:bCs/>
          <w:iCs/>
          <w:color w:val="000000"/>
        </w:rPr>
      </w:pPr>
      <w:r w:rsidRPr="00C36257">
        <w:rPr>
          <w:color w:val="000000"/>
        </w:rPr>
        <w:t>М.</w:t>
      </w:r>
      <w:r w:rsidRPr="00C36257">
        <w:rPr>
          <w:color w:val="000000"/>
        </w:rPr>
        <w:tab/>
        <w:t xml:space="preserve">като има предвид, че всички останали предполагаеми престъпления и останалата част от искането за снемане на имунитета на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не </w:t>
      </w:r>
      <w:r w:rsidRPr="00C36257" w:rsidR="00890971">
        <w:rPr>
          <w:color w:val="000000"/>
        </w:rPr>
        <w:t xml:space="preserve">представляват и не </w:t>
      </w:r>
      <w:r w:rsidRPr="00C36257">
        <w:rPr>
          <w:color w:val="000000"/>
        </w:rPr>
        <w:t>са свързани с изразено нейно мнение или подаден от нея глас при изпълнението на нейните служебни задължения по смисъла на член 8 от Протокол № 7 за привилегиите и имунитетите на Европейския съюз;</w:t>
      </w:r>
    </w:p>
    <w:p w:rsidR="00733C17" w:rsidRPr="00C36257" w:rsidP="00733C17" w14:paraId="12A36B92" w14:textId="2DC53A45">
      <w:pPr>
        <w:pStyle w:val="NormalHanging12a"/>
        <w:rPr>
          <w:bCs/>
          <w:iCs/>
          <w:color w:val="000000"/>
        </w:rPr>
      </w:pPr>
      <w:r w:rsidRPr="00C36257">
        <w:rPr>
          <w:color w:val="000000"/>
        </w:rPr>
        <w:t>Н.</w:t>
      </w:r>
      <w:r w:rsidRPr="00C36257">
        <w:rPr>
          <w:color w:val="000000"/>
        </w:rPr>
        <w:tab/>
        <w:t>като има предвид, че член 9, първа алинея, буква а) от Протокол № 7 за привилегиите и имунитетите на Европейския съюз предвижда, че по време на сесиите на Европейския парламент членовете на Европейския парламент притежават на територията на собствената си държава имунитетите, предоставяни на членовете на парламента на тяхната държава членка;</w:t>
      </w:r>
    </w:p>
    <w:p w:rsidR="00733C17" w:rsidRPr="00C36257" w:rsidP="00733C17" w14:paraId="22627C49" w14:textId="77777777">
      <w:pPr>
        <w:pStyle w:val="NormalHanging12a"/>
        <w:rPr>
          <w:color w:val="000000"/>
        </w:rPr>
      </w:pPr>
      <w:r w:rsidRPr="00C36257">
        <w:rPr>
          <w:color w:val="000000"/>
        </w:rPr>
        <w:t>О.</w:t>
      </w:r>
      <w:r w:rsidRPr="00C36257">
        <w:rPr>
          <w:color w:val="000000"/>
        </w:rPr>
        <w:tab/>
        <w:t>като има предвид, че в член 72, параграфи 1 и 2 от румънската Конституция се предвижда, че:</w:t>
      </w:r>
    </w:p>
    <w:p w:rsidR="00733C17" w:rsidRPr="00C36257" w:rsidP="00890971" w14:paraId="3746B17F" w14:textId="1624D5F7">
      <w:pPr>
        <w:pStyle w:val="NormalHanging12a"/>
        <w:ind w:left="1134"/>
        <w:rPr>
          <w:color w:val="000000"/>
        </w:rPr>
      </w:pPr>
      <w:r w:rsidRPr="00C36257">
        <w:rPr>
          <w:color w:val="000000"/>
        </w:rPr>
        <w:t>“</w:t>
      </w:r>
      <w:r w:rsidRPr="00C36257">
        <w:rPr>
          <w:color w:val="000000"/>
        </w:rPr>
        <w:t>1.</w:t>
      </w:r>
      <w:r w:rsidRPr="00C36257">
        <w:rPr>
          <w:color w:val="000000"/>
        </w:rPr>
        <w:tab/>
        <w:t>Никой депутат или сенатор не носи съдебна отговорност за подадените гласове или за политическите възгледи, изразени при упражняване на неговата служба.</w:t>
      </w:r>
    </w:p>
    <w:p w:rsidR="00733C17" w:rsidRPr="00C36257" w:rsidP="00C36257" w14:paraId="2E1418B9" w14:textId="77777777">
      <w:pPr>
        <w:pStyle w:val="NormalHanging12a"/>
        <w:ind w:left="1134"/>
        <w:rPr>
          <w:color w:val="000000"/>
        </w:rPr>
      </w:pPr>
      <w:r w:rsidRPr="00C36257">
        <w:rPr>
          <w:color w:val="000000"/>
        </w:rPr>
        <w:t>2.</w:t>
      </w:r>
      <w:r w:rsidRPr="00C36257">
        <w:rPr>
          <w:color w:val="000000"/>
        </w:rPr>
        <w:tab/>
        <w:t>Срещу депутатите и сенаторите може да се води наказателно разследване или да се образува съдебно производство за деяния, които не са свързани с подадени от тях гласове или политически убеждения, изразени при изпълнение на службата им, но депутатите и сенаторите могат да бъдат претърсвани, задържани или арестувани само със съгласието на камарата, на която са членове, след като бъдат надлежно изслушани. Разследването и наказателното преследване могат да бъдат провеждани само от прокуратурата към Върховния касационен съд. Тези дела са подсъдни на Върховния касационен съд.“;</w:t>
      </w:r>
    </w:p>
    <w:p w:rsidR="00733C17" w:rsidRPr="00C36257" w:rsidP="00733C17" w14:paraId="540544E7" w14:textId="77777777">
      <w:pPr>
        <w:pStyle w:val="NormalHanging12a"/>
        <w:rPr>
          <w:color w:val="000000"/>
        </w:rPr>
      </w:pPr>
      <w:r w:rsidRPr="00C36257">
        <w:rPr>
          <w:color w:val="000000"/>
        </w:rPr>
        <w:t>П.</w:t>
      </w:r>
      <w:r w:rsidRPr="00C36257">
        <w:rPr>
          <w:color w:val="000000"/>
        </w:rPr>
        <w:tab/>
        <w:t>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тези задължения;</w:t>
      </w:r>
    </w:p>
    <w:p w:rsidR="00733C17" w:rsidRPr="00C36257" w:rsidP="00733C17" w14:paraId="693127A2" w14:textId="1E311F8D">
      <w:pPr>
        <w:pStyle w:val="NormalHanging12a"/>
        <w:rPr>
          <w:color w:val="000000"/>
        </w:rPr>
      </w:pPr>
      <w:r w:rsidRPr="00C36257">
        <w:rPr>
          <w:color w:val="000000"/>
        </w:rPr>
        <w:t>Р.</w:t>
      </w:r>
      <w:r w:rsidRPr="00C36257">
        <w:rPr>
          <w:color w:val="000000"/>
        </w:rPr>
        <w:tab/>
        <w:t xml:space="preserve">като има предвид, че в съответствие с член 5, параграф 2 от Правилника за дейността парламентарният имунитет не е лична привилегия на </w:t>
      </w:r>
      <w:r w:rsidRPr="00C36257" w:rsidR="008355AB">
        <w:rPr>
          <w:color w:val="000000"/>
        </w:rPr>
        <w:t xml:space="preserve">отделния </w:t>
      </w:r>
      <w:r w:rsidRPr="00C36257">
        <w:rPr>
          <w:color w:val="000000"/>
        </w:rPr>
        <w:t xml:space="preserve">член на ЕП, а </w:t>
      </w:r>
      <w:r w:rsidRPr="00C36257" w:rsidR="008355AB">
        <w:rPr>
          <w:color w:val="000000"/>
        </w:rPr>
        <w:t xml:space="preserve">представлява </w:t>
      </w:r>
      <w:r w:rsidRPr="00C36257">
        <w:rPr>
          <w:color w:val="000000"/>
        </w:rPr>
        <w:t>гаранция за независимостта на Парламента като цяло и на неговите членове;</w:t>
      </w:r>
    </w:p>
    <w:p w:rsidR="00733C17" w:rsidRPr="00C36257" w:rsidP="00733C17" w14:paraId="1DCA6A44" w14:textId="18BF38C6">
      <w:pPr>
        <w:pStyle w:val="NormalHanging12a"/>
        <w:rPr>
          <w:color w:val="000000"/>
        </w:rPr>
      </w:pPr>
      <w:r w:rsidRPr="00C36257">
        <w:rPr>
          <w:color w:val="000000"/>
        </w:rPr>
        <w:t>С.</w:t>
      </w:r>
      <w:r w:rsidRPr="00C36257">
        <w:rPr>
          <w:color w:val="000000"/>
        </w:rPr>
        <w:tab/>
        <w:t xml:space="preserve">като има предвид, че в настоящия случай Парламентът не е </w:t>
      </w:r>
      <w:r w:rsidRPr="00C36257" w:rsidR="008C2E53">
        <w:rPr>
          <w:color w:val="000000"/>
        </w:rPr>
        <w:t>открил доказателства за</w:t>
      </w:r>
      <w:r w:rsidRPr="00C36257">
        <w:rPr>
          <w:color w:val="000000"/>
        </w:rPr>
        <w:t xml:space="preserve"> </w:t>
      </w:r>
      <w:r w:rsidRPr="00C36257">
        <w:rPr>
          <w:color w:val="000000"/>
        </w:rPr>
        <w:t>fumus</w:t>
      </w:r>
      <w:r w:rsidRPr="00C36257">
        <w:rPr>
          <w:color w:val="000000"/>
        </w:rPr>
        <w:t xml:space="preserve"> </w:t>
      </w:r>
      <w:r w:rsidRPr="00C36257">
        <w:rPr>
          <w:color w:val="000000"/>
        </w:rPr>
        <w:t>persecutionis</w:t>
      </w:r>
      <w:r w:rsidRPr="00C36257">
        <w:rPr>
          <w:color w:val="000000"/>
        </w:rPr>
        <w:t xml:space="preserve">, т.е. факти, сочещи, че въпросното съдебно производство е </w:t>
      </w:r>
      <w:r w:rsidRPr="00C36257">
        <w:rPr>
          <w:color w:val="000000"/>
        </w:rPr>
        <w:t xml:space="preserve">било образувано с намерението да навреди на политическата дейност на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в качеството й на член на Европейския парламент</w:t>
      </w:r>
      <w:r w:rsidRPr="00C36257" w:rsidR="008355AB">
        <w:rPr>
          <w:color w:val="000000"/>
        </w:rPr>
        <w:t xml:space="preserve"> и следователно </w:t>
      </w:r>
      <w:r w:rsidRPr="00C36257" w:rsidR="008C2E53">
        <w:rPr>
          <w:color w:val="000000"/>
        </w:rPr>
        <w:t xml:space="preserve">на </w:t>
      </w:r>
      <w:r w:rsidRPr="00C36257" w:rsidR="008355AB">
        <w:rPr>
          <w:color w:val="000000"/>
        </w:rPr>
        <w:t>независимостта на Парламента</w:t>
      </w:r>
      <w:r w:rsidRPr="00C36257">
        <w:rPr>
          <w:color w:val="000000"/>
        </w:rPr>
        <w:t>;</w:t>
      </w:r>
    </w:p>
    <w:p w:rsidR="00733C17" w:rsidRPr="00C36257" w:rsidP="00733C17" w14:paraId="795B6234" w14:textId="77777777">
      <w:pPr>
        <w:pStyle w:val="NormalHanging12a"/>
        <w:rPr>
          <w:color w:val="000000"/>
        </w:rPr>
      </w:pPr>
      <w:r w:rsidRPr="00C36257">
        <w:rPr>
          <w:color w:val="000000"/>
        </w:rPr>
        <w:t>Т.</w:t>
      </w:r>
      <w:r w:rsidRPr="00C36257">
        <w:rPr>
          <w:color w:val="000000"/>
        </w:rPr>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Pr>
          <w:color w:val="000000"/>
          <w:vertAlign w:val="superscript"/>
        </w:rPr>
        <w:footnoteReference w:id="3"/>
      </w:r>
      <w:r w:rsidRPr="00C36257">
        <w:rPr>
          <w:color w:val="000000"/>
        </w:rPr>
        <w:t>;</w:t>
      </w:r>
    </w:p>
    <w:p w:rsidR="00733C17" w:rsidRPr="00C36257" w:rsidP="00733C17" w14:paraId="41D36B3D" w14:textId="7EC1E6F9">
      <w:pPr>
        <w:pStyle w:val="NormalHanging12a"/>
        <w:rPr>
          <w:color w:val="000000"/>
        </w:rPr>
      </w:pPr>
      <w:r w:rsidRPr="00C36257">
        <w:rPr>
          <w:color w:val="000000"/>
        </w:rPr>
        <w:t>1.</w:t>
      </w:r>
      <w:r w:rsidRPr="00C36257">
        <w:rPr>
          <w:color w:val="000000"/>
        </w:rPr>
        <w:tab/>
      </w:r>
      <w:r w:rsidRPr="00C36257" w:rsidR="008355AB">
        <w:rPr>
          <w:color w:val="000000"/>
        </w:rPr>
        <w:t>р</w:t>
      </w:r>
      <w:r w:rsidRPr="00C36257">
        <w:rPr>
          <w:color w:val="000000"/>
        </w:rPr>
        <w:t xml:space="preserve">ешава да снеме имунитета на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във връзка с предполагаемите престъпления, посочени в </w:t>
      </w:r>
      <w:r w:rsidRPr="00C36257" w:rsidR="00090893">
        <w:rPr>
          <w:color w:val="000000"/>
        </w:rPr>
        <w:t xml:space="preserve">точки </w:t>
      </w:r>
      <w:r w:rsidRPr="00C36257">
        <w:rPr>
          <w:color w:val="000000"/>
        </w:rPr>
        <w:t>Б, В, Г, Д, Е, Ж и З;</w:t>
      </w:r>
    </w:p>
    <w:p w:rsidR="00733C17" w:rsidRPr="00C36257" w:rsidP="00733C17" w14:paraId="66C5D0DC" w14:textId="6DE8A375">
      <w:pPr>
        <w:pStyle w:val="NormalHanging12a"/>
        <w:rPr>
          <w:color w:val="000000"/>
        </w:rPr>
      </w:pPr>
      <w:r w:rsidRPr="00C36257">
        <w:rPr>
          <w:color w:val="000000"/>
        </w:rPr>
        <w:t>2.</w:t>
      </w:r>
      <w:r w:rsidRPr="00C36257">
        <w:rPr>
          <w:color w:val="000000"/>
        </w:rPr>
        <w:tab/>
      </w:r>
      <w:r w:rsidRPr="00C36257" w:rsidR="008355AB">
        <w:rPr>
          <w:color w:val="000000"/>
        </w:rPr>
        <w:t>р</w:t>
      </w:r>
      <w:r w:rsidRPr="00C36257">
        <w:rPr>
          <w:color w:val="000000"/>
        </w:rPr>
        <w:t xml:space="preserve">ешава да не снема имунитета на Диана </w:t>
      </w:r>
      <w:r w:rsidRPr="00C36257">
        <w:rPr>
          <w:color w:val="000000"/>
        </w:rPr>
        <w:t>Йовановичи</w:t>
      </w:r>
      <w:r w:rsidRPr="00C36257">
        <w:rPr>
          <w:color w:val="000000"/>
        </w:rPr>
        <w:t xml:space="preserve"> </w:t>
      </w:r>
      <w:r w:rsidRPr="00C36257">
        <w:rPr>
          <w:color w:val="000000"/>
        </w:rPr>
        <w:t>Шошоака</w:t>
      </w:r>
      <w:r w:rsidRPr="00C36257">
        <w:rPr>
          <w:color w:val="000000"/>
        </w:rPr>
        <w:t xml:space="preserve"> във връзка с предполагаемото престъпление, посочено в </w:t>
      </w:r>
      <w:r w:rsidRPr="00C36257" w:rsidR="00090893">
        <w:rPr>
          <w:color w:val="000000"/>
        </w:rPr>
        <w:t xml:space="preserve">точка </w:t>
      </w:r>
      <w:r w:rsidRPr="00C36257" w:rsidR="002628CE">
        <w:rPr>
          <w:color w:val="000000"/>
        </w:rPr>
        <w:t>И</w:t>
      </w:r>
      <w:r w:rsidRPr="00C36257">
        <w:rPr>
          <w:color w:val="000000"/>
        </w:rPr>
        <w:t>;</w:t>
      </w:r>
    </w:p>
    <w:p w:rsidR="00B25FB2" w:rsidRPr="00B25FB2" w:rsidP="00B25FB2" w14:paraId="4DEA6F9F" w14:textId="33945D37">
      <w:pPr>
        <w:pStyle w:val="NormalHanging12a"/>
      </w:pPr>
      <w:r w:rsidRPr="00C36257">
        <w:t>3.</w:t>
      </w:r>
      <w:r w:rsidRPr="00C36257">
        <w:tab/>
        <w:t xml:space="preserve">възлага на своя председател незабавно да предаде настоящото решение и доклада на компетентната комисия на Парламента на компетентните органи на Румъния и на Диана </w:t>
      </w:r>
      <w:r w:rsidRPr="00C36257">
        <w:t>Йовановичи</w:t>
      </w:r>
      <w:r w:rsidRPr="00C36257">
        <w:t xml:space="preserve"> </w:t>
      </w:r>
      <w:r w:rsidRPr="00C36257">
        <w:t>Шошоака</w:t>
      </w:r>
      <w:r w:rsidRPr="00C36257">
        <w:t>.</w:t>
      </w:r>
    </w:p>
    <w:p w:rsidR="00E365E1" w:rsidRPr="00B25FB2" w:rsidP="00BA2AE9" w14:paraId="0B88DCB7" w14:textId="11BA7E92"/>
    <w:sectPr w:rsidSect="00B25FB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FB2" w14:paraId="565BFEA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FB2" w14:paraId="4DC14A7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FB2" w14:paraId="7B03E5C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A2AE9" w:rsidRPr="00B25FB2" w14:paraId="6F2E3468" w14:textId="77777777">
      <w:r w:rsidRPr="00B25FB2">
        <w:separator/>
      </w:r>
    </w:p>
  </w:footnote>
  <w:footnote w:type="continuationSeparator" w:id="1">
    <w:p w:rsidR="00BA2AE9" w:rsidRPr="00B25FB2" w14:paraId="66E1C458" w14:textId="77777777">
      <w:r w:rsidRPr="00B25FB2">
        <w:continuationSeparator/>
      </w:r>
    </w:p>
  </w:footnote>
  <w:footnote w:id="2">
    <w:p w:rsidR="00733C17" w:rsidRPr="00B25FB2" w:rsidP="00B25FB2" w14:paraId="7D67CBC0" w14:textId="770677B6">
      <w:pPr>
        <w:pStyle w:val="FootnoteText"/>
        <w:ind w:left="567" w:hanging="567"/>
        <w:rPr>
          <w:sz w:val="24"/>
          <w:lang w:val="bg-BG"/>
        </w:rPr>
      </w:pPr>
      <w:r w:rsidRPr="00B25FB2">
        <w:rPr>
          <w:rStyle w:val="FootnoteReference"/>
          <w:sz w:val="24"/>
          <w:lang w:val="bg-BG"/>
        </w:rPr>
        <w:footnoteRef/>
      </w:r>
      <w:r w:rsidRPr="00B25FB2" w:rsidR="00B25FB2">
        <w:rPr>
          <w:sz w:val="24"/>
          <w:lang w:val="bg-BG"/>
        </w:rPr>
        <w:t xml:space="preserve"> </w:t>
      </w:r>
      <w:r w:rsidRPr="00B25FB2" w:rsidR="00B25FB2">
        <w:rPr>
          <w:sz w:val="24"/>
          <w:lang w:val="bg-BG"/>
        </w:rPr>
        <w:tab/>
      </w:r>
      <w:r w:rsidRPr="00B25FB2">
        <w:rPr>
          <w:sz w:val="24"/>
          <w:lang w:val="bg-BG"/>
        </w:rPr>
        <w:t xml:space="preserve">Решение на Съда на ЕС от 21 октомври 2008 г., </w:t>
      </w:r>
      <w:r w:rsidRPr="00B25FB2">
        <w:rPr>
          <w:i/>
          <w:iCs/>
          <w:sz w:val="24"/>
          <w:lang w:val="bg-BG"/>
        </w:rPr>
        <w:t>Marra</w:t>
      </w:r>
      <w:r w:rsidRPr="00B25FB2">
        <w:rPr>
          <w:i/>
          <w:iCs/>
          <w:sz w:val="24"/>
          <w:lang w:val="bg-BG"/>
        </w:rPr>
        <w:t xml:space="preserve">/De </w:t>
      </w:r>
      <w:r w:rsidRPr="00B25FB2">
        <w:rPr>
          <w:i/>
          <w:iCs/>
          <w:sz w:val="24"/>
          <w:lang w:val="bg-BG"/>
        </w:rPr>
        <w:t>Gregorio</w:t>
      </w:r>
      <w:r w:rsidRPr="00B25FB2">
        <w:rPr>
          <w:i/>
          <w:iCs/>
          <w:sz w:val="24"/>
          <w:lang w:val="bg-BG"/>
        </w:rPr>
        <w:t xml:space="preserve"> и </w:t>
      </w:r>
      <w:r w:rsidRPr="00B25FB2">
        <w:rPr>
          <w:i/>
          <w:iCs/>
          <w:sz w:val="24"/>
          <w:lang w:val="bg-BG"/>
        </w:rPr>
        <w:t>Clemente</w:t>
      </w:r>
      <w:r w:rsidRPr="00B25FB2">
        <w:rPr>
          <w:sz w:val="24"/>
          <w:lang w:val="bg-BG"/>
        </w:rPr>
        <w:t xml:space="preserve">, C-200/07 и C-201/07, ECLI:EU:C:2008:579; решение на Общия съд от 19 март 2010 г., </w:t>
      </w:r>
      <w:r w:rsidRPr="00B25FB2">
        <w:rPr>
          <w:i/>
          <w:iCs/>
          <w:sz w:val="24"/>
          <w:lang w:val="bg-BG"/>
        </w:rPr>
        <w:t>Gollnisch</w:t>
      </w:r>
      <w:r w:rsidRPr="00B25FB2">
        <w:rPr>
          <w:i/>
          <w:iCs/>
          <w:sz w:val="24"/>
          <w:lang w:val="bg-BG"/>
        </w:rPr>
        <w:t>/Парламент</w:t>
      </w:r>
      <w:r w:rsidRPr="00B25FB2">
        <w:rPr>
          <w:sz w:val="24"/>
          <w:lang w:val="bg-BG"/>
        </w:rPr>
        <w:t xml:space="preserve">, T-42/06, ECLI:EU:T:2010:102; решение на Съда от 6 септември 2011 г., </w:t>
      </w:r>
      <w:r w:rsidRPr="00B25FB2">
        <w:rPr>
          <w:i/>
          <w:iCs/>
          <w:sz w:val="24"/>
          <w:lang w:val="bg-BG"/>
        </w:rPr>
        <w:t>Patriciello</w:t>
      </w:r>
      <w:r w:rsidRPr="00B25FB2">
        <w:rPr>
          <w:sz w:val="24"/>
          <w:lang w:val="bg-BG"/>
        </w:rPr>
        <w:t xml:space="preserve">, C 163/10, ECLI: EС:C:2011:543, решение на Общия съд от 17 януари 2013 г., </w:t>
      </w:r>
      <w:r w:rsidRPr="00B25FB2">
        <w:rPr>
          <w:i/>
          <w:iCs/>
          <w:sz w:val="24"/>
          <w:lang w:val="bg-BG"/>
        </w:rPr>
        <w:t>Gollnisch</w:t>
      </w:r>
      <w:r w:rsidRPr="00B25FB2">
        <w:rPr>
          <w:i/>
          <w:iCs/>
          <w:sz w:val="24"/>
          <w:lang w:val="bg-BG"/>
        </w:rPr>
        <w:t>/Парламент</w:t>
      </w:r>
      <w:r w:rsidRPr="00B25FB2">
        <w:rPr>
          <w:sz w:val="24"/>
          <w:lang w:val="bg-BG"/>
        </w:rPr>
        <w:t xml:space="preserve">, T-346/11 и T-347/11, ECLI:EU:T:2013:23; решение на Съда от 19 декември 2019 г., </w:t>
      </w:r>
      <w:r w:rsidRPr="00B25FB2">
        <w:rPr>
          <w:i/>
          <w:iCs/>
          <w:sz w:val="24"/>
          <w:lang w:val="bg-BG"/>
        </w:rPr>
        <w:t>Junqueras</w:t>
      </w:r>
      <w:r w:rsidRPr="00B25FB2">
        <w:rPr>
          <w:i/>
          <w:iCs/>
          <w:sz w:val="24"/>
          <w:lang w:val="bg-BG"/>
        </w:rPr>
        <w:t xml:space="preserve"> </w:t>
      </w:r>
      <w:r w:rsidRPr="00B25FB2">
        <w:rPr>
          <w:i/>
          <w:iCs/>
          <w:sz w:val="24"/>
          <w:lang w:val="bg-BG"/>
        </w:rPr>
        <w:t>Vies</w:t>
      </w:r>
      <w:r w:rsidRPr="00B25FB2">
        <w:rPr>
          <w:sz w:val="24"/>
          <w:lang w:val="bg-BG"/>
        </w:rPr>
        <w:t>, C-502/19, ECLI:EU:C:2019:1115.</w:t>
      </w:r>
    </w:p>
  </w:footnote>
  <w:footnote w:id="3">
    <w:p w:rsidR="00733C17" w:rsidRPr="00B25FB2" w:rsidP="00B25FB2" w14:paraId="120071EC" w14:textId="72EAFC8A">
      <w:pPr>
        <w:pStyle w:val="FootnoteText"/>
        <w:ind w:left="567" w:hanging="567"/>
        <w:rPr>
          <w:sz w:val="24"/>
          <w:lang w:val="bg-BG"/>
        </w:rPr>
      </w:pPr>
      <w:r w:rsidRPr="00B25FB2">
        <w:rPr>
          <w:rStyle w:val="FootnoteReference"/>
          <w:sz w:val="24"/>
          <w:lang w:val="bg-BG"/>
        </w:rPr>
        <w:footnoteRef/>
      </w:r>
      <w:r w:rsidRPr="00B25FB2" w:rsidR="00B25FB2">
        <w:rPr>
          <w:sz w:val="24"/>
          <w:lang w:val="bg-BG"/>
        </w:rPr>
        <w:t xml:space="preserve"> </w:t>
      </w:r>
      <w:r w:rsidRPr="00B25FB2" w:rsidR="00B25FB2">
        <w:rPr>
          <w:sz w:val="24"/>
          <w:lang w:val="bg-BG"/>
        </w:rPr>
        <w:tab/>
      </w:r>
      <w:r w:rsidRPr="00B25FB2">
        <w:rPr>
          <w:sz w:val="24"/>
          <w:lang w:val="bg-BG"/>
        </w:rPr>
        <w:t xml:space="preserve">Решение на Общия съд от 30 април 2019 г., </w:t>
      </w:r>
      <w:r w:rsidRPr="00B25FB2">
        <w:rPr>
          <w:i/>
          <w:iCs/>
          <w:sz w:val="24"/>
          <w:lang w:val="bg-BG"/>
        </w:rPr>
        <w:t>Briois</w:t>
      </w:r>
      <w:r w:rsidRPr="00B25FB2">
        <w:rPr>
          <w:i/>
          <w:iCs/>
          <w:sz w:val="24"/>
          <w:lang w:val="bg-BG"/>
        </w:rPr>
        <w:t>/Парламент</w:t>
      </w:r>
      <w:r w:rsidRPr="00B25FB2">
        <w:rPr>
          <w:sz w:val="24"/>
          <w:lang w:val="bg-BG"/>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FB2" w14:paraId="3A24322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FB2" w14:paraId="114987A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FB2" w14:paraId="1F0F418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551329">
    <w:abstractNumId w:val="9"/>
  </w:num>
  <w:num w:numId="2" w16cid:durableId="1458908413">
    <w:abstractNumId w:val="9"/>
  </w:num>
  <w:num w:numId="3" w16cid:durableId="1162963994">
    <w:abstractNumId w:val="7"/>
  </w:num>
  <w:num w:numId="4" w16cid:durableId="1157645726">
    <w:abstractNumId w:val="7"/>
  </w:num>
  <w:num w:numId="5" w16cid:durableId="46151683">
    <w:abstractNumId w:val="6"/>
  </w:num>
  <w:num w:numId="6" w16cid:durableId="1448352923">
    <w:abstractNumId w:val="6"/>
  </w:num>
  <w:num w:numId="7" w16cid:durableId="919683515">
    <w:abstractNumId w:val="5"/>
  </w:num>
  <w:num w:numId="8" w16cid:durableId="1102647190">
    <w:abstractNumId w:val="5"/>
  </w:num>
  <w:num w:numId="9" w16cid:durableId="1706565433">
    <w:abstractNumId w:val="4"/>
  </w:num>
  <w:num w:numId="10" w16cid:durableId="863245864">
    <w:abstractNumId w:val="4"/>
  </w:num>
  <w:num w:numId="11" w16cid:durableId="282542958">
    <w:abstractNumId w:val="8"/>
  </w:num>
  <w:num w:numId="12" w16cid:durableId="1775174637">
    <w:abstractNumId w:val="8"/>
  </w:num>
  <w:num w:numId="13" w16cid:durableId="726760676">
    <w:abstractNumId w:val="3"/>
  </w:num>
  <w:num w:numId="14" w16cid:durableId="708071974">
    <w:abstractNumId w:val="3"/>
  </w:num>
  <w:num w:numId="15" w16cid:durableId="1977449500">
    <w:abstractNumId w:val="2"/>
  </w:num>
  <w:num w:numId="16" w16cid:durableId="866065418">
    <w:abstractNumId w:val="2"/>
  </w:num>
  <w:num w:numId="17" w16cid:durableId="1014765325">
    <w:abstractNumId w:val="1"/>
  </w:num>
  <w:num w:numId="18" w16cid:durableId="974528150">
    <w:abstractNumId w:val="1"/>
  </w:num>
  <w:num w:numId="19" w16cid:durableId="1302887167">
    <w:abstractNumId w:val="0"/>
  </w:num>
  <w:num w:numId="20" w16cid:durableId="200939140">
    <w:abstractNumId w:val="0"/>
  </w:num>
  <w:num w:numId="21" w16cid:durableId="1647273854">
    <w:abstractNumId w:val="9"/>
  </w:num>
  <w:num w:numId="22" w16cid:durableId="1037193486">
    <w:abstractNumId w:val="7"/>
  </w:num>
  <w:num w:numId="23" w16cid:durableId="887685336">
    <w:abstractNumId w:val="6"/>
  </w:num>
  <w:num w:numId="24" w16cid:durableId="1830170566">
    <w:abstractNumId w:val="5"/>
  </w:num>
  <w:num w:numId="25" w16cid:durableId="1432507694">
    <w:abstractNumId w:val="4"/>
  </w:num>
  <w:num w:numId="26" w16cid:durableId="1780756413">
    <w:abstractNumId w:val="8"/>
  </w:num>
  <w:num w:numId="27" w16cid:durableId="561988957">
    <w:abstractNumId w:val="3"/>
  </w:num>
  <w:num w:numId="28" w16cid:durableId="711541764">
    <w:abstractNumId w:val="2"/>
  </w:num>
  <w:num w:numId="29" w16cid:durableId="888036832">
    <w:abstractNumId w:val="1"/>
  </w:num>
  <w:num w:numId="30" w16cid:durableId="1854804519">
    <w:abstractNumId w:val="0"/>
  </w:num>
  <w:num w:numId="31" w16cid:durableId="1944221135">
    <w:abstractNumId w:val="9"/>
  </w:num>
  <w:num w:numId="32" w16cid:durableId="935597570">
    <w:abstractNumId w:val="7"/>
  </w:num>
  <w:num w:numId="33" w16cid:durableId="593829301">
    <w:abstractNumId w:val="6"/>
  </w:num>
  <w:num w:numId="34" w16cid:durableId="408236599">
    <w:abstractNumId w:val="5"/>
  </w:num>
  <w:num w:numId="35" w16cid:durableId="2082209968">
    <w:abstractNumId w:val="4"/>
  </w:num>
  <w:num w:numId="36" w16cid:durableId="1766151271">
    <w:abstractNumId w:val="8"/>
  </w:num>
  <w:num w:numId="37" w16cid:durableId="1400788688">
    <w:abstractNumId w:val="3"/>
  </w:num>
  <w:num w:numId="38" w16cid:durableId="1535537692">
    <w:abstractNumId w:val="2"/>
  </w:num>
  <w:num w:numId="39" w16cid:durableId="1904900606">
    <w:abstractNumId w:val="1"/>
  </w:num>
  <w:num w:numId="40" w16cid:durableId="1814178244">
    <w:abstractNumId w:val="0"/>
  </w:num>
  <w:num w:numId="41" w16cid:durableId="1445886547">
    <w:abstractNumId w:val="10"/>
  </w:num>
  <w:num w:numId="42" w16cid:durableId="2135058862">
    <w:abstractNumId w:val="10"/>
  </w:num>
  <w:num w:numId="43" w16cid:durableId="1913078380">
    <w:abstractNumId w:val="10"/>
  </w:num>
  <w:num w:numId="44" w16cid:durableId="14163948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AE9"/>
    <w:rsid w:val="00002272"/>
    <w:rsid w:val="00064002"/>
    <w:rsid w:val="000677B9"/>
    <w:rsid w:val="000831BA"/>
    <w:rsid w:val="00090893"/>
    <w:rsid w:val="000A42CC"/>
    <w:rsid w:val="000E7DD9"/>
    <w:rsid w:val="0010095E"/>
    <w:rsid w:val="00125B37"/>
    <w:rsid w:val="00187494"/>
    <w:rsid w:val="001F32AE"/>
    <w:rsid w:val="002628CE"/>
    <w:rsid w:val="002767FF"/>
    <w:rsid w:val="002B18FE"/>
    <w:rsid w:val="002B5493"/>
    <w:rsid w:val="00343214"/>
    <w:rsid w:val="00361C00"/>
    <w:rsid w:val="00395FA1"/>
    <w:rsid w:val="003E15D4"/>
    <w:rsid w:val="00411CCE"/>
    <w:rsid w:val="0041666E"/>
    <w:rsid w:val="00421060"/>
    <w:rsid w:val="00471C19"/>
    <w:rsid w:val="004867E3"/>
    <w:rsid w:val="00494A28"/>
    <w:rsid w:val="004B1C55"/>
    <w:rsid w:val="004C0004"/>
    <w:rsid w:val="004C5D52"/>
    <w:rsid w:val="0050519A"/>
    <w:rsid w:val="005072A1"/>
    <w:rsid w:val="00514517"/>
    <w:rsid w:val="00545827"/>
    <w:rsid w:val="0055142A"/>
    <w:rsid w:val="00560270"/>
    <w:rsid w:val="005C2568"/>
    <w:rsid w:val="005F1B17"/>
    <w:rsid w:val="006037C0"/>
    <w:rsid w:val="006631B6"/>
    <w:rsid w:val="00680577"/>
    <w:rsid w:val="006F74FA"/>
    <w:rsid w:val="00731ADD"/>
    <w:rsid w:val="00733C17"/>
    <w:rsid w:val="00734777"/>
    <w:rsid w:val="00747932"/>
    <w:rsid w:val="00751A4A"/>
    <w:rsid w:val="00756632"/>
    <w:rsid w:val="00762C74"/>
    <w:rsid w:val="00786EC0"/>
    <w:rsid w:val="007D1690"/>
    <w:rsid w:val="007E22AD"/>
    <w:rsid w:val="00817416"/>
    <w:rsid w:val="008355AB"/>
    <w:rsid w:val="00842779"/>
    <w:rsid w:val="00865F67"/>
    <w:rsid w:val="00881A7B"/>
    <w:rsid w:val="008840E5"/>
    <w:rsid w:val="00887B3E"/>
    <w:rsid w:val="00890971"/>
    <w:rsid w:val="008C2AC6"/>
    <w:rsid w:val="008C2E53"/>
    <w:rsid w:val="00930C23"/>
    <w:rsid w:val="0093193B"/>
    <w:rsid w:val="009509D8"/>
    <w:rsid w:val="00950B64"/>
    <w:rsid w:val="00981893"/>
    <w:rsid w:val="009B2324"/>
    <w:rsid w:val="00A1687D"/>
    <w:rsid w:val="00A43E52"/>
    <w:rsid w:val="00A4678D"/>
    <w:rsid w:val="00A778C7"/>
    <w:rsid w:val="00AB441E"/>
    <w:rsid w:val="00AB6293"/>
    <w:rsid w:val="00AE0928"/>
    <w:rsid w:val="00AF3B82"/>
    <w:rsid w:val="00B12E95"/>
    <w:rsid w:val="00B22876"/>
    <w:rsid w:val="00B25FB2"/>
    <w:rsid w:val="00B558F0"/>
    <w:rsid w:val="00BA2AE9"/>
    <w:rsid w:val="00BD48FE"/>
    <w:rsid w:val="00BD7BD8"/>
    <w:rsid w:val="00BE6ADC"/>
    <w:rsid w:val="00C05BFE"/>
    <w:rsid w:val="00C163F0"/>
    <w:rsid w:val="00C23CD4"/>
    <w:rsid w:val="00C36257"/>
    <w:rsid w:val="00C61C0C"/>
    <w:rsid w:val="00C941CB"/>
    <w:rsid w:val="00CB344E"/>
    <w:rsid w:val="00CC2357"/>
    <w:rsid w:val="00CF071A"/>
    <w:rsid w:val="00D058B8"/>
    <w:rsid w:val="00D56C11"/>
    <w:rsid w:val="00D834A0"/>
    <w:rsid w:val="00D872DF"/>
    <w:rsid w:val="00D91E21"/>
    <w:rsid w:val="00DA7FCD"/>
    <w:rsid w:val="00E34977"/>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7/2026"/>
    <w:docVar w:name="dvlangue" w:val="BG"/>
    <w:docVar w:name="dvnumam" w:val="0"/>
    <w:docVar w:name="dvpe" w:val="785.318"/>
    <w:docVar w:name="dvrapporteur" w:val="Докладчик: "/>
    <w:docVar w:name="dvtitre" w:val="Решение на Европейския парламент от ... 2026 г. относно искането за снемане на имунитета на Диана Йовановичи Шошоака(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39DA2E"/>
  <w15:chartTrackingRefBased/>
  <w15:docId w15:val="{2BA36457-BFBC-4063-8A38-07207F17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33C17"/>
    <w:pPr>
      <w:spacing w:after="240"/>
      <w:ind w:left="567" w:hanging="567"/>
    </w:pPr>
  </w:style>
  <w:style w:type="paragraph" w:customStyle="1" w:styleId="EPComma">
    <w:name w:val="EPComma"/>
    <w:basedOn w:val="Normal"/>
    <w:rsid w:val="00733C17"/>
    <w:pPr>
      <w:spacing w:before="480" w:after="240"/>
    </w:pPr>
  </w:style>
  <w:style w:type="paragraph" w:styleId="Revision">
    <w:name w:val="Revision"/>
    <w:hidden/>
    <w:uiPriority w:val="99"/>
    <w:semiHidden/>
    <w:rsid w:val="002628CE"/>
    <w:rPr>
      <w:sz w:val="24"/>
      <w:lang w:val="bg-BG"/>
    </w:rPr>
  </w:style>
  <w:style w:type="character" w:styleId="CommentReference">
    <w:name w:val="annotation reference"/>
    <w:basedOn w:val="DefaultParagraphFont"/>
    <w:rsid w:val="00890971"/>
    <w:rPr>
      <w:sz w:val="16"/>
      <w:szCs w:val="16"/>
    </w:rPr>
  </w:style>
  <w:style w:type="paragraph" w:styleId="CommentText">
    <w:name w:val="annotation text"/>
    <w:basedOn w:val="Normal"/>
    <w:link w:val="CommentTextChar"/>
    <w:rsid w:val="00890971"/>
    <w:rPr>
      <w:sz w:val="20"/>
    </w:rPr>
  </w:style>
  <w:style w:type="character" w:customStyle="1" w:styleId="CommentTextChar">
    <w:name w:val="Comment Text Char"/>
    <w:basedOn w:val="DefaultParagraphFont"/>
    <w:link w:val="CommentText"/>
    <w:rsid w:val="00890971"/>
    <w:rPr>
      <w:lang w:val="bg-BG"/>
    </w:rPr>
  </w:style>
  <w:style w:type="paragraph" w:styleId="CommentSubject">
    <w:name w:val="annotation subject"/>
    <w:basedOn w:val="CommentText"/>
    <w:next w:val="CommentText"/>
    <w:link w:val="CommentSubjectChar"/>
    <w:rsid w:val="00890971"/>
    <w:rPr>
      <w:b/>
      <w:bCs/>
    </w:rPr>
  </w:style>
  <w:style w:type="character" w:customStyle="1" w:styleId="CommentSubjectChar">
    <w:name w:val="Comment Subject Char"/>
    <w:basedOn w:val="CommentTextChar"/>
    <w:link w:val="CommentSubject"/>
    <w:rsid w:val="00890971"/>
    <w:rPr>
      <w:b/>
      <w:bCs/>
      <w:lang w:val="bg-BG"/>
    </w:rPr>
  </w:style>
  <w:style w:type="character" w:styleId="Hyperlink">
    <w:name w:val="Hyperlink"/>
    <w:basedOn w:val="DefaultParagraphFont"/>
    <w:rsid w:val="00890971"/>
    <w:rPr>
      <w:color w:val="0563C1" w:themeColor="hyperlink"/>
      <w:u w:val="single"/>
    </w:rPr>
  </w:style>
  <w:style w:type="character" w:styleId="UnresolvedMention">
    <w:name w:val="Unresolved Mention"/>
    <w:basedOn w:val="DefaultParagraphFont"/>
    <w:uiPriority w:val="99"/>
    <w:semiHidden/>
    <w:unhideWhenUsed/>
    <w:rsid w:val="00890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1762</Words>
  <Characters>9744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2026-04-27T11:09:00Z</dcterms:created>
  <dcterms:modified xsi:type="dcterms:W3CDTF">2026-04-28T10:42:00Z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A10-0117/2026</vt:lpwstr>
  </property>
  <property fmtid="{D5CDD505-2E9C-101B-9397-08002B2CF9AE}" pid="4" name="&lt;Type&gt;">
    <vt:lpwstr>RR</vt:lpwstr>
  </property>
</Properties>
</file>