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08905E3" w14:textId="77777777" w:rsidTr="0010095E">
        <w:tblPrEx>
          <w:tblW w:w="9072" w:type="dxa"/>
          <w:tblLook w:val="01E0"/>
        </w:tblPrEx>
        <w:trPr>
          <w:trHeight w:hRule="exact" w:val="1418"/>
        </w:trPr>
        <w:tc>
          <w:tcPr>
            <w:tcW w:w="6804" w:type="dxa"/>
            <w:shd w:val="clear" w:color="auto" w:fill="auto"/>
            <w:vAlign w:val="center"/>
          </w:tcPr>
          <w:p w:rsidR="00751A4A" w:rsidRPr="00E71492" w:rsidP="0010095E" w14:paraId="5AC5A137" w14:textId="77777777">
            <w:pPr>
              <w:pStyle w:val="EPName"/>
            </w:pPr>
            <w:r w:rsidRPr="00E71492">
              <w:t>Evropský parlament</w:t>
            </w:r>
          </w:p>
          <w:p w:rsidR="00751A4A" w:rsidRPr="00E71492" w:rsidP="005F1B17" w14:paraId="6AC6A53A" w14:textId="77777777">
            <w:pPr>
              <w:pStyle w:val="EPTerm"/>
              <w:rPr>
                <w:rStyle w:val="HideTWBExt"/>
                <w:noProof w:val="0"/>
                <w:vanish w:val="0"/>
                <w:color w:val="auto"/>
              </w:rPr>
            </w:pPr>
            <w:r w:rsidRPr="00E71492">
              <w:t>2024</w:t>
            </w:r>
            <w:r w:rsidRPr="00E71492" w:rsidR="00817416">
              <w:t>-202</w:t>
            </w:r>
            <w:r w:rsidRPr="00E71492">
              <w:t>9</w:t>
            </w:r>
          </w:p>
        </w:tc>
        <w:tc>
          <w:tcPr>
            <w:tcW w:w="2268" w:type="dxa"/>
            <w:shd w:val="clear" w:color="auto" w:fill="auto"/>
          </w:tcPr>
          <w:p w:rsidR="00751A4A" w:rsidRPr="00E71492" w:rsidP="0010095E" w14:paraId="61BD91A3" w14:textId="77777777">
            <w:pPr>
              <w:pStyle w:val="EPLogo"/>
            </w:pPr>
            <w:r w:rsidRPr="00E7149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E71492" w:rsidP="004C5D52" w14:paraId="63B3AFFA" w14:textId="77777777">
      <w:pPr>
        <w:pStyle w:val="LineTop"/>
      </w:pPr>
    </w:p>
    <w:p w:rsidR="00680577" w:rsidRPr="00E71492" w:rsidP="00680577" w14:paraId="7F72F3D7" w14:textId="77777777">
      <w:pPr>
        <w:pStyle w:val="EPBodyTA1"/>
      </w:pPr>
      <w:r w:rsidRPr="00E71492">
        <w:t>PŘIJATÉ TEXTY</w:t>
      </w:r>
    </w:p>
    <w:p w:rsidR="00D058B8" w:rsidRPr="00E71492" w:rsidP="00D058B8" w14:paraId="78018021" w14:textId="77777777">
      <w:pPr>
        <w:pStyle w:val="LineBottom"/>
      </w:pPr>
    </w:p>
    <w:p w:rsidR="0032570F" w:rsidRPr="00E71492" w:rsidP="0032570F" w14:paraId="6C9D6A19" w14:textId="54581845">
      <w:pPr>
        <w:pStyle w:val="ATHeading1"/>
      </w:pPr>
      <w:bookmarkStart w:id="0" w:name="TANumber"/>
      <w:r w:rsidRPr="00E71492">
        <w:t>P10_TA(2026)0</w:t>
      </w:r>
      <w:r w:rsidR="00936B8D">
        <w:t>1</w:t>
      </w:r>
      <w:r w:rsidRPr="00E71492">
        <w:t>0</w:t>
      </w:r>
      <w:r w:rsidR="00936B8D">
        <w:t>8</w:t>
      </w:r>
      <w:bookmarkEnd w:id="0"/>
    </w:p>
    <w:p w:rsidR="0032570F" w:rsidRPr="00E71492" w:rsidP="0032570F" w14:paraId="6DFC2183" w14:textId="79777FD2">
      <w:pPr>
        <w:pStyle w:val="ATHeading2"/>
      </w:pPr>
      <w:r w:rsidRPr="00764571">
        <w:t>Žádost, aby byl</w:t>
      </w:r>
      <w:r>
        <w:t>a</w:t>
      </w:r>
      <w:r w:rsidRPr="00764571">
        <w:t xml:space="preserve"> Diana Iovanovici</w:t>
      </w:r>
      <w:r w:rsidR="00FD0086">
        <w:t>ová</w:t>
      </w:r>
      <w:r w:rsidRPr="00764571">
        <w:t xml:space="preserve"> Şoşoacăová zbaven</w:t>
      </w:r>
      <w:r>
        <w:t>a</w:t>
      </w:r>
      <w:r w:rsidRPr="00764571">
        <w:t xml:space="preserve"> imunity</w:t>
      </w:r>
    </w:p>
    <w:p w:rsidR="0032570F" w:rsidRPr="00E71492" w:rsidP="0032570F" w14:paraId="7C9E9619" w14:textId="77777777">
      <w:pPr>
        <w:rPr>
          <w:i/>
          <w:vanish/>
        </w:rPr>
      </w:pPr>
      <w:r>
        <w:rPr>
          <w:i/>
        </w:rPr>
        <w:fldChar w:fldCharType="begin"/>
      </w:r>
      <w:r w:rsidRPr="00E71492">
        <w:rPr>
          <w:i/>
        </w:rPr>
        <w:instrText xml:space="preserve"> TC"(</w:instrText>
      </w:r>
      <w:bookmarkStart w:id="1" w:name="DocNumber"/>
      <w:r w:rsidRPr="00E71492">
        <w:rPr>
          <w:i/>
        </w:rPr>
        <w:instrText>A10-0117/2026</w:instrText>
      </w:r>
      <w:bookmarkEnd w:id="1"/>
      <w:r w:rsidRPr="00E71492">
        <w:rPr>
          <w:i/>
        </w:rPr>
        <w:instrText xml:space="preserve"> - Zpravodaj: Dominik Tarczyński)"\l3 \n&gt; \* MERGEFORMAT </w:instrText>
      </w:r>
      <w:r>
        <w:rPr>
          <w:i/>
        </w:rPr>
        <w:fldChar w:fldCharType="end"/>
      </w:r>
    </w:p>
    <w:p w:rsidR="0032570F" w:rsidRPr="00E71492" w:rsidP="0032570F" w14:paraId="6AF1327E" w14:textId="77777777">
      <w:pPr>
        <w:rPr>
          <w:vanish/>
        </w:rPr>
      </w:pPr>
      <w:bookmarkStart w:id="2" w:name="Commission"/>
      <w:r w:rsidRPr="00E71492">
        <w:rPr>
          <w:vanish/>
        </w:rPr>
        <w:t>Výbor pro právní záležitosti</w:t>
      </w:r>
      <w:bookmarkEnd w:id="2"/>
    </w:p>
    <w:p w:rsidR="0032570F" w:rsidRPr="00E71492" w:rsidP="0032570F" w14:paraId="422AFDE4" w14:textId="77777777">
      <w:pPr>
        <w:rPr>
          <w:vanish/>
        </w:rPr>
      </w:pPr>
      <w:bookmarkStart w:id="3" w:name="PE"/>
      <w:r w:rsidRPr="00E71492">
        <w:rPr>
          <w:vanish/>
        </w:rPr>
        <w:t>PE785.318</w:t>
      </w:r>
      <w:bookmarkEnd w:id="3"/>
    </w:p>
    <w:p w:rsidR="0032570F" w:rsidRPr="00E71492" w:rsidP="0032570F" w14:paraId="065ADFE2" w14:textId="31B91C6B">
      <w:pPr>
        <w:pStyle w:val="ATHeading3"/>
      </w:pPr>
      <w:bookmarkStart w:id="4" w:name="Sujet"/>
      <w:r w:rsidRPr="00E71492">
        <w:t>Rozhodnutí Evropského parlamentu ze dne 28. dubna 2026 o žádosti, aby byla Diana Iovanovici</w:t>
      </w:r>
      <w:r w:rsidR="00FD0086">
        <w:t>ová</w:t>
      </w:r>
      <w:r w:rsidRPr="00E71492">
        <w:t xml:space="preserve"> Şoşoacăová zbavena imunity</w:t>
      </w:r>
      <w:bookmarkEnd w:id="4"/>
      <w:r w:rsidRPr="00E71492">
        <w:t xml:space="preserve"> </w:t>
      </w:r>
      <w:bookmarkStart w:id="5" w:name="References"/>
      <w:r w:rsidRPr="00E71492">
        <w:t>(2025/2196(IMM))</w:t>
      </w:r>
      <w:bookmarkEnd w:id="5"/>
    </w:p>
    <w:p w:rsidR="00937EC1" w:rsidRPr="00E71492" w:rsidP="00937EC1" w14:paraId="2EDAA0D2" w14:textId="77777777">
      <w:pPr>
        <w:pStyle w:val="EPComma"/>
      </w:pPr>
      <w:bookmarkStart w:id="6" w:name="TextBodyBegin"/>
      <w:bookmarkEnd w:id="6"/>
      <w:r w:rsidRPr="00E71492">
        <w:rPr>
          <w:i/>
        </w:rPr>
        <w:t>Evropský parlament</w:t>
      </w:r>
      <w:r w:rsidRPr="00E71492">
        <w:t>,</w:t>
      </w:r>
    </w:p>
    <w:p w:rsidR="00937EC1" w:rsidRPr="00E71492" w:rsidP="00937EC1" w14:paraId="14585941" w14:textId="7C9AB63B">
      <w:pPr>
        <w:pStyle w:val="NormalHanging12a"/>
      </w:pPr>
      <w:r w:rsidRPr="00E71492">
        <w:t>–</w:t>
      </w:r>
      <w:r w:rsidRPr="00E71492">
        <w:tab/>
        <w:t>s ohledem na žádost, aby byla Diana Iovanovici</w:t>
      </w:r>
      <w:r w:rsidR="00FD0086">
        <w:t>ová</w:t>
      </w:r>
      <w:r w:rsidRPr="00E71492">
        <w:t xml:space="preserve"> Şoşoacăová zbavena imunity, </w:t>
      </w:r>
      <w:r w:rsidR="0076449F">
        <w:t>obdrženou</w:t>
      </w:r>
      <w:r w:rsidR="00C95CF4">
        <w:t xml:space="preserve"> dopisem</w:t>
      </w:r>
      <w:r w:rsidR="0071370D">
        <w:t xml:space="preserve"> </w:t>
      </w:r>
      <w:r w:rsidRPr="00E71492">
        <w:t>ministr</w:t>
      </w:r>
      <w:r w:rsidR="0071370D">
        <w:t>a</w:t>
      </w:r>
      <w:r w:rsidRPr="00E71492">
        <w:t xml:space="preserve"> spravedlnosti Rumunska</w:t>
      </w:r>
      <w:r w:rsidR="0076449F">
        <w:t xml:space="preserve"> ze dne </w:t>
      </w:r>
      <w:r w:rsidRPr="00E71492" w:rsidR="0076449F">
        <w:t>24. září 2025</w:t>
      </w:r>
      <w:r w:rsidR="00E87D20">
        <w:t>,</w:t>
      </w:r>
      <w:r w:rsidRPr="00E71492">
        <w:t xml:space="preserve"> </w:t>
      </w:r>
      <w:r w:rsidR="0076449F">
        <w:t xml:space="preserve">jímž se předala žádost </w:t>
      </w:r>
      <w:r w:rsidRPr="00E71492" w:rsidR="0076449F">
        <w:t>nejvyššího státního zastupitelství</w:t>
      </w:r>
      <w:r w:rsidR="0076449F">
        <w:t xml:space="preserve"> Rumunska</w:t>
      </w:r>
      <w:r w:rsidRPr="00E71492" w:rsidR="0076449F">
        <w:t xml:space="preserve"> </w:t>
      </w:r>
      <w:r w:rsidRPr="00E71492">
        <w:t>v souvislosti s trestním řízením veden</w:t>
      </w:r>
      <w:r w:rsidR="0076449F">
        <w:t>ým</w:t>
      </w:r>
      <w:r w:rsidRPr="00E71492">
        <w:t xml:space="preserve"> proti Dianě Iovanovici</w:t>
      </w:r>
      <w:r w:rsidR="00FD0086">
        <w:t>ové</w:t>
      </w:r>
      <w:r w:rsidRPr="00E71492">
        <w:t xml:space="preserve"> Şoşoacăové, a která byla oznámena </w:t>
      </w:r>
      <w:r w:rsidR="0076449F">
        <w:t>na plenárním zasedání</w:t>
      </w:r>
      <w:r w:rsidRPr="00E71492" w:rsidR="00F1761F">
        <w:t xml:space="preserve"> </w:t>
      </w:r>
      <w:r w:rsidRPr="00E71492">
        <w:t>dne 9. října 2025,</w:t>
      </w:r>
    </w:p>
    <w:p w:rsidR="00937EC1" w:rsidRPr="00E71492" w:rsidP="00937EC1" w14:paraId="1C64D899" w14:textId="1C3EDD61">
      <w:pPr>
        <w:pStyle w:val="NormalHanging12a"/>
      </w:pPr>
      <w:r w:rsidRPr="00E71492">
        <w:t>–</w:t>
      </w:r>
      <w:r w:rsidRPr="00E71492">
        <w:tab/>
        <w:t>poté, co Diana Iovanovici</w:t>
      </w:r>
      <w:r w:rsidR="00FD0086">
        <w:t>ová</w:t>
      </w:r>
      <w:r w:rsidRPr="00E71492">
        <w:t xml:space="preserve"> Şoşoacăová dostala </w:t>
      </w:r>
      <w:r w:rsidRPr="00E71492" w:rsidR="00F1761F">
        <w:t xml:space="preserve">dne 24. března 2026 </w:t>
      </w:r>
      <w:r w:rsidRPr="00E71492">
        <w:t>příležitost vyjádřit se v souladu s čl. 9 odst. 6 jednacího řádu,</w:t>
      </w:r>
    </w:p>
    <w:p w:rsidR="00937EC1" w:rsidRPr="00E71492" w:rsidP="00937EC1" w14:paraId="63D63215" w14:textId="7B426F14">
      <w:pPr>
        <w:pStyle w:val="NormalHanging12a"/>
      </w:pPr>
      <w:r w:rsidRPr="00E71492">
        <w:t>–</w:t>
      </w:r>
      <w:r w:rsidRPr="00E71492">
        <w:tab/>
        <w:t xml:space="preserve">s ohledem na články 8 a 9 Protokolu č. 7 o výsadách a imunitách Evropské unie a na čl. 6 odst. 2 </w:t>
      </w:r>
      <w:r w:rsidR="0076449F">
        <w:t>a</w:t>
      </w:r>
      <w:r w:rsidRPr="00E71492">
        <w:t>ktu ze dne 20. září 1976 o volbě členů Evropského parlamentu ve všeobecných a přímých volbách,</w:t>
      </w:r>
    </w:p>
    <w:p w:rsidR="00937EC1" w:rsidRPr="00E71492" w:rsidP="00937EC1" w14:paraId="2B4C3AEE" w14:textId="77777777">
      <w:pPr>
        <w:pStyle w:val="NormalHanging12a"/>
      </w:pPr>
      <w:r w:rsidRPr="00E71492">
        <w:t>–</w:t>
      </w:r>
      <w:r w:rsidRPr="00E71492">
        <w:tab/>
        <w:t>s ohledem na rozsudky Soudního dvora Evropské unie ze dne 21. října 2008, 19. března 2010, 6. září 2011, 17. ledna 2013 a 19. prosince 2019</w:t>
      </w:r>
      <w:r>
        <w:rPr>
          <w:vertAlign w:val="superscript"/>
        </w:rPr>
        <w:footnoteReference w:id="2"/>
      </w:r>
      <w:r w:rsidRPr="00E71492">
        <w:t>,</w:t>
      </w:r>
    </w:p>
    <w:p w:rsidR="00937EC1" w:rsidRPr="00E71492" w:rsidP="00937EC1" w14:paraId="267D7422" w14:textId="77777777">
      <w:pPr>
        <w:pStyle w:val="NormalHanging12a"/>
      </w:pPr>
      <w:r w:rsidRPr="00E71492">
        <w:t>–</w:t>
      </w:r>
      <w:r w:rsidRPr="00E71492">
        <w:tab/>
        <w:t>s ohledem na čl. 72 odst. 1 a 2 rumunské ústavy,</w:t>
      </w:r>
    </w:p>
    <w:p w:rsidR="00937EC1" w:rsidRPr="00E71492" w:rsidP="00937EC1" w14:paraId="35DD149E" w14:textId="77777777">
      <w:pPr>
        <w:pStyle w:val="NormalHanging12a"/>
      </w:pPr>
      <w:r w:rsidRPr="00E71492">
        <w:t>–</w:t>
      </w:r>
      <w:r w:rsidRPr="00E71492">
        <w:tab/>
        <w:t>s ohledem na čl. 5 odst. 2, čl. 6 odst. 1 a článek 9 jednacího řádu,</w:t>
      </w:r>
    </w:p>
    <w:p w:rsidR="00937EC1" w:rsidRPr="00E71492" w:rsidP="00937EC1" w14:paraId="7D6CCA2F" w14:textId="4CBB26C1">
      <w:pPr>
        <w:pStyle w:val="NormalHanging12a"/>
      </w:pPr>
      <w:r w:rsidRPr="00E71492">
        <w:t>–</w:t>
      </w:r>
      <w:r w:rsidRPr="00E71492">
        <w:tab/>
        <w:t xml:space="preserve">s ohledem na zprávu Výboru pro </w:t>
      </w:r>
      <w:r w:rsidR="0076449F">
        <w:t>právní záležitosti</w:t>
      </w:r>
      <w:r w:rsidRPr="00E71492">
        <w:t xml:space="preserve"> (A10</w:t>
      </w:r>
      <w:r w:rsidRPr="00E71492">
        <w:noBreakHyphen/>
        <w:t>0117/2026),</w:t>
      </w:r>
    </w:p>
    <w:p w:rsidR="00937EC1" w:rsidRPr="00E71492" w:rsidP="00937EC1" w14:paraId="519576A4" w14:textId="6443D202">
      <w:pPr>
        <w:pStyle w:val="NormalHanging12a"/>
      </w:pPr>
      <w:r w:rsidRPr="00E71492">
        <w:t>A.</w:t>
      </w:r>
      <w:r w:rsidRPr="00E71492">
        <w:tab/>
        <w:t>vzhledem k tomu, že dopise</w:t>
      </w:r>
      <w:r w:rsidR="0037581B">
        <w:t>m</w:t>
      </w:r>
      <w:r w:rsidRPr="00E71492">
        <w:t xml:space="preserve"> ze dne 24. září 2025 </w:t>
      </w:r>
      <w:r w:rsidR="0037581B">
        <w:t>předal</w:t>
      </w:r>
      <w:r w:rsidRPr="00E71492">
        <w:t xml:space="preserve"> ministr spravedlnosti </w:t>
      </w:r>
      <w:r w:rsidR="0037581B">
        <w:t xml:space="preserve">Rumunska </w:t>
      </w:r>
      <w:r w:rsidRPr="00E71492">
        <w:t>žádost</w:t>
      </w:r>
      <w:r w:rsidR="0071370D">
        <w:t xml:space="preserve"> </w:t>
      </w:r>
      <w:r w:rsidRPr="00E71492">
        <w:t>nejvyšší</w:t>
      </w:r>
      <w:r w:rsidR="009E5E5D">
        <w:t>ho</w:t>
      </w:r>
      <w:r w:rsidRPr="00E71492">
        <w:t xml:space="preserve"> státní</w:t>
      </w:r>
      <w:r w:rsidR="009E5E5D">
        <w:t>ho</w:t>
      </w:r>
      <w:r w:rsidRPr="00E71492">
        <w:t xml:space="preserve"> zastupitelství</w:t>
      </w:r>
      <w:r w:rsidR="0037581B">
        <w:t xml:space="preserve"> Rumunska</w:t>
      </w:r>
      <w:r w:rsidRPr="00E71492">
        <w:t>, aby byla Diana Iovanovici</w:t>
      </w:r>
      <w:r w:rsidR="00FD0086">
        <w:t>ová</w:t>
      </w:r>
      <w:r w:rsidRPr="00E71492">
        <w:t xml:space="preserve"> Şoşoacăová,</w:t>
      </w:r>
      <w:r w:rsidR="0071370D">
        <w:t xml:space="preserve"> </w:t>
      </w:r>
      <w:r w:rsidR="0037581B">
        <w:t xml:space="preserve">členka </w:t>
      </w:r>
      <w:r w:rsidRPr="003A3A4A" w:rsidR="009E5E5D">
        <w:t xml:space="preserve">Evropského parlamentu </w:t>
      </w:r>
      <w:r w:rsidRPr="00E71492">
        <w:t xml:space="preserve">zvolená </w:t>
      </w:r>
      <w:r w:rsidR="0037581B">
        <w:t>v</w:t>
      </w:r>
      <w:r w:rsidRPr="00E71492">
        <w:t> Rumunsk</w:t>
      </w:r>
      <w:r w:rsidR="0037581B">
        <w:t>u</w:t>
      </w:r>
      <w:r w:rsidRPr="00E71492">
        <w:t>, zbavena imunity v souvislosti s trestním řízením týkajícím se několika trestných činů, které byly údajně spáchány v různých dnech mezi 10. prosincem 2021 a 11. únorem 2025;</w:t>
      </w:r>
    </w:p>
    <w:p w:rsidR="00937EC1" w:rsidRPr="00E71492" w:rsidP="00937EC1" w14:paraId="6DF55E4C" w14:textId="1AF67F3C">
      <w:pPr>
        <w:pStyle w:val="NormalHanging12a"/>
      </w:pPr>
      <w:r w:rsidRPr="00E71492">
        <w:t>B.</w:t>
      </w:r>
      <w:r w:rsidRPr="00E71492">
        <w:tab/>
        <w:t>vzhledem k tomu, že podle žádosti podaly tři osoby trestní oznámení proto, že Diana Iovanovici</w:t>
      </w:r>
      <w:r w:rsidR="00FD0086">
        <w:t>ová</w:t>
      </w:r>
      <w:r w:rsidRPr="00E71492">
        <w:t xml:space="preserve"> Șoșoacăová a další osoby údajně zbavily dne 10. prosince 2021 na přibližně 20 minut od 15:40 do 16:00 v bytě v Bukurešti žalobce a čtvrtou osobu svobody; vzhledem k tomu, že toto údajné jednání představuje trestný čin, na který se vztahuje čl. 205 odst. 1 rumunského trestního zákoníku;</w:t>
      </w:r>
    </w:p>
    <w:p w:rsidR="00937EC1" w:rsidRPr="00E71492" w:rsidP="00937EC1" w14:paraId="792F78F3" w14:textId="7B6EF72A">
      <w:pPr>
        <w:pStyle w:val="NormalHanging12a"/>
      </w:pPr>
      <w:r w:rsidRPr="00E71492">
        <w:t>C.</w:t>
      </w:r>
      <w:r w:rsidRPr="00E71492">
        <w:tab/>
        <w:t>vzhledem k tomu, že podle žádosti dne 28. února 2024 Národní institut rumunské vlády pro studium holokaustu v Rumunsku nesoucí jméno Elieho Wiesela informoval justiční orgány, že dne 19. února 2024 byla na oficiálních internetových stránkách strany SOS România údajně zveřejněna tisková zpráva této strany, již podepsala Diana Iovanovici</w:t>
      </w:r>
      <w:r w:rsidR="00FD0086">
        <w:t>ová</w:t>
      </w:r>
      <w:r w:rsidRPr="00E71492">
        <w:t xml:space="preserve"> Șoșoacăová jako předsedkyně této strany, ve které údajně oslavovala osobu odsouzenou jako válečný zločinec podle rumunského zákona č. 312/1945 o stíhání a trestání osob</w:t>
      </w:r>
      <w:r w:rsidR="004B33F9">
        <w:t>, jež se dopustily</w:t>
      </w:r>
      <w:r w:rsidRPr="00E71492">
        <w:t> katastrofy nebo válečných zločinů; vzhledem k tomu, že toto údajné jednání představuje trestný čin</w:t>
      </w:r>
      <w:r w:rsidR="00E95A12">
        <w:t xml:space="preserve"> </w:t>
      </w:r>
      <w:r w:rsidRPr="00E71492" w:rsidR="00F5773E">
        <w:t>podle článku 5 mimořádného nařízení vlády Rumunska č. 31/2002</w:t>
      </w:r>
      <w:r w:rsidRPr="00E71492">
        <w:t>;</w:t>
      </w:r>
    </w:p>
    <w:p w:rsidR="00937EC1" w:rsidRPr="00E71492" w:rsidP="00937EC1" w14:paraId="2D3FFF7C" w14:textId="36F81B58">
      <w:pPr>
        <w:pStyle w:val="NormalHanging12a"/>
        <w:rPr>
          <w:bCs/>
          <w:iCs/>
        </w:rPr>
      </w:pPr>
      <w:r w:rsidRPr="00E71492">
        <w:t>D.</w:t>
      </w:r>
      <w:r w:rsidRPr="00E71492">
        <w:tab/>
        <w:t>vzhledem k tomu, že podle žádosti uvedlo dne 27. května 2024 Středisko pro sledování a boj proti antisemitismu v Rumunsku, že ve dnech 13. a 14. května 2024 2024 Diana Iovanovici</w:t>
      </w:r>
      <w:r w:rsidR="00FD0086">
        <w:t>ová</w:t>
      </w:r>
      <w:r w:rsidRPr="00E71492">
        <w:t xml:space="preserve"> Șoșoacăová, když se nacházela v prostorách rumunského parlamentu, údajně učinila veřejná prohlášení, </w:t>
      </w:r>
      <w:r w:rsidR="0037581B">
        <w:t>včetně</w:t>
      </w:r>
      <w:r w:rsidRPr="00E71492" w:rsidR="0037581B">
        <w:t> prostřednictvím svého veřejného účtu na Facebooku</w:t>
      </w:r>
      <w:r w:rsidR="0037581B">
        <w:t>,</w:t>
      </w:r>
      <w:r w:rsidRPr="00E71492" w:rsidR="0037581B">
        <w:t xml:space="preserve"> </w:t>
      </w:r>
      <w:r w:rsidRPr="00E71492">
        <w:t>v nichž kolektivně obvinila Židy z historických zločinů proti rumunskému lidu; vzhledem k tomu, že toto údajné jednání představuje trestný čin podle článku 3 rumunského zákona č. 157/2018 o opatřeních k předcházení antisemitismu a boji proti němu;</w:t>
      </w:r>
    </w:p>
    <w:p w:rsidR="00937EC1" w:rsidRPr="00E71492" w:rsidP="00937EC1" w14:paraId="0B38FF9B" w14:textId="63EA7147">
      <w:pPr>
        <w:pStyle w:val="NormalHanging12a"/>
        <w:rPr>
          <w:bCs/>
          <w:iCs/>
        </w:rPr>
      </w:pPr>
      <w:r w:rsidRPr="00E71492">
        <w:t>E.</w:t>
      </w:r>
      <w:r w:rsidRPr="00E71492">
        <w:tab/>
        <w:t>vzhledem k tomu, že podle žádosti Diana Iovanovici</w:t>
      </w:r>
      <w:r w:rsidR="00FD0086">
        <w:t>ová</w:t>
      </w:r>
      <w:r w:rsidRPr="00E71492">
        <w:t xml:space="preserve"> Șoșoacăová dne 14. května 2024</w:t>
      </w:r>
      <w:r w:rsidR="0037581B">
        <w:t>, když se nacházela</w:t>
      </w:r>
      <w:r w:rsidRPr="00E71492">
        <w:t xml:space="preserve"> v prostorách rumunského parlamentu</w:t>
      </w:r>
      <w:r w:rsidR="0037581B">
        <w:t xml:space="preserve"> za účelem</w:t>
      </w:r>
      <w:r w:rsidRPr="00E71492">
        <w:t xml:space="preserve"> účast</w:t>
      </w:r>
      <w:r w:rsidR="0037581B">
        <w:t>i na</w:t>
      </w:r>
      <w:r w:rsidRPr="00E71492">
        <w:t xml:space="preserve"> společné</w:t>
      </w:r>
      <w:r w:rsidR="0037581B">
        <w:t>m</w:t>
      </w:r>
      <w:r w:rsidRPr="00E71492">
        <w:t xml:space="preserve"> zasedání </w:t>
      </w:r>
      <w:r w:rsidR="004B33F9">
        <w:t xml:space="preserve">rumunské </w:t>
      </w:r>
      <w:r w:rsidRPr="00E71492">
        <w:t>Poslanecké sněmovny a Senátu, údajně učinila prohlášení, v nichž kolektivně obvinila Židy z historických zločinů proti rumunskému lidu; vzhledem k tomu, že toto údajné jednání představuje trestný čin</w:t>
      </w:r>
      <w:r w:rsidR="006D117B">
        <w:t xml:space="preserve"> podle</w:t>
      </w:r>
      <w:r w:rsidRPr="00E71492">
        <w:t xml:space="preserve"> čl. 6 odst. 1 </w:t>
      </w:r>
      <w:r w:rsidRPr="00E71492" w:rsidR="00F5773E">
        <w:t>mimořádného nařízení vlády Rumunska č. 31/2002</w:t>
      </w:r>
      <w:r w:rsidRPr="00E71492">
        <w:t>;</w:t>
      </w:r>
    </w:p>
    <w:p w:rsidR="00937EC1" w:rsidRPr="00E71492" w:rsidP="00937EC1" w14:paraId="24B2A2B2" w14:textId="4607D125">
      <w:pPr>
        <w:pStyle w:val="NormalHanging12a"/>
        <w:rPr>
          <w:bCs/>
          <w:iCs/>
        </w:rPr>
      </w:pPr>
      <w:r w:rsidRPr="00E71492">
        <w:t>F.</w:t>
      </w:r>
      <w:r w:rsidRPr="00E71492">
        <w:tab/>
        <w:t>vzhledem k tomu, že podle žádosti učinila Diana I</w:t>
      </w:r>
      <w:r w:rsidR="00DB2043">
        <w:t>o</w:t>
      </w:r>
      <w:r w:rsidRPr="00E71492">
        <w:t>vanovici</w:t>
      </w:r>
      <w:r w:rsidR="00FD0086">
        <w:t>ová</w:t>
      </w:r>
      <w:r w:rsidRPr="00E71492">
        <w:t xml:space="preserve"> Șoșoacăová ve dnech 5. a 6. října 2024 údajně několik veřejných prohlášení online, v nichž oslavovala některé osoby a hnutí, o nichž se má za to, že spáchaly válečné zločiny podle rumunského vnitrostátního práva nebo se na nich podílely, a kolektivně obvinila Židy z historických a náboženských zločinů; vzhledem k tomu, že toto údajné jednání představuje trestné činy podle článku 5 mimořádného nařízení vlády Rumunska č. 31/2002;</w:t>
      </w:r>
    </w:p>
    <w:p w:rsidR="00937EC1" w:rsidRPr="00E71492" w:rsidP="00937EC1" w14:paraId="741841C8" w14:textId="34EF6324">
      <w:pPr>
        <w:pStyle w:val="NormalHanging12a"/>
      </w:pPr>
      <w:r w:rsidRPr="00E71492">
        <w:t>G.</w:t>
      </w:r>
      <w:r w:rsidRPr="00E71492">
        <w:tab/>
        <w:t>vzhledem k tomu, že podle žádosti Diana I</w:t>
      </w:r>
      <w:r w:rsidR="00DB2043">
        <w:t>o</w:t>
      </w:r>
      <w:r w:rsidRPr="00E71492">
        <w:t>vanovici</w:t>
      </w:r>
      <w:r w:rsidR="00FD0086">
        <w:t>ová</w:t>
      </w:r>
      <w:r w:rsidRPr="00E71492">
        <w:t xml:space="preserve"> Șoșoacăová dne 1.</w:t>
      </w:r>
      <w:r w:rsidRPr="00E71492" w:rsidR="00FD0086">
        <w:t> </w:t>
      </w:r>
      <w:r w:rsidRPr="00E71492">
        <w:t xml:space="preserve">prosince 2024 údajně veřejně oslavovala osobu odsouzenou za válečné zločiny podle rumunského vnitrostátního práva, a to prostřednictvím prohlášení učiněných online a prostřednictvím veřejné propagace legionářských, rasistických a xenofobních myšlenek a koncepcí ve vztahu k židovské komunitě; vzhledem k tomu, že toto údajné </w:t>
      </w:r>
      <w:r w:rsidRPr="00E71492">
        <w:t>jednání představuje trestné činy podle článku 5 mimořádného nařízení vlády Rumunska č. 31/2002;</w:t>
      </w:r>
    </w:p>
    <w:p w:rsidR="00937EC1" w:rsidRPr="00E71492" w:rsidP="00937EC1" w14:paraId="61A07B8F" w14:textId="1164D93F">
      <w:pPr>
        <w:pStyle w:val="NormalHanging12a"/>
        <w:rPr>
          <w:bCs/>
          <w:iCs/>
        </w:rPr>
      </w:pPr>
      <w:r w:rsidRPr="00E71492">
        <w:t>H.</w:t>
      </w:r>
      <w:r w:rsidRPr="00E71492">
        <w:tab/>
        <w:t>vzhledem k tomu, že podle žádosti Diana Iovanovici</w:t>
      </w:r>
      <w:r w:rsidR="00FD0086">
        <w:t>ová</w:t>
      </w:r>
      <w:r w:rsidRPr="00E71492">
        <w:t xml:space="preserve"> Șoșoacăová dne 15. prosince 2024 údajně přímo vyhrožovala</w:t>
      </w:r>
      <w:r w:rsidR="006D117B">
        <w:t xml:space="preserve"> násilím</w:t>
      </w:r>
      <w:r w:rsidRPr="00E71492">
        <w:t xml:space="preserve"> dvěma policistům při výkonu jejich povinností souvisejících s dříve uloženou správní pokutou; vzhledem k tomu, že toto údajné jednání představuje trestný čin</w:t>
      </w:r>
      <w:r w:rsidR="006D117B">
        <w:t xml:space="preserve"> podle</w:t>
      </w:r>
      <w:r w:rsidRPr="00E71492">
        <w:t xml:space="preserve"> čl. 257 odst. 1 a 4 rumunského trestního zákoníku;</w:t>
      </w:r>
    </w:p>
    <w:p w:rsidR="00937EC1" w:rsidRPr="00E71492" w:rsidP="00937EC1" w14:paraId="64B0F7FC" w14:textId="484ADF8D">
      <w:pPr>
        <w:pStyle w:val="NormalHanging12a"/>
        <w:rPr>
          <w:bCs/>
          <w:iCs/>
        </w:rPr>
      </w:pPr>
      <w:r w:rsidRPr="00E71492">
        <w:t>I.</w:t>
      </w:r>
      <w:r w:rsidRPr="00E71492">
        <w:tab/>
        <w:t>vzhledem k tomu, že podle žádosti oznámila vládní organizace Institut pro vyšetřování komunistických trestných činů a paměti rumunského exilu dne 25. února 2025 soudním orgánům, že dne 11. února 2025 pronesla Diana Iovanovici</w:t>
      </w:r>
      <w:r w:rsidR="00FD0086">
        <w:t>ová</w:t>
      </w:r>
      <w:r w:rsidRPr="00E71492">
        <w:t xml:space="preserve"> Șoșoacăová na plenárním zasedání Evropského parlamentu projev, v němž svým kolegům </w:t>
      </w:r>
      <w:r w:rsidR="004B33F9">
        <w:t xml:space="preserve">údajně </w:t>
      </w:r>
      <w:r w:rsidRPr="00E71492">
        <w:t>doporučila, aby vytvářeli zahraničněpolitické strategie po vzoru Nicolae Ceaușescua, který byl odsouzen na základě rozsudku bukurešťského Územního vojenského soudu ze dne 25. prosince 1989 za genocidu; vzhledem k tomu, že tento údajný skutek představuje trestný čin</w:t>
      </w:r>
      <w:r w:rsidR="006D117B">
        <w:t xml:space="preserve"> </w:t>
      </w:r>
      <w:r w:rsidRPr="00E71492" w:rsidR="00F5773E">
        <w:t>podle článku 5 mimořádného nařízení vlády Rumunska č. 31/2002</w:t>
      </w:r>
      <w:r w:rsidRPr="00E71492">
        <w:t>;</w:t>
      </w:r>
    </w:p>
    <w:p w:rsidR="00937EC1" w:rsidRPr="00E71492" w:rsidP="00937EC1" w14:paraId="742672FC" w14:textId="2DF8392F">
      <w:pPr>
        <w:pStyle w:val="NormalHanging12a"/>
        <w:rPr>
          <w:bCs/>
          <w:iCs/>
        </w:rPr>
      </w:pPr>
      <w:r w:rsidRPr="00E71492">
        <w:t>J.</w:t>
      </w:r>
      <w:r w:rsidRPr="00E71492">
        <w:tab/>
        <w:t>vzhledem k tomu, že Diana Iovanovici</w:t>
      </w:r>
      <w:r w:rsidR="00FD0086">
        <w:t>ová</w:t>
      </w:r>
      <w:r w:rsidRPr="00E71492">
        <w:t xml:space="preserve"> Șoșoacăová byla zvolena </w:t>
      </w:r>
      <w:r w:rsidR="006D117B">
        <w:t>poslankyní</w:t>
      </w:r>
      <w:r w:rsidRPr="00E71492" w:rsidR="006D117B">
        <w:t xml:space="preserve"> </w:t>
      </w:r>
      <w:r w:rsidRPr="00E71492">
        <w:t>Evropského parlamentu v</w:t>
      </w:r>
      <w:r w:rsidR="006D117B">
        <w:t xml:space="preserve"> </w:t>
      </w:r>
      <w:r w:rsidRPr="00E71492">
        <w:t>e</w:t>
      </w:r>
      <w:r w:rsidR="006D117B">
        <w:t>vropských</w:t>
      </w:r>
      <w:r w:rsidRPr="00E71492">
        <w:t xml:space="preserve"> volbách </w:t>
      </w:r>
      <w:r w:rsidR="006D117B">
        <w:t xml:space="preserve">konaných </w:t>
      </w:r>
      <w:r w:rsidRPr="00E71492">
        <w:t>v červnu 2024, a </w:t>
      </w:r>
      <w:r w:rsidR="006D117B">
        <w:t xml:space="preserve">že </w:t>
      </w:r>
      <w:r w:rsidRPr="00E71492">
        <w:t xml:space="preserve">v době </w:t>
      </w:r>
      <w:r w:rsidR="006D117B">
        <w:t xml:space="preserve">spáchání </w:t>
      </w:r>
      <w:r w:rsidRPr="00E71492">
        <w:t xml:space="preserve">žádného z údajných </w:t>
      </w:r>
      <w:r w:rsidR="006D117B">
        <w:t xml:space="preserve">trestných </w:t>
      </w:r>
      <w:r w:rsidRPr="00E71492">
        <w:t xml:space="preserve">činů uvedených v žádosti, k nimž došlo dne 10. prosince 2021, 19. února 2024 a 13. a 14. května 2024, </w:t>
      </w:r>
      <w:r w:rsidR="006D117B">
        <w:t xml:space="preserve">tudíž nebyla </w:t>
      </w:r>
      <w:r w:rsidRPr="00E71492">
        <w:t>poslankyní Evropského parlamentu; vzhledem k tomu, že Diana Iovanovici</w:t>
      </w:r>
      <w:r w:rsidR="00FD0086">
        <w:t>ová</w:t>
      </w:r>
      <w:r w:rsidRPr="00E71492">
        <w:t xml:space="preserve"> Șoșoacăová byla v době údajných činů uvedených v žádosti, k nimž došlo ve dnech 5. a 6. října 2024, 1. prosince 2024, 15. prosince 2024 a 11. února 2025, poslankyní Evropského parlamentu; vzhledem k tomu, že kromě žalob na Dianu Iovanovici</w:t>
      </w:r>
      <w:r w:rsidR="00FD0086">
        <w:t>ovou</w:t>
      </w:r>
      <w:r w:rsidRPr="00E71492">
        <w:t xml:space="preserve"> Șoșoacăovou a trestních řízení vedených proti ní, jež se týkají údajných činů ze dne 10. prosince 2021 a 19. února 2024, byla všechna ostatní trestní řízení zahájena po jejím zvolení </w:t>
      </w:r>
      <w:r w:rsidR="006D117B">
        <w:t>členkou</w:t>
      </w:r>
      <w:r w:rsidRPr="00E71492" w:rsidR="006D117B">
        <w:t xml:space="preserve"> </w:t>
      </w:r>
      <w:r w:rsidRPr="00E71492">
        <w:t>Evropského parlamentu;</w:t>
      </w:r>
    </w:p>
    <w:p w:rsidR="00937EC1" w:rsidRPr="00E71492" w:rsidP="00937EC1" w14:paraId="021611BB" w14:textId="77777777">
      <w:pPr>
        <w:pStyle w:val="NormalHanging12a"/>
        <w:rPr>
          <w:bCs/>
          <w:iCs/>
        </w:rPr>
      </w:pPr>
      <w:r w:rsidRPr="00E71492">
        <w:t>K.</w:t>
      </w:r>
      <w:r w:rsidRPr="00E71492">
        <w:tab/>
        <w:t>vzhledem k tomu, že článek 8 Protokolu č. 7 o výsadách a imunitách Evropské unie stanoví, že členové Evropského parlamentu nemohou být vyšetřováni, zadrženi nebo stíháni pro své názory či hlasování během výkonu své funkce;</w:t>
      </w:r>
    </w:p>
    <w:p w:rsidR="00937EC1" w:rsidRPr="00E71492" w:rsidP="00937EC1" w14:paraId="23B2E0DE" w14:textId="26B69545">
      <w:pPr>
        <w:pStyle w:val="NormalHanging12a"/>
        <w:rPr>
          <w:bCs/>
          <w:iCs/>
        </w:rPr>
      </w:pPr>
      <w:r w:rsidRPr="00E71492">
        <w:t>L.</w:t>
      </w:r>
      <w:r w:rsidRPr="00E71492">
        <w:tab/>
        <w:t>vzhledem k tomu, že údajný trestný čin spáchaný dne 11. února 2025 v souvislosti s údajným oslavováním Nicolae Ceaușescua, jenž byl podle rumunského vnitrostátního práva odsouzen jako válečný zločinec, zahrnuje prohlášení, které učinila během plenárního zasedání Evropského parlamentu ve Štrasburku v rámci rozpravy o „ širší komplexní strategii EU pro Blízký východ“; vzhledem k tomu, že toto prohlášení tudíž představuje názor nebo rozhodnutí v rámci hlasování, které Diana Iovanovici</w:t>
      </w:r>
      <w:r w:rsidR="00FD0086">
        <w:t>ová</w:t>
      </w:r>
      <w:r w:rsidRPr="00E71492">
        <w:t xml:space="preserve"> Şoşoacăová vyjádřila během výkonu svého mandátu ve smyslu článku 8 Protokolu č. 7 o výsadách a imunitách Evropské unie;</w:t>
      </w:r>
    </w:p>
    <w:p w:rsidR="00937EC1" w:rsidRPr="00E71492" w:rsidP="00937EC1" w14:paraId="20696564" w14:textId="5E3A3112">
      <w:pPr>
        <w:pStyle w:val="NormalHanging12a"/>
        <w:rPr>
          <w:bCs/>
          <w:iCs/>
        </w:rPr>
      </w:pPr>
      <w:r w:rsidRPr="00E71492">
        <w:t>M.</w:t>
      </w:r>
      <w:r w:rsidRPr="00E71492">
        <w:tab/>
        <w:t>vzhledem k tomu, že všechny ostatní údajné trestné činy a zbylá žádost o zbavení Diany Iovanovici</w:t>
      </w:r>
      <w:r w:rsidR="00FD0086">
        <w:t>ové</w:t>
      </w:r>
      <w:r w:rsidRPr="00E71492">
        <w:t xml:space="preserve"> Şoşoacăové imunity nejsou tedy spojeny s jejími názory nebo hlasováním při výkonu její funkce ve smyslu článku 8 Protokolu č. 7 o výsadách a imunitách Evropské unie;</w:t>
      </w:r>
    </w:p>
    <w:p w:rsidR="00937EC1" w:rsidRPr="00E71492" w:rsidP="00937EC1" w14:paraId="0663756A" w14:textId="0D723183">
      <w:pPr>
        <w:pStyle w:val="NormalHanging12a"/>
        <w:rPr>
          <w:bCs/>
          <w:iCs/>
        </w:rPr>
      </w:pPr>
      <w:r w:rsidRPr="00E71492">
        <w:t>N.</w:t>
      </w:r>
      <w:r w:rsidRPr="00E71492">
        <w:tab/>
        <w:t xml:space="preserve">vzhledem k tomu, že čl. 9 </w:t>
      </w:r>
      <w:r w:rsidR="004B33F9">
        <w:t>první pododstavec</w:t>
      </w:r>
      <w:r w:rsidRPr="00E71492">
        <w:t xml:space="preserve"> písm. a) Protokolu č. 7 o výsadách a imunitách Evropské unie stanoví, že </w:t>
      </w:r>
      <w:r w:rsidR="004B33F9">
        <w:t>během</w:t>
      </w:r>
      <w:r w:rsidRPr="00E71492">
        <w:t xml:space="preserve"> zasedání Evropského parlamentu požívají </w:t>
      </w:r>
      <w:r w:rsidRPr="00E71492" w:rsidR="004D508C">
        <w:t xml:space="preserve">jeho </w:t>
      </w:r>
      <w:r w:rsidR="004D508C">
        <w:t xml:space="preserve">členové </w:t>
      </w:r>
      <w:r w:rsidRPr="00E71492">
        <w:t xml:space="preserve">na území vlastního státu imunit přiznávaných </w:t>
      </w:r>
      <w:r w:rsidR="004D508C">
        <w:t xml:space="preserve">členům parlamentu </w:t>
      </w:r>
      <w:r w:rsidR="004B33F9">
        <w:t>jejich</w:t>
      </w:r>
      <w:r w:rsidRPr="00E71492">
        <w:t xml:space="preserve"> </w:t>
      </w:r>
      <w:r w:rsidRPr="00E71492">
        <w:t>vlastního státu;</w:t>
      </w:r>
    </w:p>
    <w:p w:rsidR="00937EC1" w:rsidRPr="00E71492" w:rsidP="00937EC1" w14:paraId="309C0CF2" w14:textId="18AECF37">
      <w:pPr>
        <w:pStyle w:val="NormalHanging12a"/>
      </w:pPr>
      <w:r w:rsidRPr="00E71492">
        <w:t>O.</w:t>
      </w:r>
      <w:r w:rsidRPr="00E71492">
        <w:tab/>
        <w:t xml:space="preserve">vzhledem k tomu, že v čl. 72 odst. 1 a 2 rumunské ústavy je </w:t>
      </w:r>
      <w:r w:rsidR="004D508C">
        <w:t>stanoveno, že</w:t>
      </w:r>
      <w:r w:rsidRPr="00E71492">
        <w:t>:</w:t>
      </w:r>
    </w:p>
    <w:p w:rsidR="00937EC1" w:rsidRPr="00E71492" w:rsidP="0050728C" w14:paraId="6DA9648C" w14:textId="77777777">
      <w:pPr>
        <w:pStyle w:val="NormalHanging12a"/>
        <w:ind w:left="1134"/>
      </w:pPr>
      <w:r w:rsidRPr="00E71492">
        <w:t>„1.</w:t>
      </w:r>
      <w:r w:rsidRPr="00E71492">
        <w:tab/>
        <w:t>Žádný poslanec ani senátor není soudně odpovědný za hlasování nebo politické názory vyjádřené při výkonu své funkce.</w:t>
      </w:r>
    </w:p>
    <w:p w:rsidR="00937EC1" w:rsidRPr="00E71492" w:rsidP="0050728C" w14:paraId="16833763" w14:textId="77777777">
      <w:pPr>
        <w:pStyle w:val="NormalHanging12a"/>
        <w:ind w:left="1134"/>
      </w:pPr>
      <w:r w:rsidRPr="00E71492">
        <w:t>2.</w:t>
      </w:r>
      <w:r w:rsidRPr="00E71492">
        <w:tab/>
        <w:t>Poslanci a senátoři mohou být trestně a soudně stíháni pro skutky, které nejsou spojeny s politickými názory nebo hlasy vyjádřenými při výkonu jejich mandátu, ale nemohou být předmětem prohlídky, zadrženi nebo uvězněni bez souhlasu komory, jíž jsou členy, poté, co byli vyslechnuti. Pouze Úřad prokurátora při Nejvyšším kasačním a soudním dvoře může zahájit příslušný trestněprávní soudní proces. Tyto případy spadají pod nejvyšší kasační a soudní dvůr“;</w:t>
      </w:r>
    </w:p>
    <w:p w:rsidR="00937EC1" w:rsidRPr="00E71492" w:rsidP="00937EC1" w14:paraId="42F0936D" w14:textId="2B889018">
      <w:pPr>
        <w:pStyle w:val="NormalHanging12a"/>
      </w:pPr>
      <w:r w:rsidRPr="00E71492">
        <w:t>P.</w:t>
      </w:r>
      <w:r w:rsidRPr="00E71492">
        <w:tab/>
        <w:t xml:space="preserve">vzhledem k tomu, že </w:t>
      </w:r>
      <w:r w:rsidR="004D508C">
        <w:t>účelem</w:t>
      </w:r>
      <w:r w:rsidRPr="00E71492" w:rsidR="004D508C">
        <w:t xml:space="preserve"> </w:t>
      </w:r>
      <w:r w:rsidRPr="00E71492">
        <w:t xml:space="preserve">imunity stanovené v Protokolu č. 7 o výsadách a imunitách Evropské unie je chránit Parlament a jeho poslance před soudními řízeními </w:t>
      </w:r>
      <w:r w:rsidR="004D508C">
        <w:t>v souvislosti s</w:t>
      </w:r>
      <w:r w:rsidRPr="00E71492">
        <w:t xml:space="preserve"> činnost</w:t>
      </w:r>
      <w:r w:rsidR="004D508C">
        <w:t>í</w:t>
      </w:r>
      <w:r w:rsidRPr="00E71492">
        <w:t xml:space="preserve"> </w:t>
      </w:r>
      <w:r w:rsidRPr="00653F19" w:rsidR="004D508C">
        <w:t>kterou vykonávají v rámci plnění svých parlamentních povinností a která nemůže být od těchto povinností oddělena</w:t>
      </w:r>
      <w:r w:rsidRPr="00E71492">
        <w:t>;</w:t>
      </w:r>
    </w:p>
    <w:p w:rsidR="00937EC1" w:rsidRPr="00E71492" w:rsidP="00937EC1" w14:paraId="22549ADC" w14:textId="77777777">
      <w:pPr>
        <w:pStyle w:val="NormalHanging12a"/>
      </w:pPr>
      <w:r w:rsidRPr="00E71492">
        <w:t>Q.</w:t>
      </w:r>
      <w:r w:rsidRPr="00E71492">
        <w:tab/>
        <w:t>vzhledem k tomu, že podle čl. 5 odst. 2 jednacího řádu Evropského parlamentu není poslanecká imunita osobní výsadou poslanců, nýbrž zárukou nezávislosti Evropského parlamentu jako celku a jeho poslanců;</w:t>
      </w:r>
    </w:p>
    <w:p w:rsidR="00937EC1" w:rsidRPr="00E71492" w:rsidP="00937EC1" w14:paraId="22C5B0BB" w14:textId="78049AA3">
      <w:pPr>
        <w:pStyle w:val="NormalHanging12a"/>
      </w:pPr>
      <w:r w:rsidRPr="00E71492">
        <w:t>R.</w:t>
      </w:r>
      <w:r w:rsidRPr="00E71492">
        <w:tab/>
        <w:t>vzhledem k tomu, že</w:t>
      </w:r>
      <w:r w:rsidR="004D508C">
        <w:t xml:space="preserve"> Parlament </w:t>
      </w:r>
      <w:r w:rsidRPr="00E71492">
        <w:t>v</w:t>
      </w:r>
      <w:r w:rsidR="00246E06">
        <w:t> </w:t>
      </w:r>
      <w:r w:rsidRPr="00E71492">
        <w:t>t</w:t>
      </w:r>
      <w:r w:rsidR="00246E06">
        <w:t>omto případě</w:t>
      </w:r>
      <w:r w:rsidRPr="00E71492">
        <w:t xml:space="preserve"> </w:t>
      </w:r>
      <w:r w:rsidR="00246E06">
        <w:t xml:space="preserve">nenalezl </w:t>
      </w:r>
      <w:r w:rsidRPr="00E71492">
        <w:t xml:space="preserve">důkazy o existenci </w:t>
      </w:r>
      <w:r w:rsidRPr="0050728C">
        <w:rPr>
          <w:i/>
          <w:iCs/>
        </w:rPr>
        <w:t>fumus persecutionis</w:t>
      </w:r>
      <w:r w:rsidRPr="00E71492">
        <w:t xml:space="preserve">, </w:t>
      </w:r>
      <w:r w:rsidRPr="00F84CF4" w:rsidR="004D508C">
        <w:rPr>
          <w:iCs/>
        </w:rPr>
        <w:t>t</w:t>
      </w:r>
      <w:r w:rsidR="004D508C">
        <w:rPr>
          <w:iCs/>
        </w:rPr>
        <w:t xml:space="preserve">edy </w:t>
      </w:r>
      <w:r w:rsidRPr="006B10A5" w:rsidR="004D508C">
        <w:t>skutečností nasvědčujících tomu, že</w:t>
      </w:r>
      <w:r w:rsidRPr="00B5713E" w:rsidR="004D508C">
        <w:t xml:space="preserve"> </w:t>
      </w:r>
      <w:r w:rsidRPr="00B5713E" w:rsidR="004D508C">
        <w:t xml:space="preserve">soudní řízení bylo </w:t>
      </w:r>
      <w:r w:rsidR="004D508C">
        <w:t>zahájeno s úmyslem</w:t>
      </w:r>
      <w:r w:rsidR="004D508C">
        <w:rPr>
          <w:iCs/>
        </w:rPr>
        <w:t xml:space="preserve"> </w:t>
      </w:r>
      <w:r w:rsidRPr="00713CBF" w:rsidR="00246E06">
        <w:t>poško</w:t>
      </w:r>
      <w:r w:rsidR="004D508C">
        <w:t>dit</w:t>
      </w:r>
      <w:r w:rsidRPr="00713CBF" w:rsidR="00246E06">
        <w:t xml:space="preserve"> politick</w:t>
      </w:r>
      <w:r w:rsidR="004D508C">
        <w:t>ou</w:t>
      </w:r>
      <w:r w:rsidRPr="00713CBF" w:rsidR="00246E06">
        <w:t xml:space="preserve"> činnost </w:t>
      </w:r>
      <w:r w:rsidRPr="00E71492" w:rsidR="00246E06">
        <w:t>Dian</w:t>
      </w:r>
      <w:r w:rsidR="00246E06">
        <w:t>y</w:t>
      </w:r>
      <w:r w:rsidRPr="00E71492" w:rsidR="00246E06">
        <w:t xml:space="preserve"> Iovanovici</w:t>
      </w:r>
      <w:r w:rsidR="00FD0086">
        <w:t>ové</w:t>
      </w:r>
      <w:r w:rsidRPr="00E71492" w:rsidR="00246E06">
        <w:t xml:space="preserve"> Şoşoacăov</w:t>
      </w:r>
      <w:r w:rsidR="00246E06">
        <w:t>é</w:t>
      </w:r>
      <w:r w:rsidRPr="00E71492" w:rsidR="00246E06">
        <w:t xml:space="preserve"> </w:t>
      </w:r>
      <w:r w:rsidRPr="00713CBF" w:rsidR="00246E06">
        <w:t>jako poslan</w:t>
      </w:r>
      <w:r w:rsidR="00246E06">
        <w:t>kyně</w:t>
      </w:r>
      <w:r w:rsidRPr="00713CBF" w:rsidR="00246E06">
        <w:t xml:space="preserve"> Evropského parlamentu, a </w:t>
      </w:r>
      <w:r w:rsidR="004D508C">
        <w:t>tím</w:t>
      </w:r>
      <w:r w:rsidRPr="00713CBF" w:rsidR="00246E06">
        <w:t xml:space="preserve"> i nezávislosti </w:t>
      </w:r>
      <w:r w:rsidR="00246E06">
        <w:t>P</w:t>
      </w:r>
      <w:r w:rsidRPr="00713CBF" w:rsidR="00246E06">
        <w:t>arlamentu</w:t>
      </w:r>
      <w:r w:rsidRPr="00E71492">
        <w:t>;</w:t>
      </w:r>
    </w:p>
    <w:p w:rsidR="00937EC1" w:rsidRPr="00E71492" w:rsidP="00937EC1" w14:paraId="1519C25D" w14:textId="44DE1AC9">
      <w:pPr>
        <w:pStyle w:val="NormalHanging12a"/>
      </w:pPr>
      <w:r w:rsidRPr="00E71492">
        <w:t>S.</w:t>
      </w:r>
      <w:r w:rsidRPr="00E71492">
        <w:tab/>
        <w:t xml:space="preserve">vzhledem k tomu, že na jedné straně Evropský parlament nelze považovat za soud a že na straně </w:t>
      </w:r>
      <w:r w:rsidRPr="00E71492" w:rsidR="004D508C">
        <w:t xml:space="preserve">druhé </w:t>
      </w:r>
      <w:r w:rsidRPr="00E71492">
        <w:t xml:space="preserve">poslanec </w:t>
      </w:r>
      <w:r w:rsidRPr="00E71492" w:rsidR="004D508C">
        <w:t xml:space="preserve">nemůže být </w:t>
      </w:r>
      <w:r w:rsidRPr="00E71492">
        <w:t>v rámci řízení o zbavení imunity považován za „obžalovaného</w:t>
      </w:r>
      <w:r>
        <w:rPr>
          <w:vertAlign w:val="superscript"/>
        </w:rPr>
        <w:footnoteReference w:id="3"/>
      </w:r>
      <w:r w:rsidRPr="00E71492">
        <w:t>;</w:t>
      </w:r>
    </w:p>
    <w:p w:rsidR="00937EC1" w:rsidRPr="00E71492" w:rsidP="00937EC1" w14:paraId="184227C1" w14:textId="50DA498D">
      <w:pPr>
        <w:pStyle w:val="NormalHanging12a"/>
      </w:pPr>
      <w:r w:rsidRPr="00E71492">
        <w:t>1.</w:t>
      </w:r>
      <w:r w:rsidRPr="00E71492">
        <w:tab/>
        <w:t>rozhod</w:t>
      </w:r>
      <w:r w:rsidR="004D508C">
        <w:t>l se</w:t>
      </w:r>
      <w:r w:rsidRPr="00E71492">
        <w:t xml:space="preserve">, že </w:t>
      </w:r>
      <w:r w:rsidR="00246E06">
        <w:t>se</w:t>
      </w:r>
      <w:r w:rsidRPr="00E71492">
        <w:t xml:space="preserve"> Diana Iovanovici</w:t>
      </w:r>
      <w:r w:rsidR="00FD0086">
        <w:t>ová</w:t>
      </w:r>
      <w:r w:rsidRPr="00E71492">
        <w:t xml:space="preserve"> Şoşoacăová zbav</w:t>
      </w:r>
      <w:r w:rsidR="00246E06">
        <w:t>uje</w:t>
      </w:r>
      <w:r w:rsidRPr="00E71492">
        <w:t xml:space="preserve"> imunity</w:t>
      </w:r>
      <w:r w:rsidR="00246E06">
        <w:t xml:space="preserve"> </w:t>
      </w:r>
      <w:r w:rsidRPr="00E71492" w:rsidR="00246E06">
        <w:t>v souvislosti s údajnými trestnými činy uvedenými v bodech B, C, D, E, F, G a H</w:t>
      </w:r>
      <w:r w:rsidRPr="00E71492">
        <w:t>;</w:t>
      </w:r>
    </w:p>
    <w:p w:rsidR="00937EC1" w:rsidRPr="00E71492" w:rsidP="00937EC1" w14:paraId="3CFBD2E8" w14:textId="34F1030F">
      <w:pPr>
        <w:pStyle w:val="NormalHanging12a"/>
      </w:pPr>
      <w:r w:rsidRPr="00E71492">
        <w:t>2.</w:t>
      </w:r>
      <w:r w:rsidRPr="00E71492">
        <w:tab/>
        <w:t>rozhod</w:t>
      </w:r>
      <w:r w:rsidR="004D508C">
        <w:t>l se</w:t>
      </w:r>
      <w:r w:rsidRPr="00E71492">
        <w:t xml:space="preserve">, že </w:t>
      </w:r>
      <w:r w:rsidR="00246E06">
        <w:t xml:space="preserve">se </w:t>
      </w:r>
      <w:r w:rsidRPr="00E71492">
        <w:t>Dian</w:t>
      </w:r>
      <w:r w:rsidR="00246E06">
        <w:t>a</w:t>
      </w:r>
      <w:r w:rsidRPr="00E71492">
        <w:t xml:space="preserve"> Iovanovici</w:t>
      </w:r>
      <w:r w:rsidR="00FD0086">
        <w:t>ová</w:t>
      </w:r>
      <w:r w:rsidRPr="00E71492">
        <w:t xml:space="preserve"> Şoşoacăov</w:t>
      </w:r>
      <w:r w:rsidR="00246E06">
        <w:t>á</w:t>
      </w:r>
      <w:r w:rsidRPr="00E71492">
        <w:t xml:space="preserve"> nezbav</w:t>
      </w:r>
      <w:r w:rsidR="00246E06">
        <w:t xml:space="preserve">uje imunity </w:t>
      </w:r>
      <w:r w:rsidRPr="00E71492" w:rsidR="00246E06">
        <w:t>v souvislosti s údajným trestným činem uvedeným v bodě I</w:t>
      </w:r>
      <w:r w:rsidRPr="00E71492">
        <w:t>;</w:t>
      </w:r>
    </w:p>
    <w:p w:rsidR="00E365E1" w:rsidRPr="00E71492" w:rsidP="00E87D20" w14:paraId="08B8D2A2" w14:textId="564DF662">
      <w:pPr>
        <w:pStyle w:val="NormalHanging12a"/>
      </w:pPr>
      <w:r w:rsidRPr="00E71492">
        <w:t>3.</w:t>
      </w:r>
      <w:r w:rsidRPr="00E71492">
        <w:tab/>
        <w:t>pověřuje svou předsedkyni, aby toto rozhodnutí a zprávu příslušného výboru ihned předala příslušným orgánům Rumunska a Dianě Iovanovici</w:t>
      </w:r>
      <w:r w:rsidR="00CB6A7C">
        <w:t>ové</w:t>
      </w:r>
      <w:r w:rsidRPr="00E71492">
        <w:t xml:space="preserve"> Şoşoacăové.</w:t>
      </w:r>
    </w:p>
    <w:sectPr w:rsidSect="00E71492">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71492" w14:paraId="51A41F50"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71492" w14:paraId="0A1CF48F"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71492" w14:paraId="67EDFC42"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2570F" w:rsidRPr="00E71492" w14:paraId="41D48996" w14:textId="77777777">
      <w:r w:rsidRPr="00E71492">
        <w:separator/>
      </w:r>
    </w:p>
  </w:footnote>
  <w:footnote w:type="continuationSeparator" w:id="1">
    <w:p w:rsidR="0032570F" w:rsidRPr="00E71492" w14:paraId="0423F24C" w14:textId="77777777">
      <w:r w:rsidRPr="00E71492">
        <w:continuationSeparator/>
      </w:r>
    </w:p>
  </w:footnote>
  <w:footnote w:id="2">
    <w:p w:rsidR="00937EC1" w:rsidRPr="00E71492" w:rsidP="00E71492" w14:paraId="39E9EF0F" w14:textId="6FB86174">
      <w:pPr>
        <w:pStyle w:val="FootnoteText"/>
        <w:ind w:left="567" w:hanging="567"/>
        <w:rPr>
          <w:sz w:val="24"/>
          <w:lang w:val="cs-CZ"/>
        </w:rPr>
      </w:pPr>
      <w:r w:rsidRPr="00E71492">
        <w:rPr>
          <w:rStyle w:val="FootnoteReference"/>
          <w:sz w:val="24"/>
          <w:lang w:val="cs-CZ"/>
        </w:rPr>
        <w:footnoteRef/>
      </w:r>
      <w:r w:rsidRPr="00E71492" w:rsidR="00E71492">
        <w:rPr>
          <w:sz w:val="24"/>
          <w:lang w:val="cs-CZ"/>
        </w:rPr>
        <w:t xml:space="preserve"> </w:t>
      </w:r>
      <w:r w:rsidRPr="00E71492" w:rsidR="00E71492">
        <w:rPr>
          <w:sz w:val="24"/>
          <w:lang w:val="cs-CZ"/>
        </w:rPr>
        <w:tab/>
      </w:r>
      <w:r w:rsidRPr="00E71492">
        <w:rPr>
          <w:sz w:val="24"/>
          <w:lang w:val="cs-CZ"/>
        </w:rPr>
        <w:t>Rozsudek Soudního dvora ze dne 21. října 2008, Marra/De Gregorio a Clemente, C 200/07 a C-201/07, ECLI:EU:C:2008:579; rozsudek Tribunálu ze dne 19. března 2010, Gollnisch v. Parlament, T-42/06, ECLI:EU:T:2010:102; rozsudek Soudního dvora ze dne 6. září 2011, Patriciello, C 163/10, ECLI: EU:C:2011:543; rozsudek Tribunálu ze dne 17. ledna 2013, Gollnisch v. Parlament, T-346/11 a T-347/11, ECLI:EU:T:2013:23; rozsudek Soudního dvora ze dne 19. prosince 2019, Junqueras Vies, C-502/19, ECLI:EU:C:2019:1115.</w:t>
      </w:r>
    </w:p>
  </w:footnote>
  <w:footnote w:id="3">
    <w:p w:rsidR="00937EC1" w:rsidRPr="00E71492" w:rsidP="00E71492" w14:paraId="5E84D6EF" w14:textId="29B856B1">
      <w:pPr>
        <w:pStyle w:val="FootnoteText"/>
        <w:ind w:left="567" w:hanging="567"/>
        <w:rPr>
          <w:sz w:val="24"/>
          <w:lang w:val="cs-CZ"/>
        </w:rPr>
      </w:pPr>
      <w:r w:rsidRPr="00E71492">
        <w:rPr>
          <w:rStyle w:val="FootnoteReference"/>
          <w:sz w:val="24"/>
          <w:lang w:val="cs-CZ"/>
        </w:rPr>
        <w:footnoteRef/>
      </w:r>
      <w:r w:rsidRPr="00E71492" w:rsidR="00E71492">
        <w:rPr>
          <w:sz w:val="24"/>
          <w:lang w:val="cs-CZ"/>
        </w:rPr>
        <w:t xml:space="preserve"> </w:t>
      </w:r>
      <w:r w:rsidRPr="00E71492" w:rsidR="00E71492">
        <w:rPr>
          <w:sz w:val="24"/>
          <w:lang w:val="cs-CZ"/>
        </w:rPr>
        <w:tab/>
      </w:r>
      <w:r w:rsidRPr="00E71492">
        <w:rPr>
          <w:sz w:val="24"/>
          <w:lang w:val="cs-CZ"/>
        </w:rPr>
        <w:t>Rozsudek Tribunálu ze dne 30. dubna 2019, Briois v. Parlament,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71492" w14:paraId="373C1B8D"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71492" w14:paraId="63FAA2CB"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71492" w14:paraId="62600E4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01779206">
    <w:abstractNumId w:val="9"/>
  </w:num>
  <w:num w:numId="2" w16cid:durableId="1457915498">
    <w:abstractNumId w:val="9"/>
  </w:num>
  <w:num w:numId="3" w16cid:durableId="1739473437">
    <w:abstractNumId w:val="7"/>
  </w:num>
  <w:num w:numId="4" w16cid:durableId="854003020">
    <w:abstractNumId w:val="7"/>
  </w:num>
  <w:num w:numId="5" w16cid:durableId="1549950039">
    <w:abstractNumId w:val="6"/>
  </w:num>
  <w:num w:numId="6" w16cid:durableId="1186214462">
    <w:abstractNumId w:val="6"/>
  </w:num>
  <w:num w:numId="7" w16cid:durableId="1255357551">
    <w:abstractNumId w:val="5"/>
  </w:num>
  <w:num w:numId="8" w16cid:durableId="1638560386">
    <w:abstractNumId w:val="5"/>
  </w:num>
  <w:num w:numId="9" w16cid:durableId="876045356">
    <w:abstractNumId w:val="4"/>
  </w:num>
  <w:num w:numId="10" w16cid:durableId="845443645">
    <w:abstractNumId w:val="4"/>
  </w:num>
  <w:num w:numId="11" w16cid:durableId="556164700">
    <w:abstractNumId w:val="8"/>
  </w:num>
  <w:num w:numId="12" w16cid:durableId="399984252">
    <w:abstractNumId w:val="8"/>
  </w:num>
  <w:num w:numId="13" w16cid:durableId="1752501070">
    <w:abstractNumId w:val="3"/>
  </w:num>
  <w:num w:numId="14" w16cid:durableId="40905196">
    <w:abstractNumId w:val="3"/>
  </w:num>
  <w:num w:numId="15" w16cid:durableId="1202782832">
    <w:abstractNumId w:val="2"/>
  </w:num>
  <w:num w:numId="16" w16cid:durableId="641691385">
    <w:abstractNumId w:val="2"/>
  </w:num>
  <w:num w:numId="17" w16cid:durableId="1278021144">
    <w:abstractNumId w:val="1"/>
  </w:num>
  <w:num w:numId="18" w16cid:durableId="1699237354">
    <w:abstractNumId w:val="1"/>
  </w:num>
  <w:num w:numId="19" w16cid:durableId="1214465523">
    <w:abstractNumId w:val="0"/>
  </w:num>
  <w:num w:numId="20" w16cid:durableId="1255095258">
    <w:abstractNumId w:val="0"/>
  </w:num>
  <w:num w:numId="21" w16cid:durableId="1650786738">
    <w:abstractNumId w:val="9"/>
  </w:num>
  <w:num w:numId="22" w16cid:durableId="107433527">
    <w:abstractNumId w:val="7"/>
  </w:num>
  <w:num w:numId="23" w16cid:durableId="919758104">
    <w:abstractNumId w:val="6"/>
  </w:num>
  <w:num w:numId="24" w16cid:durableId="1164318748">
    <w:abstractNumId w:val="5"/>
  </w:num>
  <w:num w:numId="25" w16cid:durableId="1025474557">
    <w:abstractNumId w:val="4"/>
  </w:num>
  <w:num w:numId="26" w16cid:durableId="1786540076">
    <w:abstractNumId w:val="8"/>
  </w:num>
  <w:num w:numId="27" w16cid:durableId="955983480">
    <w:abstractNumId w:val="3"/>
  </w:num>
  <w:num w:numId="28" w16cid:durableId="342585356">
    <w:abstractNumId w:val="2"/>
  </w:num>
  <w:num w:numId="29" w16cid:durableId="410198274">
    <w:abstractNumId w:val="1"/>
  </w:num>
  <w:num w:numId="30" w16cid:durableId="618923075">
    <w:abstractNumId w:val="0"/>
  </w:num>
  <w:num w:numId="31" w16cid:durableId="558050787">
    <w:abstractNumId w:val="9"/>
  </w:num>
  <w:num w:numId="32" w16cid:durableId="1209142676">
    <w:abstractNumId w:val="7"/>
  </w:num>
  <w:num w:numId="33" w16cid:durableId="730543732">
    <w:abstractNumId w:val="6"/>
  </w:num>
  <w:num w:numId="34" w16cid:durableId="1596356759">
    <w:abstractNumId w:val="5"/>
  </w:num>
  <w:num w:numId="35" w16cid:durableId="1484354795">
    <w:abstractNumId w:val="4"/>
  </w:num>
  <w:num w:numId="36" w16cid:durableId="1898668276">
    <w:abstractNumId w:val="8"/>
  </w:num>
  <w:num w:numId="37" w16cid:durableId="327758108">
    <w:abstractNumId w:val="3"/>
  </w:num>
  <w:num w:numId="38" w16cid:durableId="200093568">
    <w:abstractNumId w:val="2"/>
  </w:num>
  <w:num w:numId="39" w16cid:durableId="1136219814">
    <w:abstractNumId w:val="1"/>
  </w:num>
  <w:num w:numId="40" w16cid:durableId="1092702545">
    <w:abstractNumId w:val="0"/>
  </w:num>
  <w:num w:numId="41" w16cid:durableId="1502156424">
    <w:abstractNumId w:val="10"/>
  </w:num>
  <w:num w:numId="42" w16cid:durableId="614949150">
    <w:abstractNumId w:val="10"/>
  </w:num>
  <w:num w:numId="43" w16cid:durableId="1759935085">
    <w:abstractNumId w:val="10"/>
  </w:num>
  <w:num w:numId="44" w16cid:durableId="787967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70F"/>
    <w:rsid w:val="00002272"/>
    <w:rsid w:val="00006E96"/>
    <w:rsid w:val="00034EE1"/>
    <w:rsid w:val="00064002"/>
    <w:rsid w:val="000677B9"/>
    <w:rsid w:val="000773C7"/>
    <w:rsid w:val="000831BA"/>
    <w:rsid w:val="000A42CC"/>
    <w:rsid w:val="000E7DD9"/>
    <w:rsid w:val="0010095E"/>
    <w:rsid w:val="00125B37"/>
    <w:rsid w:val="00187494"/>
    <w:rsid w:val="001F32AE"/>
    <w:rsid w:val="00246E06"/>
    <w:rsid w:val="002767FF"/>
    <w:rsid w:val="002A6C4D"/>
    <w:rsid w:val="002B18FE"/>
    <w:rsid w:val="002B5493"/>
    <w:rsid w:val="0032570F"/>
    <w:rsid w:val="00343214"/>
    <w:rsid w:val="00361C00"/>
    <w:rsid w:val="0037581B"/>
    <w:rsid w:val="00395FA1"/>
    <w:rsid w:val="003A3A4A"/>
    <w:rsid w:val="003E15D4"/>
    <w:rsid w:val="00411CCE"/>
    <w:rsid w:val="0041666E"/>
    <w:rsid w:val="00421060"/>
    <w:rsid w:val="00471C19"/>
    <w:rsid w:val="004867E3"/>
    <w:rsid w:val="00494A28"/>
    <w:rsid w:val="004B33F9"/>
    <w:rsid w:val="004C0004"/>
    <w:rsid w:val="004C5D52"/>
    <w:rsid w:val="004D508C"/>
    <w:rsid w:val="0050519A"/>
    <w:rsid w:val="00506672"/>
    <w:rsid w:val="0050728C"/>
    <w:rsid w:val="005072A1"/>
    <w:rsid w:val="00514517"/>
    <w:rsid w:val="00545827"/>
    <w:rsid w:val="00560270"/>
    <w:rsid w:val="00575E79"/>
    <w:rsid w:val="005C2568"/>
    <w:rsid w:val="005D0332"/>
    <w:rsid w:val="005F1B17"/>
    <w:rsid w:val="006037C0"/>
    <w:rsid w:val="00653F19"/>
    <w:rsid w:val="006631B6"/>
    <w:rsid w:val="00680577"/>
    <w:rsid w:val="006B10A5"/>
    <w:rsid w:val="006D117B"/>
    <w:rsid w:val="006F74FA"/>
    <w:rsid w:val="0071370D"/>
    <w:rsid w:val="00713CBF"/>
    <w:rsid w:val="00731ADD"/>
    <w:rsid w:val="00734777"/>
    <w:rsid w:val="00747932"/>
    <w:rsid w:val="00751A4A"/>
    <w:rsid w:val="00756632"/>
    <w:rsid w:val="00762C74"/>
    <w:rsid w:val="0076449F"/>
    <w:rsid w:val="00764571"/>
    <w:rsid w:val="00786EC0"/>
    <w:rsid w:val="007D1690"/>
    <w:rsid w:val="007E22AD"/>
    <w:rsid w:val="00817416"/>
    <w:rsid w:val="00827816"/>
    <w:rsid w:val="00842779"/>
    <w:rsid w:val="00865F67"/>
    <w:rsid w:val="00881A7B"/>
    <w:rsid w:val="008840E5"/>
    <w:rsid w:val="00887B3E"/>
    <w:rsid w:val="008C2AC6"/>
    <w:rsid w:val="00930C23"/>
    <w:rsid w:val="0093193B"/>
    <w:rsid w:val="00936B8D"/>
    <w:rsid w:val="00937EC1"/>
    <w:rsid w:val="009509D8"/>
    <w:rsid w:val="00950B64"/>
    <w:rsid w:val="00981893"/>
    <w:rsid w:val="009B5FCA"/>
    <w:rsid w:val="009E5E5D"/>
    <w:rsid w:val="00A1687D"/>
    <w:rsid w:val="00A43E52"/>
    <w:rsid w:val="00A4678D"/>
    <w:rsid w:val="00A778C7"/>
    <w:rsid w:val="00AB441E"/>
    <w:rsid w:val="00AB6293"/>
    <w:rsid w:val="00AE0928"/>
    <w:rsid w:val="00AF3B82"/>
    <w:rsid w:val="00B12E95"/>
    <w:rsid w:val="00B22876"/>
    <w:rsid w:val="00B558F0"/>
    <w:rsid w:val="00B5713E"/>
    <w:rsid w:val="00BD48FE"/>
    <w:rsid w:val="00BD7BD8"/>
    <w:rsid w:val="00BE6ADC"/>
    <w:rsid w:val="00C05BFE"/>
    <w:rsid w:val="00C23CD4"/>
    <w:rsid w:val="00C61C0C"/>
    <w:rsid w:val="00C941CB"/>
    <w:rsid w:val="00C95CF4"/>
    <w:rsid w:val="00CB6A7C"/>
    <w:rsid w:val="00CC2357"/>
    <w:rsid w:val="00CF071A"/>
    <w:rsid w:val="00D058B8"/>
    <w:rsid w:val="00D56C11"/>
    <w:rsid w:val="00D834A0"/>
    <w:rsid w:val="00D872DF"/>
    <w:rsid w:val="00D91E21"/>
    <w:rsid w:val="00DA7FCD"/>
    <w:rsid w:val="00DB2043"/>
    <w:rsid w:val="00E365E1"/>
    <w:rsid w:val="00E71492"/>
    <w:rsid w:val="00E820A4"/>
    <w:rsid w:val="00E87D20"/>
    <w:rsid w:val="00E95A12"/>
    <w:rsid w:val="00EB006A"/>
    <w:rsid w:val="00EB4772"/>
    <w:rsid w:val="00ED169E"/>
    <w:rsid w:val="00ED4235"/>
    <w:rsid w:val="00F04346"/>
    <w:rsid w:val="00F075DC"/>
    <w:rsid w:val="00F149E9"/>
    <w:rsid w:val="00F1761F"/>
    <w:rsid w:val="00F5134D"/>
    <w:rsid w:val="00F54643"/>
    <w:rsid w:val="00F5773E"/>
    <w:rsid w:val="00F74202"/>
    <w:rsid w:val="00F84CF4"/>
    <w:rsid w:val="00F87713"/>
    <w:rsid w:val="00FB4360"/>
    <w:rsid w:val="00FD0086"/>
    <w:rsid w:val="00FD0C70"/>
  </w:rsids>
  <w:docVars>
    <w:docVar w:name="dvdocse" w:val="A10-0117/2026"/>
    <w:docVar w:name="dvlangue" w:val="CS"/>
    <w:docVar w:name="dvnumam" w:val="0"/>
    <w:docVar w:name="dvpe" w:val="785.318"/>
    <w:docVar w:name="dvrapporteur" w:val="Zpravodaj: "/>
    <w:docVar w:name="dvtitre" w:val="Rozhodnutí Evropského parlamentu ze dne 28. dubna 2026 o žádosti, aby byla Diana Iovanovici Şoşoacăová zbavena imunity(2025/2196(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BED4C59"/>
  <w15:chartTrackingRefBased/>
  <w15:docId w15:val="{4D3D8EE7-3ABD-46D1-96F8-43D78657E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37EC1"/>
    <w:pPr>
      <w:spacing w:after="240"/>
      <w:ind w:left="567" w:hanging="567"/>
    </w:pPr>
  </w:style>
  <w:style w:type="paragraph" w:customStyle="1" w:styleId="EPComma">
    <w:name w:val="EPComma"/>
    <w:basedOn w:val="Normal"/>
    <w:rsid w:val="00937EC1"/>
    <w:pPr>
      <w:spacing w:before="480" w:after="240"/>
    </w:pPr>
  </w:style>
  <w:style w:type="paragraph" w:styleId="Revision">
    <w:name w:val="Revision"/>
    <w:hidden/>
    <w:uiPriority w:val="99"/>
    <w:semiHidden/>
    <w:rsid w:val="00764571"/>
    <w:rPr>
      <w:sz w:val="24"/>
      <w:lang w:val="cs-CZ"/>
    </w:rPr>
  </w:style>
  <w:style w:type="character" w:styleId="CommentReference">
    <w:name w:val="annotation reference"/>
    <w:basedOn w:val="DefaultParagraphFont"/>
    <w:rsid w:val="00575E79"/>
    <w:rPr>
      <w:sz w:val="16"/>
      <w:szCs w:val="16"/>
    </w:rPr>
  </w:style>
  <w:style w:type="paragraph" w:styleId="CommentText">
    <w:name w:val="annotation text"/>
    <w:basedOn w:val="Normal"/>
    <w:link w:val="CommentTextChar"/>
    <w:rsid w:val="00575E79"/>
    <w:rPr>
      <w:sz w:val="20"/>
    </w:rPr>
  </w:style>
  <w:style w:type="character" w:customStyle="1" w:styleId="CommentTextChar">
    <w:name w:val="Comment Text Char"/>
    <w:basedOn w:val="DefaultParagraphFont"/>
    <w:link w:val="CommentText"/>
    <w:rsid w:val="00575E79"/>
    <w:rPr>
      <w:lang w:val="cs-CZ"/>
    </w:rPr>
  </w:style>
  <w:style w:type="paragraph" w:styleId="CommentSubject">
    <w:name w:val="annotation subject"/>
    <w:basedOn w:val="CommentText"/>
    <w:next w:val="CommentText"/>
    <w:link w:val="CommentSubjectChar"/>
    <w:rsid w:val="00575E79"/>
    <w:rPr>
      <w:b/>
      <w:bCs/>
    </w:rPr>
  </w:style>
  <w:style w:type="character" w:customStyle="1" w:styleId="CommentSubjectChar">
    <w:name w:val="Comment Subject Char"/>
    <w:basedOn w:val="CommentTextChar"/>
    <w:link w:val="CommentSubject"/>
    <w:rsid w:val="00575E79"/>
    <w:rPr>
      <w:b/>
      <w:bCs/>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1531</Words>
  <Characters>8724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2026-06-05T09:07:00Z</dcterms:created>
  <dcterms:modified xsi:type="dcterms:W3CDTF">2026-06-05T09:07:00Z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A10-0117/2026</vt:lpwstr>
  </property>
  <property fmtid="{D5CDD505-2E9C-101B-9397-08002B2CF9AE}" pid="4" name="&lt;Type&gt;">
    <vt:lpwstr>RR</vt:lpwstr>
  </property>
</Properties>
</file>