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0D72A2" w14:textId="77777777" w:rsidTr="0010095E">
        <w:tblPrEx>
          <w:tblW w:w="9072" w:type="dxa"/>
          <w:tblLook w:val="01E0"/>
        </w:tblPrEx>
        <w:trPr>
          <w:trHeight w:hRule="exact" w:val="1418"/>
        </w:trPr>
        <w:tc>
          <w:tcPr>
            <w:tcW w:w="6804" w:type="dxa"/>
            <w:shd w:val="clear" w:color="auto" w:fill="auto"/>
            <w:vAlign w:val="center"/>
          </w:tcPr>
          <w:p w:rsidR="00751A4A" w:rsidRPr="007740B3" w:rsidP="0010095E" w14:paraId="0ECAEC5B" w14:textId="77777777">
            <w:pPr>
              <w:pStyle w:val="EPName"/>
            </w:pPr>
            <w:r w:rsidRPr="007740B3">
              <w:t>Europa-Parlamentet</w:t>
            </w:r>
          </w:p>
          <w:p w:rsidR="00751A4A" w:rsidRPr="007740B3" w:rsidP="005F1B17" w14:paraId="19DA15D5" w14:textId="77777777">
            <w:pPr>
              <w:pStyle w:val="EPTerm"/>
              <w:rPr>
                <w:rStyle w:val="HideTWBExt"/>
                <w:noProof w:val="0"/>
                <w:vanish w:val="0"/>
                <w:color w:val="auto"/>
              </w:rPr>
            </w:pPr>
            <w:r w:rsidRPr="007740B3">
              <w:t>2024</w:t>
            </w:r>
            <w:r w:rsidRPr="007740B3" w:rsidR="00817416">
              <w:t>-202</w:t>
            </w:r>
            <w:r w:rsidRPr="007740B3">
              <w:t>9</w:t>
            </w:r>
          </w:p>
        </w:tc>
        <w:tc>
          <w:tcPr>
            <w:tcW w:w="2268" w:type="dxa"/>
            <w:shd w:val="clear" w:color="auto" w:fill="auto"/>
          </w:tcPr>
          <w:p w:rsidR="00751A4A" w:rsidRPr="007740B3" w:rsidP="0010095E" w14:paraId="5E845DC0" w14:textId="77777777">
            <w:pPr>
              <w:pStyle w:val="EPLogo"/>
            </w:pPr>
            <w:r w:rsidRPr="007740B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740B3" w:rsidP="004C5D52" w14:paraId="79F36932" w14:textId="77777777">
      <w:pPr>
        <w:pStyle w:val="LineTop"/>
      </w:pPr>
    </w:p>
    <w:p w:rsidR="00680577" w:rsidRPr="007740B3" w:rsidP="00680577" w14:paraId="0A1793C9" w14:textId="77777777">
      <w:pPr>
        <w:pStyle w:val="EPBodyTA1"/>
      </w:pPr>
      <w:r w:rsidRPr="007740B3">
        <w:t>VEDTAGNE TEKSTER</w:t>
      </w:r>
    </w:p>
    <w:p w:rsidR="00D058B8" w:rsidRPr="007740B3" w:rsidP="00D058B8" w14:paraId="458D39CC" w14:textId="77777777">
      <w:pPr>
        <w:pStyle w:val="LineBottom"/>
      </w:pPr>
    </w:p>
    <w:p w:rsidR="00335390" w:rsidRPr="007740B3" w:rsidP="00335390" w14:paraId="55EF0E4A" w14:textId="60676D67">
      <w:pPr>
        <w:pStyle w:val="ATHeading1"/>
      </w:pPr>
      <w:bookmarkStart w:id="0" w:name="TANumber"/>
      <w:r w:rsidRPr="007740B3">
        <w:t>P10_TA(2026)0</w:t>
      </w:r>
      <w:bookmarkEnd w:id="0"/>
      <w:r w:rsidR="002F2EA5">
        <w:t>108</w:t>
      </w:r>
    </w:p>
    <w:p w:rsidR="00335390" w:rsidRPr="007740B3" w:rsidP="00335390" w14:paraId="4F041C27" w14:textId="6370591F">
      <w:pPr>
        <w:pStyle w:val="ATHeading2"/>
      </w:pPr>
      <w:r w:rsidRPr="007740B3">
        <w:t>Anmodning om ophævelse af Diana Iovanovici Şoşoacăs immunitet</w:t>
      </w:r>
    </w:p>
    <w:p w:rsidR="00335390" w:rsidRPr="007740B3" w:rsidP="00335390" w14:paraId="6BB8D3E4" w14:textId="77777777">
      <w:pPr>
        <w:rPr>
          <w:i/>
          <w:vanish/>
        </w:rPr>
      </w:pPr>
      <w:r>
        <w:rPr>
          <w:i/>
        </w:rPr>
        <w:fldChar w:fldCharType="begin"/>
      </w:r>
      <w:r w:rsidRPr="007740B3">
        <w:rPr>
          <w:i/>
        </w:rPr>
        <w:instrText xml:space="preserve"> TC"(</w:instrText>
      </w:r>
      <w:bookmarkStart w:id="1" w:name="DocNumber"/>
      <w:r w:rsidRPr="007740B3">
        <w:rPr>
          <w:i/>
        </w:rPr>
        <w:instrText>A10-0117/2026</w:instrText>
      </w:r>
      <w:bookmarkEnd w:id="1"/>
      <w:r w:rsidRPr="007740B3">
        <w:rPr>
          <w:i/>
        </w:rPr>
        <w:instrText xml:space="preserve"> - Ordfører: Dominik Tarczyński)"\l3 \n&gt; \* MERGEFORMAT </w:instrText>
      </w:r>
      <w:r>
        <w:rPr>
          <w:i/>
        </w:rPr>
        <w:fldChar w:fldCharType="end"/>
      </w:r>
    </w:p>
    <w:p w:rsidR="00335390" w:rsidRPr="007740B3" w:rsidP="00335390" w14:paraId="2CA5B5DC" w14:textId="77777777">
      <w:pPr>
        <w:rPr>
          <w:vanish/>
        </w:rPr>
      </w:pPr>
      <w:bookmarkStart w:id="2" w:name="Commission"/>
      <w:r w:rsidRPr="007740B3">
        <w:rPr>
          <w:vanish/>
        </w:rPr>
        <w:t>Retsudvalget</w:t>
      </w:r>
      <w:bookmarkEnd w:id="2"/>
    </w:p>
    <w:p w:rsidR="00335390" w:rsidRPr="007740B3" w:rsidP="00335390" w14:paraId="6C3E7F47" w14:textId="77777777">
      <w:pPr>
        <w:rPr>
          <w:vanish/>
        </w:rPr>
      </w:pPr>
      <w:bookmarkStart w:id="3" w:name="PE"/>
      <w:r w:rsidRPr="007740B3">
        <w:rPr>
          <w:vanish/>
        </w:rPr>
        <w:t>PE785.318</w:t>
      </w:r>
      <w:bookmarkEnd w:id="3"/>
    </w:p>
    <w:p w:rsidR="00335390" w:rsidRPr="007740B3" w:rsidP="00335390" w14:paraId="34A5B623" w14:textId="622E4458">
      <w:pPr>
        <w:pStyle w:val="ATHeading3"/>
      </w:pPr>
      <w:bookmarkStart w:id="4" w:name="Sujet"/>
      <w:r w:rsidRPr="007740B3">
        <w:t xml:space="preserve">Europa-Parlamentets afgørelse af </w:t>
      </w:r>
      <w:r w:rsidRPr="007740B3" w:rsidR="003C2797">
        <w:t>28. april</w:t>
      </w:r>
      <w:r w:rsidRPr="007740B3">
        <w:t xml:space="preserve"> 2026 om anmodning om ophævelse af Diana Iovanovici Şoşoacăs immunitet</w:t>
      </w:r>
      <w:bookmarkEnd w:id="4"/>
      <w:r w:rsidRPr="007740B3">
        <w:t xml:space="preserve"> </w:t>
      </w:r>
      <w:bookmarkStart w:id="5" w:name="References"/>
      <w:r w:rsidRPr="007740B3">
        <w:t>(2025/2196(IMM))</w:t>
      </w:r>
      <w:bookmarkEnd w:id="5"/>
    </w:p>
    <w:p w:rsidR="00F76852" w:rsidRPr="007740B3" w:rsidP="00F76852" w14:paraId="5851FDA9" w14:textId="77777777">
      <w:pPr>
        <w:pStyle w:val="EPComma"/>
      </w:pPr>
      <w:bookmarkStart w:id="6" w:name="TextBodyBegin"/>
      <w:bookmarkEnd w:id="6"/>
      <w:r w:rsidRPr="007740B3">
        <w:rPr>
          <w:i/>
          <w:iCs/>
        </w:rPr>
        <w:t>Europa-Parlamentet</w:t>
      </w:r>
      <w:r w:rsidRPr="007740B3">
        <w:t>,</w:t>
      </w:r>
    </w:p>
    <w:p w:rsidR="00F76852" w:rsidRPr="007740B3" w:rsidP="00F76852" w14:paraId="5C7D1110" w14:textId="77777777">
      <w:pPr>
        <w:pStyle w:val="NormalHanging12a"/>
      </w:pPr>
      <w:r w:rsidRPr="007740B3">
        <w:t>–</w:t>
      </w:r>
      <w:r w:rsidRPr="007740B3">
        <w:tab/>
        <w:t>der henviser til anmodning om ophævelse af Diana Iovanovici Şoşoacăs immunitet, modtaget ved skrivelse af 24. september 2025 fra den rumænske justitsminister med fremsendelse af anmodning fra anklagemyndigheden ved Rumæniens kassationsdomstol i forbindelse med en straffesag, der skal indledes imod Diana Iovanovici Şoşoacă, og hvorom der blev givet meddelelse på plenarmødet den 9. oktober 2025,</w:t>
      </w:r>
    </w:p>
    <w:p w:rsidR="00F76852" w:rsidRPr="007740B3" w:rsidP="00F76852" w14:paraId="45047664" w14:textId="77777777">
      <w:pPr>
        <w:pStyle w:val="NormalHanging12a"/>
      </w:pPr>
      <w:r w:rsidRPr="007740B3">
        <w:t>–</w:t>
      </w:r>
      <w:r w:rsidRPr="007740B3">
        <w:tab/>
        <w:t>der har hørt Diana Iovanovici Şoşoacă den 24. marts 2026, jf. forretningsordenens artikel 9, stk. 6,</w:t>
      </w:r>
    </w:p>
    <w:p w:rsidR="00F76852" w:rsidRPr="007740B3" w:rsidP="00F76852" w14:paraId="573EC387" w14:textId="77777777">
      <w:pPr>
        <w:pStyle w:val="NormalHanging12a"/>
      </w:pPr>
      <w:r w:rsidRPr="007740B3">
        <w:t>–</w:t>
      </w:r>
      <w:r w:rsidRPr="007740B3">
        <w:tab/>
        <w:t>der henviser til artikel 8 og 9 i protokol nr. 7 vedrørende Den Europæiske Unions privilegier og immuniteter samt artikel 6, stk. 2, i akten af 20. september 1976 om almindelige direkte valg af medlemmerne af Europa-Parlamentet,</w:t>
      </w:r>
    </w:p>
    <w:p w:rsidR="00F76852" w:rsidRPr="007740B3" w:rsidP="00F76852" w14:paraId="1DDFECC9" w14:textId="77777777">
      <w:pPr>
        <w:pStyle w:val="NormalHanging12a"/>
      </w:pPr>
      <w:r w:rsidRPr="007740B3">
        <w:t>–</w:t>
      </w:r>
      <w:r w:rsidRPr="007740B3">
        <w:tab/>
        <w:t>der henviser til de domme, som Den Europæiske Unions Domstol har afsagt den 21. oktober 2008, 19. marts 2010, 6. september 2011, 17. januar 2013 og 19. december 2019</w:t>
      </w:r>
      <w:r>
        <w:rPr>
          <w:vertAlign w:val="superscript"/>
        </w:rPr>
        <w:footnoteReference w:id="2"/>
      </w:r>
      <w:r w:rsidRPr="007740B3">
        <w:t>,</w:t>
      </w:r>
    </w:p>
    <w:p w:rsidR="00F76852" w:rsidRPr="007740B3" w:rsidP="00F76852" w14:paraId="328B8D39" w14:textId="77777777">
      <w:pPr>
        <w:pStyle w:val="NormalHanging12a"/>
      </w:pPr>
      <w:r w:rsidRPr="007740B3">
        <w:t>–</w:t>
      </w:r>
      <w:r w:rsidRPr="007740B3">
        <w:tab/>
        <w:t>der henviser til artikel 72, stk. 1 og 2, i den rumænske forfatning,</w:t>
      </w:r>
    </w:p>
    <w:p w:rsidR="00F76852" w:rsidRPr="007740B3" w:rsidP="00F76852" w14:paraId="2EB59202" w14:textId="77777777">
      <w:pPr>
        <w:pStyle w:val="NormalHanging12a"/>
      </w:pPr>
      <w:r w:rsidRPr="007740B3">
        <w:t>–</w:t>
      </w:r>
      <w:r w:rsidRPr="007740B3">
        <w:tab/>
        <w:t>der henviser til forretningsordenens artikel 5, stk. 2, artikel 6, stk. 1, og artikel 9,</w:t>
      </w:r>
    </w:p>
    <w:p w:rsidR="00F76852" w:rsidRPr="007740B3" w:rsidP="00F76852" w14:paraId="06AF2974" w14:textId="77777777">
      <w:pPr>
        <w:pStyle w:val="NormalHanging12a"/>
      </w:pPr>
      <w:r w:rsidRPr="007740B3">
        <w:t>–</w:t>
      </w:r>
      <w:r w:rsidRPr="007740B3">
        <w:tab/>
        <w:t>der henviser til betænkning fra Retsudvalget (A10</w:t>
      </w:r>
      <w:r w:rsidRPr="007740B3">
        <w:noBreakHyphen/>
        <w:t>0117/2026),</w:t>
      </w:r>
    </w:p>
    <w:p w:rsidR="00F76852" w:rsidRPr="007740B3" w:rsidP="00F76852" w14:paraId="08D5E8A3" w14:textId="77777777">
      <w:pPr>
        <w:pStyle w:val="NormalHanging12a"/>
      </w:pPr>
      <w:r w:rsidRPr="007740B3">
        <w:t>A.</w:t>
      </w:r>
      <w:r w:rsidRPr="007740B3">
        <w:tab/>
        <w:t>der henviser til, at den rumænske justitsminister ved skrivelse af 24. september 2025 fremsendte en anmodning fra anklagemyndigheden ved Rumæniens kassationsdomstol om ophævelse af immuniteten for Diana Iovanovici Şoşoacă, som er medlem af Europa-Parlamentet og valgt i Rumænien, i forbindelse med straffesager vedrørende flere lovovertrædelser, der angiveligt blev begået på forskellige datoer mellem den 10. december 2021 og den 11. februar 2025;</w:t>
      </w:r>
    </w:p>
    <w:p w:rsidR="00F76852" w:rsidRPr="007740B3" w:rsidP="00F76852" w14:paraId="114A701D" w14:textId="77777777">
      <w:pPr>
        <w:pStyle w:val="NormalHanging12a"/>
      </w:pPr>
      <w:r w:rsidRPr="007740B3">
        <w:t>B.</w:t>
      </w:r>
      <w:r w:rsidRPr="007740B3">
        <w:tab/>
        <w:t>der henviser til, at det af anmodningen fremgår, at tre personer har indgivet en klage over, at Diana Iovanovici Șoșoacă m.fl. angiveligt havde frihedsberøvet klagerne og en fjerde person i ca. 20 minutter mellem kl. 15.40 og kl. 16.00 den 10. december 2021 i en lejlighed i Bukarest; der henviser til, at den påståede handling udgør en lovovertrædelse i henhold til den rumænske straffelovs artikel 205, stk. 1;</w:t>
      </w:r>
    </w:p>
    <w:p w:rsidR="00F76852" w:rsidRPr="007740B3" w:rsidP="00F76852" w14:paraId="6FBBB32B" w14:textId="47CAA9E6">
      <w:pPr>
        <w:pStyle w:val="NormalHanging12a"/>
      </w:pPr>
      <w:r w:rsidRPr="007740B3">
        <w:t>C.</w:t>
      </w:r>
      <w:r w:rsidRPr="007740B3">
        <w:tab/>
        <w:t xml:space="preserve">der henviser til, at det af anmodningen fremgår, at den rumænske regerings nationale institut for holocauststudier "Elie Wiesel" i Rumænien den 28. februar 2024 meddelte de retslige myndigheder, at der den 19. februar 2024 på SOS România-partiets officielle websted angiveligt blev offentliggjort en pressemeddelelse fra dette parti underskrevet af Diana Iovanovici Șoșoacă som formand for samme parti, og at hun heri angiveligt forherligede en person, der er blevet dømt som krigsforbryder i henhold til rumænsk lov nr. 312/1945 om retsforfølgning og straf af </w:t>
      </w:r>
      <w:r w:rsidRPr="007740B3" w:rsidR="00A253DE">
        <w:t xml:space="preserve">de </w:t>
      </w:r>
      <w:r w:rsidRPr="007740B3">
        <w:t>personer, som er skyldige i nationale ulykker eller krigsforbrydelser; der henviser til, at den påståede handling udgør en overtrædelse i henhold til artikel 5 i Rumæniens hastedekret nr. 31/2002;</w:t>
      </w:r>
    </w:p>
    <w:p w:rsidR="00F76852" w:rsidRPr="007740B3" w:rsidP="00F76852" w14:paraId="0ED56007" w14:textId="77777777">
      <w:pPr>
        <w:pStyle w:val="NormalHanging12a"/>
        <w:rPr>
          <w:bCs/>
          <w:iCs/>
        </w:rPr>
      </w:pPr>
      <w:r w:rsidRPr="007740B3">
        <w:t>D.</w:t>
      </w:r>
      <w:r w:rsidRPr="007740B3">
        <w:tab/>
        <w:t>der henviser til, at det af anmodningen fremgår, at centret for overvågning og bekæmpelse af antisemitisme i Rumænien den 27. maj 2024 rapporterede, at Diana Iovanovici Șoșoacă den 13. maj og den 14. maj 2024 angiveligt fremsatte offentlige erklæringer – bl.a. via sin offentlige Facebook-konto, mens hun befandt sig i det rumænske parlaments bygninger – hvori hun holdt jøder kollektivt ansvarlige for historiske forbrydelser mod rumænske personer; der henviser til, at den påståede handling udgør en overtrædelse i henhold til artikel 3 i Rumæniens lov nr. 157/2018 om foranstaltninger til at forebygge og bekæmpe antisemitisme;</w:t>
      </w:r>
    </w:p>
    <w:p w:rsidR="00F76852" w:rsidRPr="007740B3" w:rsidP="00F76852" w14:paraId="2AD19322" w14:textId="77777777">
      <w:pPr>
        <w:pStyle w:val="NormalHanging12a"/>
        <w:rPr>
          <w:bCs/>
          <w:iCs/>
        </w:rPr>
      </w:pPr>
      <w:r w:rsidRPr="007740B3">
        <w:t>E.</w:t>
      </w:r>
      <w:r w:rsidRPr="007740B3">
        <w:tab/>
        <w:t>der henviser til, at det af anmodningen fremgår, at Diana Iovanovici Șoșoacă den 14. maj 2024, da hun opholdt sig i det rumænske parlaments lokaler for at deltage i et fælles møde mellem det rumænske deputeretkammer og det rumænske senat, angiveligt fremsatte anklager, hvori hun holdt jøder kollektivt ansvarlige for historiske forbrydelser mod det rumænske folk; der henviser til, at den påståede handling udgør en overtrædelse i henhold til artikel 6, stk. 1, i Rumæniens hastedekret nr. 31/2002;</w:t>
      </w:r>
    </w:p>
    <w:p w:rsidR="00F76852" w:rsidRPr="007740B3" w:rsidP="00F76852" w14:paraId="450647BB" w14:textId="77777777">
      <w:pPr>
        <w:pStyle w:val="NormalHanging12a"/>
        <w:rPr>
          <w:bCs/>
          <w:iCs/>
        </w:rPr>
      </w:pPr>
      <w:r w:rsidRPr="007740B3">
        <w:t>F.</w:t>
      </w:r>
      <w:r w:rsidRPr="007740B3">
        <w:tab/>
        <w:t>der henviser til, at det af anmodningen fremgår, at Diana Iovanovici Șoșoacă den 5. og 6. oktober 2024 angiveligt fremsatte flere offentlige onlineerklæringer, hvori hun forherligede visse personer og bevægelser, der menes at have begået eller deltaget i krigsforbrydelser i henhold til rumænsk national ret, og holdt jøder kollektivt ansvarlige for historiske og religiøse forbrydelser; der henviser til, at de påståede handlinger udgør overtrædelser i henhold til artikel 5 i Rumæniens hastedekret nr. 31/2002;</w:t>
      </w:r>
    </w:p>
    <w:p w:rsidR="00F76852" w:rsidRPr="007740B3" w:rsidP="00F76852" w14:paraId="1CFABC9C" w14:textId="4B143CFF">
      <w:pPr>
        <w:pStyle w:val="NormalHanging12a"/>
      </w:pPr>
      <w:r w:rsidRPr="007740B3">
        <w:t>G.</w:t>
      </w:r>
      <w:r w:rsidRPr="007740B3">
        <w:tab/>
        <w:t xml:space="preserve">der henviser til, at det af anmodningen fremgår, at Diana </w:t>
      </w:r>
      <w:r w:rsidRPr="007740B3" w:rsidR="003C55FF">
        <w:t xml:space="preserve">Iovanovici </w:t>
      </w:r>
      <w:r w:rsidRPr="007740B3">
        <w:t xml:space="preserve">Șoșoacă den 1. december 2024 angiveligt offentligt forherligede en person, som er blevet dømt for krigsforbrydelser i henhold til rumænsk national ret, gennem udtalelser på internettet og </w:t>
      </w:r>
      <w:r w:rsidRPr="007740B3">
        <w:t>gennem offentlig fremme af legionærrelaterede, racistiske og fremmedfjendske idéer og begreber vedrørende det jødiske samfund; der henviser til, at de påståede handlinger udgør overtrædelser i henhold til artikel 5 i Rumæniens hastedekret nr. 31/2002;</w:t>
      </w:r>
    </w:p>
    <w:p w:rsidR="00F76852" w:rsidRPr="007740B3" w:rsidP="00F76852" w14:paraId="5A2260D2" w14:textId="6274D1AF">
      <w:pPr>
        <w:pStyle w:val="NormalHanging12a"/>
        <w:rPr>
          <w:bCs/>
          <w:iCs/>
        </w:rPr>
      </w:pPr>
      <w:r w:rsidRPr="007740B3">
        <w:t>H.</w:t>
      </w:r>
      <w:r w:rsidRPr="007740B3">
        <w:tab/>
        <w:t xml:space="preserve">der henviser til, at det af anmodningen fremgår, at Diana </w:t>
      </w:r>
      <w:r w:rsidRPr="007740B3" w:rsidR="003C55FF">
        <w:t xml:space="preserve">Iovanovici </w:t>
      </w:r>
      <w:r w:rsidRPr="007740B3">
        <w:t>Șoșoacă den 15. december 2024 angiveligt direkte truede med at begå voldshandlinger mod to politibetjente under udførelsen af deres opgaver i forbindelse med en administrativ bøde, som tidligere var pålagt; der henviser til, at den påståede handling udgør en lovovertrædelse i henhold til den rumænske straffelovs artikel 257, stk. 1 og 4;</w:t>
      </w:r>
    </w:p>
    <w:p w:rsidR="00F76852" w:rsidRPr="007740B3" w:rsidP="00F76852" w14:paraId="73E9424F" w14:textId="172DF4EC">
      <w:pPr>
        <w:pStyle w:val="NormalHanging12a"/>
        <w:rPr>
          <w:bCs/>
          <w:iCs/>
        </w:rPr>
      </w:pPr>
      <w:r w:rsidRPr="007740B3">
        <w:t>I.</w:t>
      </w:r>
      <w:r w:rsidRPr="007740B3">
        <w:tab/>
        <w:t xml:space="preserve">der henviser til, at det af anmodningen fremgår, at instituttet for efterforskning af kommunistiske forbrydelser og erindringen om den rumænske eksil, en statslig organisation, den 25. februar 2025 meddelte de retslige myndigheder, at Diana Iovanovici Șoșoacă den 11. februar 2025 holdt en tale på Europa-Parlamentets plenarmøde, hvor hun </w:t>
      </w:r>
      <w:r w:rsidRPr="007740B3" w:rsidR="00A253DE">
        <w:t xml:space="preserve">angiveligt </w:t>
      </w:r>
      <w:r w:rsidRPr="007740B3">
        <w:t>anbefalede sine kolleger at udarbejde udenrigspolitiske strategier efter samme model, som blev anvendt af Nicolae Ceaușescu, der blev dømt for folkedrab den 25. december 1989 af den territoriale militærdomstol i Bukarest; der henviser til, at den påståede handling udgør en overtrædelse i henhold til artikel 5 i Rumæniens hastedekret nr. 31/2002;</w:t>
      </w:r>
    </w:p>
    <w:p w:rsidR="00F76852" w:rsidRPr="007740B3" w:rsidP="00F76852" w14:paraId="56A1D1BA" w14:textId="77777777">
      <w:pPr>
        <w:pStyle w:val="NormalHanging12a"/>
        <w:rPr>
          <w:bCs/>
          <w:iCs/>
        </w:rPr>
      </w:pPr>
      <w:r w:rsidRPr="007740B3">
        <w:t>J.</w:t>
      </w:r>
      <w:r w:rsidRPr="007740B3">
        <w:tab/>
        <w:t>der henviser til, at Diana Iovanovici Șoșoacă blev valgt til Europa-Parlamentet ved valget i juni 2024, og at hun derfor ikke var medlem af Europa-Parlamentet på tidspunktet for de handlinger, der ifølge anmodningen angiveligt blev begået den 10. december 2021, den 19. februar 2024 og den 13. og 14. maj 2024; der henviser til, at Diana Iovanovici Șoșoacă var medlem af Europa-Parlamentet på tidspunktet for de handlinger, der ifølge anmodningen angiveligt blev begået den 5. og 6. oktober 2024, den 1. december 2024, den 15. december 2024 og den 11. februar 2025; der henviser til, at klagerne eller straffesagerne mod Diana Iovanovici Șoșoacă vedrørende de påståede handlinger af 10. december 2021 og 19. februar 2024 blev indledt, inden hun blev valgt til medlem af Europa-Parlamentet, mens alle andre straffesager blev indledt herefter;</w:t>
      </w:r>
    </w:p>
    <w:p w:rsidR="00F76852" w:rsidRPr="007740B3" w:rsidP="00F76852" w14:paraId="18F79E52" w14:textId="77777777">
      <w:pPr>
        <w:pStyle w:val="NormalHanging12a"/>
        <w:rPr>
          <w:bCs/>
          <w:iCs/>
        </w:rPr>
      </w:pPr>
      <w:r w:rsidRPr="007740B3">
        <w:t>K.</w:t>
      </w:r>
      <w:r w:rsidRPr="007740B3">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w:t>
      </w:r>
    </w:p>
    <w:p w:rsidR="00F76852" w:rsidRPr="007740B3" w:rsidP="00F76852" w14:paraId="6E8169C8" w14:textId="77777777">
      <w:pPr>
        <w:pStyle w:val="NormalHanging12a"/>
        <w:rPr>
          <w:bCs/>
          <w:iCs/>
        </w:rPr>
      </w:pPr>
      <w:r w:rsidRPr="007740B3">
        <w:t>L.</w:t>
      </w:r>
      <w:r w:rsidRPr="007740B3">
        <w:tab/>
        <w:t>der henviser til, at den påståede lovovertrædelse begået den 11. februar 2025 vedrørende en påstået forherligelse af Nicolae Ceaușescu, der er dømt som krigsforbryder i henhold til rumænsk national ret, omfatter en erklæring, som hun fremsatte på Europa-Parlamentets plenarmøde i Strasbourg under en forhandling om den bredere samlede EU-strategi for Mellemøsten; der henviser til, at denne erklæring derfor udgør en meningstilkendegivelse eller en stemme afgivet af Diana Iovanovici Șoșoacă under udøvelsen af hendes hverv som medlem af Europa-Parlamentet som omhandlet i artikel 8 i protokol nr. 7 vedrørende Den Europæiske Unions privilegier og immuniteter;</w:t>
      </w:r>
    </w:p>
    <w:p w:rsidR="00F76852" w:rsidRPr="007740B3" w:rsidP="00F76852" w14:paraId="75C40E1F" w14:textId="2935A829">
      <w:pPr>
        <w:pStyle w:val="NormalHanging12a"/>
        <w:rPr>
          <w:bCs/>
          <w:iCs/>
        </w:rPr>
      </w:pPr>
      <w:r w:rsidRPr="007740B3">
        <w:t>M.</w:t>
      </w:r>
      <w:r w:rsidRPr="007740B3">
        <w:tab/>
        <w:t xml:space="preserve">der henviser til, at alle de øvrige lovovertrædelser </w:t>
      </w:r>
      <w:r w:rsidRPr="007740B3" w:rsidR="003C2797">
        <w:t xml:space="preserve">ikke udgør </w:t>
      </w:r>
      <w:r w:rsidRPr="007740B3">
        <w:t>og den efterfølgende anmodning om ophævelse af Diana Iovanovici Șoșoacăs immunitet ikke vedrører en meningstilkendegivelse eller en stemmeafgivelse under udøvelsen af hendes hverv som omhandlet i artikel 8 i protokol nr. 7 vedrørende Den Europæiske Unions privilegier og immuniteter;</w:t>
      </w:r>
    </w:p>
    <w:p w:rsidR="00F76852" w:rsidRPr="007740B3" w:rsidP="00F76852" w14:paraId="7D5EADD3" w14:textId="43C62A68">
      <w:pPr>
        <w:pStyle w:val="NormalHanging12a"/>
        <w:rPr>
          <w:bCs/>
          <w:iCs/>
        </w:rPr>
      </w:pPr>
      <w:r w:rsidRPr="007740B3">
        <w:t>N.</w:t>
      </w:r>
      <w:r w:rsidRPr="007740B3">
        <w:tab/>
        <w:t>der henviser til, at Europa-Parlamentets medlemmer i henhold til artikel 9, stk. 1, litra a), i protokol nr. 7 vedrørende Den Europæiske Unions privilegier og immuniteter under Europa-Parlamentets mødeperioder på deres ege</w:t>
      </w:r>
      <w:r w:rsidRPr="007740B3" w:rsidR="00A253DE">
        <w:t>n</w:t>
      </w:r>
      <w:r w:rsidRPr="007740B3">
        <w:t xml:space="preserve"> </w:t>
      </w:r>
      <w:r w:rsidRPr="007740B3" w:rsidR="00A253DE">
        <w:t>medlemsstat</w:t>
      </w:r>
      <w:r w:rsidRPr="007740B3">
        <w:t>s område nyder samme immunitet som medlemmer af parlamentet i deres medlemsstat;</w:t>
      </w:r>
    </w:p>
    <w:p w:rsidR="00F76852" w:rsidRPr="007740B3" w:rsidP="00F76852" w14:paraId="343F6D84" w14:textId="77777777">
      <w:pPr>
        <w:pStyle w:val="NormalHanging12a"/>
      </w:pPr>
      <w:r w:rsidRPr="007740B3">
        <w:t>O.</w:t>
      </w:r>
      <w:r w:rsidRPr="007740B3">
        <w:tab/>
        <w:t>der henviser til, at følgende fastsættes i den rumænske forfatnings artikel 72, stk. 1 og 2:</w:t>
      </w:r>
    </w:p>
    <w:p w:rsidR="00F76852" w:rsidRPr="007740B3" w:rsidP="003C55FF" w14:paraId="00593028" w14:textId="77777777">
      <w:pPr>
        <w:pStyle w:val="NormalHanging12a"/>
        <w:ind w:left="1134"/>
      </w:pPr>
      <w:r w:rsidRPr="007740B3">
        <w:t>"1.</w:t>
      </w:r>
      <w:r w:rsidRPr="007740B3">
        <w:tab/>
        <w:t>Medlemmer af deputeretkammeret eller senatet kan ikke drages til ansvar for stemmeafgivelser eller politiske meningstilkendegivelser under udøvelsen af deres hverv.</w:t>
      </w:r>
    </w:p>
    <w:p w:rsidR="00F76852" w:rsidRPr="007740B3" w:rsidP="003C55FF" w14:paraId="789921C7" w14:textId="77777777">
      <w:pPr>
        <w:pStyle w:val="NormalHanging12a"/>
        <w:ind w:left="1134"/>
      </w:pPr>
      <w:r w:rsidRPr="007740B3">
        <w:t>2.</w:t>
      </w:r>
      <w:r w:rsidRPr="007740B3">
        <w:tab/>
        <w:t>Medlemmer af deputeretkammeret og senatet kan underkastes strafferetlige undersøgelser eller forfølges strafferetligt for handlinger, der ikke er forbundet med deres stemmer eller politiske udtalelser afgivet i forbindelse med udøvelsen af deres mandat, men kan ikke gøres til genstand for husundersøgelser eller ransagninger, tilbageholdes eller arresteres uden samtykke fra det kammer, de tilhører, efter at de er blevet hørt. Kun den offentlige anklagers kontor ved kassationsdomstolen kan foretage undersøgelser og retsforfølgning. Kassationsdomstolen har kompetence i sådanne sager";</w:t>
      </w:r>
    </w:p>
    <w:p w:rsidR="00F76852" w:rsidRPr="007740B3" w:rsidP="00F76852" w14:paraId="25B1D8CA" w14:textId="77777777">
      <w:pPr>
        <w:pStyle w:val="NormalHanging12a"/>
      </w:pPr>
      <w:r w:rsidRPr="007740B3">
        <w:t>P.</w:t>
      </w:r>
      <w:r w:rsidRPr="007740B3">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rsidR="00F76852" w:rsidRPr="007740B3" w:rsidP="00F76852" w14:paraId="32D68B3C" w14:textId="77777777">
      <w:pPr>
        <w:pStyle w:val="NormalHanging12a"/>
      </w:pPr>
      <w:r w:rsidRPr="007740B3">
        <w:t>Q.</w:t>
      </w:r>
      <w:r w:rsidRPr="007740B3">
        <w:tab/>
        <w:t>der henviser til, at parlamentarisk immunitet i henhold til forretningsordenens artikel 5, stk. 2, ikke er et medlems personlige privilegium, men derimod en garanti for dets medlemmers uafhængighed og Parlamentets uafhængighed som helhed;</w:t>
      </w:r>
    </w:p>
    <w:p w:rsidR="00F76852" w:rsidRPr="007740B3" w:rsidP="00F76852" w14:paraId="6BA84C12" w14:textId="2455BCC9">
      <w:pPr>
        <w:pStyle w:val="NormalHanging12a"/>
      </w:pPr>
      <w:r w:rsidRPr="007740B3">
        <w:t>R.</w:t>
      </w:r>
      <w:r w:rsidRPr="007740B3">
        <w:tab/>
        <w:t xml:space="preserve">der henviser til, at Parlamentet i den foreliggende sag ikke har grund til at antage, at der foreligger fumus persecutionis, dvs. </w:t>
      </w:r>
      <w:r w:rsidRPr="007740B3" w:rsidR="003C2797">
        <w:t>hensigten med sagsanlægget synes med andre ord ikke at være at undergrave Diana Iovanovici Șoșoacă politiske virksomhed og dermed Parlamentets uafhængighed;</w:t>
      </w:r>
    </w:p>
    <w:p w:rsidR="00F76852" w:rsidRPr="007740B3" w:rsidP="00F76852" w14:paraId="327B2F1F" w14:textId="77777777">
      <w:pPr>
        <w:pStyle w:val="NormalHanging12a"/>
      </w:pPr>
      <w:r w:rsidRPr="007740B3">
        <w:t>S.</w:t>
      </w:r>
      <w:r w:rsidRPr="007740B3">
        <w:tab/>
        <w:t>der henviser til, at Parlamentet ikke kan sidestilles med en domstol, og at medlemmet i forbindelse med en procedure om ophævelse af immunitet ikke kan betragtes som en anklaget</w:t>
      </w:r>
      <w:r>
        <w:rPr>
          <w:vertAlign w:val="superscript"/>
        </w:rPr>
        <w:footnoteReference w:id="3"/>
      </w:r>
      <w:r w:rsidRPr="007740B3">
        <w:t>;</w:t>
      </w:r>
    </w:p>
    <w:p w:rsidR="00F76852" w:rsidRPr="007740B3" w:rsidP="00F76852" w14:paraId="3ACB9759" w14:textId="77777777">
      <w:pPr>
        <w:pStyle w:val="NormalHanging12a"/>
      </w:pPr>
      <w:r w:rsidRPr="007740B3">
        <w:t>1.</w:t>
      </w:r>
      <w:r w:rsidRPr="007740B3">
        <w:tab/>
        <w:t>vedtager at ophæve Diana Iovanovici Şoşoacăs immunitet for så vidt angår de påståede lovovertrædelser, der er omhandlet i punkt B, C, D, E, F, G og H;</w:t>
      </w:r>
    </w:p>
    <w:p w:rsidR="00F76852" w:rsidRPr="007740B3" w:rsidP="00F76852" w14:paraId="2F79F811" w14:textId="77777777">
      <w:pPr>
        <w:pStyle w:val="NormalHanging12a"/>
      </w:pPr>
      <w:r w:rsidRPr="007740B3">
        <w:t>2.</w:t>
      </w:r>
      <w:r w:rsidRPr="007740B3">
        <w:tab/>
        <w:t>vedtager ikke at ophæve Diana Iovanovici Şoşoacăs immunitet for så vidt angår den påståede lovovertrædelse, der er omhandlet i punkt I;</w:t>
      </w:r>
    </w:p>
    <w:p w:rsidR="00E365E1" w:rsidRPr="007740B3" w:rsidP="00E2645E" w14:paraId="4F88ACBD" w14:textId="750D41BA">
      <w:pPr>
        <w:ind w:left="567" w:hanging="567"/>
      </w:pPr>
      <w:r w:rsidRPr="007740B3">
        <w:t>3.</w:t>
      </w:r>
      <w:r w:rsidRPr="007740B3">
        <w:tab/>
        <w:t>pålægger sin formand straks at sende denne afgørelse og det kompetente udvalgs betænkning til de kompetente myndigheder i Rumænien og Diana Iovanovici Şoşoacă.</w:t>
      </w:r>
    </w:p>
    <w:sectPr w:rsidSect="00E444F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44F6" w14:paraId="08D2AB6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44F6" w14:paraId="169457C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44F6" w14:paraId="356E1E8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5390" w:rsidRPr="00E444F6" w14:paraId="2AE3EE60" w14:textId="77777777">
      <w:r w:rsidRPr="00E444F6">
        <w:separator/>
      </w:r>
    </w:p>
  </w:footnote>
  <w:footnote w:type="continuationSeparator" w:id="1">
    <w:p w:rsidR="00335390" w:rsidRPr="00E444F6" w14:paraId="7FBE8068" w14:textId="77777777">
      <w:r w:rsidRPr="00E444F6">
        <w:continuationSeparator/>
      </w:r>
    </w:p>
  </w:footnote>
  <w:footnote w:id="2">
    <w:p w:rsidR="00F76852" w:rsidRPr="00E444F6" w:rsidP="00E444F6" w14:paraId="1097544E" w14:textId="410F7CC9">
      <w:pPr>
        <w:pStyle w:val="FootnoteText"/>
        <w:ind w:left="567" w:hanging="567"/>
        <w:rPr>
          <w:sz w:val="24"/>
          <w:lang w:val="da-DK"/>
        </w:rPr>
      </w:pPr>
      <w:r w:rsidRPr="00E444F6">
        <w:rPr>
          <w:rStyle w:val="FootnoteReference"/>
          <w:sz w:val="24"/>
          <w:lang w:val="da-DK"/>
        </w:rPr>
        <w:footnoteRef/>
      </w:r>
      <w:r w:rsidRPr="00E444F6" w:rsidR="00E444F6">
        <w:rPr>
          <w:sz w:val="24"/>
          <w:lang w:val="da-DK"/>
        </w:rPr>
        <w:t xml:space="preserve"> </w:t>
      </w:r>
      <w:r w:rsidRPr="00E444F6" w:rsidR="00E444F6">
        <w:rPr>
          <w:sz w:val="24"/>
          <w:lang w:val="da-DK"/>
        </w:rPr>
        <w:tab/>
      </w:r>
      <w:r w:rsidRPr="00E444F6">
        <w:rPr>
          <w:sz w:val="24"/>
          <w:lang w:val="da-DK"/>
        </w:rPr>
        <w:t>Domstolens dom af 21. oktober 2008, Marra mod De Gregorio og Clemente, C-200/07 og C-201/07, ECLI:EU:C:2008:579; Rettens dom af 19. marts 2010, Gollnisch mod Parlamentet, T-42/06, ECLI:EU:T:2010:102; Domstolens dom af 6. september 2011, Patriciello, C-163/163, ECLI: EU:C:2011:543; Rettens dom af 17. januar 2013, Gollnisch mod Parlamentet, T-346/11 og T-347/11, ECLI:EU:T:2013:23; Domstolens dom af 19. december 2019, Junqueras Vies, C-502/19, ECLI:EU:C:2019:1115.</w:t>
      </w:r>
    </w:p>
  </w:footnote>
  <w:footnote w:id="3">
    <w:p w:rsidR="00F76852" w:rsidRPr="00E444F6" w:rsidP="00E444F6" w14:paraId="1889EFE8" w14:textId="624E3D98">
      <w:pPr>
        <w:pStyle w:val="FootnoteText"/>
        <w:ind w:left="567" w:hanging="567"/>
        <w:rPr>
          <w:sz w:val="24"/>
          <w:lang w:val="da-DK"/>
        </w:rPr>
      </w:pPr>
      <w:r w:rsidRPr="00E444F6">
        <w:rPr>
          <w:rStyle w:val="FootnoteReference"/>
          <w:sz w:val="24"/>
          <w:lang w:val="da-DK"/>
        </w:rPr>
        <w:footnoteRef/>
      </w:r>
      <w:r w:rsidRPr="00E444F6" w:rsidR="00E444F6">
        <w:rPr>
          <w:sz w:val="24"/>
          <w:lang w:val="da-DK"/>
        </w:rPr>
        <w:t xml:space="preserve"> </w:t>
      </w:r>
      <w:r w:rsidRPr="00E444F6" w:rsidR="00E444F6">
        <w:rPr>
          <w:sz w:val="24"/>
          <w:lang w:val="da-DK"/>
        </w:rPr>
        <w:tab/>
      </w:r>
      <w:r w:rsidRPr="00E444F6">
        <w:rPr>
          <w:sz w:val="24"/>
          <w:lang w:val="da-DK"/>
        </w:rPr>
        <w:t>Rettens dom af 30. april 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44F6" w14:paraId="2F30289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44F6" w14:paraId="44A84D8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44F6" w14:paraId="7C11D85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8949007">
    <w:abstractNumId w:val="9"/>
  </w:num>
  <w:num w:numId="2" w16cid:durableId="961695267">
    <w:abstractNumId w:val="9"/>
  </w:num>
  <w:num w:numId="3" w16cid:durableId="603659179">
    <w:abstractNumId w:val="7"/>
  </w:num>
  <w:num w:numId="4" w16cid:durableId="510923235">
    <w:abstractNumId w:val="7"/>
  </w:num>
  <w:num w:numId="5" w16cid:durableId="1100447725">
    <w:abstractNumId w:val="6"/>
  </w:num>
  <w:num w:numId="6" w16cid:durableId="559562158">
    <w:abstractNumId w:val="6"/>
  </w:num>
  <w:num w:numId="7" w16cid:durableId="992952272">
    <w:abstractNumId w:val="5"/>
  </w:num>
  <w:num w:numId="8" w16cid:durableId="1785033610">
    <w:abstractNumId w:val="5"/>
  </w:num>
  <w:num w:numId="9" w16cid:durableId="661813532">
    <w:abstractNumId w:val="4"/>
  </w:num>
  <w:num w:numId="10" w16cid:durableId="387606444">
    <w:abstractNumId w:val="4"/>
  </w:num>
  <w:num w:numId="11" w16cid:durableId="888344037">
    <w:abstractNumId w:val="8"/>
  </w:num>
  <w:num w:numId="12" w16cid:durableId="1489638271">
    <w:abstractNumId w:val="8"/>
  </w:num>
  <w:num w:numId="13" w16cid:durableId="1243833104">
    <w:abstractNumId w:val="3"/>
  </w:num>
  <w:num w:numId="14" w16cid:durableId="1750734075">
    <w:abstractNumId w:val="3"/>
  </w:num>
  <w:num w:numId="15" w16cid:durableId="88356675">
    <w:abstractNumId w:val="2"/>
  </w:num>
  <w:num w:numId="16" w16cid:durableId="1825316010">
    <w:abstractNumId w:val="2"/>
  </w:num>
  <w:num w:numId="17" w16cid:durableId="106126195">
    <w:abstractNumId w:val="1"/>
  </w:num>
  <w:num w:numId="18" w16cid:durableId="863402178">
    <w:abstractNumId w:val="1"/>
  </w:num>
  <w:num w:numId="19" w16cid:durableId="456148359">
    <w:abstractNumId w:val="0"/>
  </w:num>
  <w:num w:numId="20" w16cid:durableId="23285957">
    <w:abstractNumId w:val="0"/>
  </w:num>
  <w:num w:numId="21" w16cid:durableId="862010784">
    <w:abstractNumId w:val="9"/>
  </w:num>
  <w:num w:numId="22" w16cid:durableId="880943888">
    <w:abstractNumId w:val="7"/>
  </w:num>
  <w:num w:numId="23" w16cid:durableId="858786079">
    <w:abstractNumId w:val="6"/>
  </w:num>
  <w:num w:numId="24" w16cid:durableId="1821266533">
    <w:abstractNumId w:val="5"/>
  </w:num>
  <w:num w:numId="25" w16cid:durableId="1880438917">
    <w:abstractNumId w:val="4"/>
  </w:num>
  <w:num w:numId="26" w16cid:durableId="506402797">
    <w:abstractNumId w:val="8"/>
  </w:num>
  <w:num w:numId="27" w16cid:durableId="941841371">
    <w:abstractNumId w:val="3"/>
  </w:num>
  <w:num w:numId="28" w16cid:durableId="365107903">
    <w:abstractNumId w:val="2"/>
  </w:num>
  <w:num w:numId="29" w16cid:durableId="723061232">
    <w:abstractNumId w:val="1"/>
  </w:num>
  <w:num w:numId="30" w16cid:durableId="577054223">
    <w:abstractNumId w:val="0"/>
  </w:num>
  <w:num w:numId="31" w16cid:durableId="1703045374">
    <w:abstractNumId w:val="9"/>
  </w:num>
  <w:num w:numId="32" w16cid:durableId="111827601">
    <w:abstractNumId w:val="7"/>
  </w:num>
  <w:num w:numId="33" w16cid:durableId="2140950707">
    <w:abstractNumId w:val="6"/>
  </w:num>
  <w:num w:numId="34" w16cid:durableId="824711932">
    <w:abstractNumId w:val="5"/>
  </w:num>
  <w:num w:numId="35" w16cid:durableId="1849713507">
    <w:abstractNumId w:val="4"/>
  </w:num>
  <w:num w:numId="36" w16cid:durableId="1294798762">
    <w:abstractNumId w:val="8"/>
  </w:num>
  <w:num w:numId="37" w16cid:durableId="527064162">
    <w:abstractNumId w:val="3"/>
  </w:num>
  <w:num w:numId="38" w16cid:durableId="1338146241">
    <w:abstractNumId w:val="2"/>
  </w:num>
  <w:num w:numId="39" w16cid:durableId="2005428391">
    <w:abstractNumId w:val="1"/>
  </w:num>
  <w:num w:numId="40" w16cid:durableId="729959270">
    <w:abstractNumId w:val="0"/>
  </w:num>
  <w:num w:numId="41" w16cid:durableId="1055857439">
    <w:abstractNumId w:val="10"/>
  </w:num>
  <w:num w:numId="42" w16cid:durableId="994452349">
    <w:abstractNumId w:val="10"/>
  </w:num>
  <w:num w:numId="43" w16cid:durableId="170489910">
    <w:abstractNumId w:val="10"/>
  </w:num>
  <w:num w:numId="44" w16cid:durableId="788091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90"/>
    <w:rsid w:val="00002272"/>
    <w:rsid w:val="00064002"/>
    <w:rsid w:val="000677B9"/>
    <w:rsid w:val="000831BA"/>
    <w:rsid w:val="000A42CC"/>
    <w:rsid w:val="000E7DD9"/>
    <w:rsid w:val="0010095E"/>
    <w:rsid w:val="00125B37"/>
    <w:rsid w:val="00187494"/>
    <w:rsid w:val="001F32AE"/>
    <w:rsid w:val="001F6A6D"/>
    <w:rsid w:val="002767FF"/>
    <w:rsid w:val="0029207F"/>
    <w:rsid w:val="002B18FE"/>
    <w:rsid w:val="002B5493"/>
    <w:rsid w:val="002F2EA5"/>
    <w:rsid w:val="003333A9"/>
    <w:rsid w:val="00335390"/>
    <w:rsid w:val="00343214"/>
    <w:rsid w:val="00361C00"/>
    <w:rsid w:val="00395FA1"/>
    <w:rsid w:val="003C2797"/>
    <w:rsid w:val="003C55F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0B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3D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45E"/>
    <w:rsid w:val="00E365E1"/>
    <w:rsid w:val="00E444F6"/>
    <w:rsid w:val="00E820A4"/>
    <w:rsid w:val="00E862C0"/>
    <w:rsid w:val="00EB006A"/>
    <w:rsid w:val="00EB4772"/>
    <w:rsid w:val="00ED169E"/>
    <w:rsid w:val="00ED4235"/>
    <w:rsid w:val="00F04346"/>
    <w:rsid w:val="00F075DC"/>
    <w:rsid w:val="00F149E9"/>
    <w:rsid w:val="00F5134D"/>
    <w:rsid w:val="00F74202"/>
    <w:rsid w:val="00F76852"/>
    <w:rsid w:val="00F87713"/>
    <w:rsid w:val="00FB4360"/>
    <w:rsid w:val="00FD0C70"/>
  </w:rsids>
  <w:docVars>
    <w:docVar w:name="dvdocse" w:val="A10-0117/2026"/>
    <w:docVar w:name="dvlangue" w:val="DA"/>
    <w:docVar w:name="dvnumam" w:val="0"/>
    <w:docVar w:name="dvpe" w:val="785.318"/>
    <w:docVar w:name="dvrapporteur" w:val="Ordfører: "/>
    <w:docVar w:name="dvtitre" w:val="Europa-Parlamentets afgørelse af xx.xx 2026 om anmodning om ophævelse af Diana Iovanovici Şoşoacăs immunitet(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03B5CD"/>
  <w15:chartTrackingRefBased/>
  <w15:docId w15:val="{087806E8-F358-48B2-B3CE-52E83DA2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6852"/>
    <w:pPr>
      <w:spacing w:after="240"/>
      <w:ind w:left="567" w:hanging="567"/>
    </w:pPr>
  </w:style>
  <w:style w:type="paragraph" w:customStyle="1" w:styleId="EPComma">
    <w:name w:val="EPComma"/>
    <w:basedOn w:val="Normal"/>
    <w:rsid w:val="00F76852"/>
    <w:pPr>
      <w:spacing w:before="480" w:after="240"/>
    </w:pPr>
  </w:style>
  <w:style w:type="paragraph" w:styleId="Revision">
    <w:name w:val="Revision"/>
    <w:hidden/>
    <w:uiPriority w:val="99"/>
    <w:semiHidden/>
    <w:rsid w:val="003C2797"/>
    <w:rPr>
      <w:sz w:val="24"/>
      <w:lang w:val="da-DK"/>
    </w:rPr>
  </w:style>
  <w:style w:type="character" w:styleId="CommentReference">
    <w:name w:val="annotation reference"/>
    <w:basedOn w:val="DefaultParagraphFont"/>
    <w:rsid w:val="003C2797"/>
    <w:rPr>
      <w:sz w:val="16"/>
      <w:szCs w:val="16"/>
    </w:rPr>
  </w:style>
  <w:style w:type="paragraph" w:styleId="CommentText">
    <w:name w:val="annotation text"/>
    <w:basedOn w:val="Normal"/>
    <w:link w:val="CommentTextChar"/>
    <w:rsid w:val="003C2797"/>
    <w:rPr>
      <w:sz w:val="20"/>
    </w:rPr>
  </w:style>
  <w:style w:type="character" w:customStyle="1" w:styleId="CommentTextChar">
    <w:name w:val="Comment Text Char"/>
    <w:basedOn w:val="DefaultParagraphFont"/>
    <w:link w:val="CommentText"/>
    <w:rsid w:val="003C2797"/>
    <w:rPr>
      <w:lang w:val="da-DK"/>
    </w:rPr>
  </w:style>
  <w:style w:type="paragraph" w:styleId="CommentSubject">
    <w:name w:val="annotation subject"/>
    <w:basedOn w:val="CommentText"/>
    <w:next w:val="CommentText"/>
    <w:link w:val="CommentSubjectChar"/>
    <w:rsid w:val="003C2797"/>
    <w:rPr>
      <w:b/>
      <w:bCs/>
    </w:rPr>
  </w:style>
  <w:style w:type="character" w:customStyle="1" w:styleId="CommentSubjectChar">
    <w:name w:val="Comment Subject Char"/>
    <w:basedOn w:val="CommentTextChar"/>
    <w:link w:val="CommentSubject"/>
    <w:rsid w:val="003C279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1646</Words>
  <Characters>9627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6</cp:revision>
  <cp:lastPrinted>2004-11-19T15:42:00Z</cp:lastPrinted>
  <dcterms:created xsi:type="dcterms:W3CDTF">2026-04-27T09:01:00Z</dcterms:created>
  <dcterms:modified xsi:type="dcterms:W3CDTF">2026-04-28T10:42:00Z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A10-0117/2026</vt:lpwstr>
  </property>
  <property fmtid="{D5CDD505-2E9C-101B-9397-08002B2CF9AE}" pid="4" name="&lt;Type&gt;">
    <vt:lpwstr>RR</vt:lpwstr>
  </property>
</Properties>
</file>