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AB2AD61" w14:textId="77777777" w:rsidTr="0010095E">
        <w:tblPrEx>
          <w:tblW w:w="9072" w:type="dxa"/>
          <w:tblLook w:val="01E0"/>
        </w:tblPrEx>
        <w:trPr>
          <w:trHeight w:hRule="exact" w:val="1418"/>
        </w:trPr>
        <w:tc>
          <w:tcPr>
            <w:tcW w:w="6804" w:type="dxa"/>
            <w:shd w:val="clear" w:color="auto" w:fill="auto"/>
            <w:vAlign w:val="center"/>
          </w:tcPr>
          <w:p w:rsidR="00751A4A" w:rsidRPr="0016462C" w:rsidP="0010095E" w14:paraId="3B9DE42D" w14:textId="77777777">
            <w:pPr>
              <w:pStyle w:val="EPName"/>
            </w:pPr>
            <w:r w:rsidRPr="0016462C">
              <w:t>Euroopa Parlament</w:t>
            </w:r>
          </w:p>
          <w:p w:rsidR="00751A4A" w:rsidRPr="0016462C" w:rsidP="005F1B17" w14:paraId="3347727B" w14:textId="77777777">
            <w:pPr>
              <w:pStyle w:val="EPTerm"/>
              <w:rPr>
                <w:rStyle w:val="HideTWBExt"/>
                <w:noProof w:val="0"/>
                <w:vanish w:val="0"/>
                <w:color w:val="auto"/>
              </w:rPr>
            </w:pPr>
            <w:r w:rsidRPr="0016462C">
              <w:t>2024</w:t>
            </w:r>
            <w:r w:rsidRPr="0016462C" w:rsidR="00817416">
              <w:t>-202</w:t>
            </w:r>
            <w:r w:rsidRPr="0016462C">
              <w:t>9</w:t>
            </w:r>
          </w:p>
        </w:tc>
        <w:tc>
          <w:tcPr>
            <w:tcW w:w="2268" w:type="dxa"/>
            <w:shd w:val="clear" w:color="auto" w:fill="auto"/>
          </w:tcPr>
          <w:p w:rsidR="00751A4A" w:rsidRPr="0016462C" w:rsidP="0010095E" w14:paraId="56FFB43F" w14:textId="77777777">
            <w:pPr>
              <w:pStyle w:val="EPLogo"/>
            </w:pPr>
            <w:r w:rsidRPr="0016462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6462C" w:rsidP="004C5D52" w14:paraId="23B22992" w14:textId="77777777">
      <w:pPr>
        <w:pStyle w:val="LineTop"/>
      </w:pPr>
    </w:p>
    <w:p w:rsidR="00680577" w:rsidRPr="0016462C" w:rsidP="00680577" w14:paraId="04F19CE3" w14:textId="77777777">
      <w:pPr>
        <w:pStyle w:val="EPBodyTA1"/>
      </w:pPr>
      <w:r w:rsidRPr="0016462C">
        <w:t>VASTUVÕETUD TEKSTID</w:t>
      </w:r>
    </w:p>
    <w:p w:rsidR="00D058B8" w:rsidRPr="0016462C" w:rsidP="00D058B8" w14:paraId="441C5195" w14:textId="77777777">
      <w:pPr>
        <w:pStyle w:val="LineBottom"/>
      </w:pPr>
    </w:p>
    <w:p w:rsidR="001B573D" w:rsidRPr="0016462C" w:rsidP="001B573D" w14:paraId="0D72A5E9" w14:textId="5A8A530A">
      <w:pPr>
        <w:pStyle w:val="ATHeading1"/>
      </w:pPr>
      <w:bookmarkStart w:id="0" w:name="TANumber"/>
      <w:r w:rsidRPr="0016462C">
        <w:t>P10_TA(2026)0</w:t>
      </w:r>
      <w:r w:rsidRPr="0016462C" w:rsidR="00B96E04">
        <w:t>108</w:t>
      </w:r>
      <w:bookmarkEnd w:id="0"/>
    </w:p>
    <w:p w:rsidR="001B573D" w:rsidRPr="0016462C" w:rsidP="001B573D" w14:paraId="02539AE3" w14:textId="77777777">
      <w:pPr>
        <w:pStyle w:val="ATHeading2"/>
      </w:pPr>
      <w:bookmarkStart w:id="1" w:name="title"/>
      <w:r w:rsidRPr="0016462C">
        <w:t xml:space="preserve">Diana </w:t>
      </w:r>
      <w:r w:rsidRPr="0016462C">
        <w:t>Iovanovici</w:t>
      </w:r>
      <w:r w:rsidRPr="0016462C">
        <w:t xml:space="preserve"> </w:t>
      </w:r>
      <w:r w:rsidRPr="0016462C">
        <w:t>Şoşoacă</w:t>
      </w:r>
      <w:r w:rsidRPr="0016462C">
        <w:t xml:space="preserve"> puutumatuse äravõtmise taotlus</w:t>
      </w:r>
      <w:bookmarkEnd w:id="1"/>
    </w:p>
    <w:p w:rsidR="001B573D" w:rsidRPr="0016462C" w:rsidP="001B573D" w14:paraId="5C69B5A1" w14:textId="77777777">
      <w:pPr>
        <w:rPr>
          <w:i/>
          <w:vanish/>
        </w:rPr>
      </w:pPr>
      <w:r>
        <w:rPr>
          <w:i/>
        </w:rPr>
        <w:fldChar w:fldCharType="begin"/>
      </w:r>
      <w:r w:rsidRPr="0016462C">
        <w:rPr>
          <w:i/>
        </w:rPr>
        <w:instrText xml:space="preserve"> TC"(</w:instrText>
      </w:r>
      <w:bookmarkStart w:id="2" w:name="DocNumber"/>
      <w:r w:rsidRPr="0016462C">
        <w:rPr>
          <w:i/>
        </w:rPr>
        <w:instrText>A10-0117/2026</w:instrText>
      </w:r>
      <w:bookmarkEnd w:id="2"/>
      <w:r w:rsidRPr="0016462C">
        <w:rPr>
          <w:i/>
        </w:rPr>
        <w:instrText xml:space="preserve"> - Raportöör: Dominik Tarczyński)"\l3 \n&gt; \* MERGEFORMAT </w:instrText>
      </w:r>
      <w:r>
        <w:rPr>
          <w:i/>
        </w:rPr>
        <w:fldChar w:fldCharType="end"/>
      </w:r>
    </w:p>
    <w:p w:rsidR="001B573D" w:rsidRPr="0016462C" w:rsidP="001B573D" w14:paraId="5E69C00C" w14:textId="77777777">
      <w:pPr>
        <w:rPr>
          <w:vanish/>
        </w:rPr>
      </w:pPr>
      <w:bookmarkStart w:id="3" w:name="Commission"/>
      <w:r w:rsidRPr="0016462C">
        <w:rPr>
          <w:vanish/>
        </w:rPr>
        <w:t>Õiguskomisjon</w:t>
      </w:r>
      <w:bookmarkEnd w:id="3"/>
    </w:p>
    <w:p w:rsidR="001B573D" w:rsidRPr="0016462C" w:rsidP="001B573D" w14:paraId="19F9860C" w14:textId="77777777">
      <w:pPr>
        <w:rPr>
          <w:vanish/>
        </w:rPr>
      </w:pPr>
      <w:bookmarkStart w:id="4" w:name="PE"/>
      <w:r w:rsidRPr="0016462C">
        <w:rPr>
          <w:vanish/>
        </w:rPr>
        <w:t>PE785.318</w:t>
      </w:r>
      <w:bookmarkEnd w:id="4"/>
    </w:p>
    <w:p w:rsidR="001B573D" w:rsidRPr="0016462C" w:rsidP="00CF634B" w14:paraId="2D0C3D73" w14:textId="2B825097">
      <w:pPr>
        <w:pStyle w:val="ATHeading3"/>
      </w:pPr>
      <w:bookmarkStart w:id="5" w:name="Sujet"/>
      <w:r w:rsidRPr="0016462C">
        <w:t xml:space="preserve">Euroopa Parlamendi </w:t>
      </w:r>
      <w:r w:rsidRPr="0016462C" w:rsidR="00CF634B">
        <w:t>28</w:t>
      </w:r>
      <w:r w:rsidRPr="0016462C">
        <w:t>.</w:t>
      </w:r>
      <w:r w:rsidRPr="0016462C" w:rsidR="00CF634B">
        <w:t> aprilli</w:t>
      </w:r>
      <w:r w:rsidRPr="0016462C">
        <w:t xml:space="preserve"> 2026.</w:t>
      </w:r>
      <w:r w:rsidRPr="0016462C" w:rsidR="00CF634B">
        <w:t> </w:t>
      </w:r>
      <w:r w:rsidRPr="0016462C">
        <w:t xml:space="preserve">aasta otsus Diana </w:t>
      </w:r>
      <w:r w:rsidRPr="0016462C">
        <w:t>Iovanovici</w:t>
      </w:r>
      <w:r w:rsidRPr="0016462C">
        <w:t xml:space="preserve"> </w:t>
      </w:r>
      <w:r w:rsidRPr="0016462C">
        <w:t>Şoşoacă</w:t>
      </w:r>
      <w:r w:rsidRPr="0016462C">
        <w:t xml:space="preserve"> puutumatuse äravõtmise taotluse kohta</w:t>
      </w:r>
      <w:bookmarkEnd w:id="5"/>
      <w:r w:rsidRPr="0016462C">
        <w:t xml:space="preserve"> </w:t>
      </w:r>
      <w:bookmarkStart w:id="6" w:name="References"/>
      <w:r w:rsidRPr="0016462C">
        <w:t>(2025/2196(IMM))</w:t>
      </w:r>
      <w:bookmarkEnd w:id="6"/>
    </w:p>
    <w:p w:rsidR="00B13FAB" w:rsidRPr="0016462C" w:rsidP="00B13FAB" w14:paraId="57B24F3D" w14:textId="77777777">
      <w:pPr>
        <w:pStyle w:val="EPComma"/>
      </w:pPr>
      <w:bookmarkStart w:id="7" w:name="TextBodyBegin"/>
      <w:bookmarkEnd w:id="7"/>
      <w:r w:rsidRPr="0016462C">
        <w:rPr>
          <w:i/>
        </w:rPr>
        <w:t>Euroopa Parlament</w:t>
      </w:r>
      <w:r w:rsidRPr="0016462C">
        <w:t>,</w:t>
      </w:r>
    </w:p>
    <w:p w:rsidR="00B13FAB" w:rsidRPr="0016462C" w:rsidP="00B13FAB" w14:paraId="6E96C2D4" w14:textId="3D4A70CB">
      <w:pPr>
        <w:pStyle w:val="NormalHanging12a"/>
      </w:pPr>
      <w:r w:rsidRPr="0016462C">
        <w:t>–</w:t>
      </w:r>
      <w:r w:rsidRPr="0016462C">
        <w:tab/>
        <w:t xml:space="preserve">võttes arvesse Diana </w:t>
      </w:r>
      <w:r w:rsidRPr="0016462C">
        <w:t>Iovanovici</w:t>
      </w:r>
      <w:r w:rsidRPr="0016462C">
        <w:t xml:space="preserve"> </w:t>
      </w:r>
      <w:r w:rsidRPr="0016462C">
        <w:t>Şoşoacă</w:t>
      </w:r>
      <w:r w:rsidRPr="0016462C">
        <w:t xml:space="preserve"> puutumatuse äravõtmise taotlust, mis saadi Rumeenia justiitsministri 24. septembri 2025. aasta kirjaga, milles edastati Rumeenia kassatsioonikohtu juures asuva prokuratuuri taotlus seoses Diana </w:t>
      </w:r>
      <w:r w:rsidRPr="0016462C">
        <w:t>Iovanovici</w:t>
      </w:r>
      <w:r w:rsidRPr="0016462C">
        <w:t xml:space="preserve"> </w:t>
      </w:r>
      <w:r w:rsidRPr="0016462C">
        <w:t>Şoşoacă</w:t>
      </w:r>
      <w:r w:rsidRPr="0016462C">
        <w:t xml:space="preserve"> suhtes alustatud kriminaalmenetlusega, ja </w:t>
      </w:r>
      <w:r w:rsidRPr="0016462C" w:rsidR="00F532B2">
        <w:t xml:space="preserve">mis tehti teatavaks Euroopa Parlamendi </w:t>
      </w:r>
      <w:r w:rsidRPr="0016462C">
        <w:t>täiskogu istungil 9. oktoobril 2025. aastal,</w:t>
      </w:r>
    </w:p>
    <w:p w:rsidR="00B13FAB" w:rsidRPr="0016462C" w:rsidP="00B13FAB" w14:paraId="28BD3FE5" w14:textId="5C1A9CC5">
      <w:pPr>
        <w:pStyle w:val="NormalHanging12a"/>
      </w:pPr>
      <w:r w:rsidRPr="0016462C">
        <w:t>–</w:t>
      </w:r>
      <w:r w:rsidRPr="0016462C">
        <w:tab/>
        <w:t>olles 24. märtsil 2026</w:t>
      </w:r>
      <w:r w:rsidRPr="0016462C" w:rsidR="00F532B2">
        <w:t>. aastal</w:t>
      </w:r>
      <w:r w:rsidRPr="0016462C">
        <w:t xml:space="preserve"> vastavalt kodukorra artikli 9 lõikele 6 kuulanud ära Diana </w:t>
      </w:r>
      <w:r w:rsidRPr="0016462C">
        <w:t>Iovanovici</w:t>
      </w:r>
      <w:r w:rsidRPr="0016462C">
        <w:t xml:space="preserve"> </w:t>
      </w:r>
      <w:r w:rsidRPr="0016462C">
        <w:t>Şoşoacă</w:t>
      </w:r>
      <w:r w:rsidRPr="0016462C">
        <w:t xml:space="preserve"> selgitused,</w:t>
      </w:r>
    </w:p>
    <w:p w:rsidR="00B13FAB" w:rsidRPr="0016462C" w:rsidP="00B13FAB" w14:paraId="7F48F7D9" w14:textId="77777777">
      <w:pPr>
        <w:pStyle w:val="NormalHanging12a"/>
      </w:pPr>
      <w:r w:rsidRPr="0016462C">
        <w:t>–</w:t>
      </w:r>
      <w:r w:rsidRPr="0016462C">
        <w:tab/>
        <w:t>võttes arvesse protokolli nr 7 (Euroopa Liidu privileegide ja immuniteetide kohta) artikleid 8 ja 9 ning otsestel ja üldistel valimistel Euroopa Parlamendi liikmete valimist käsitleva 20. septembri 1976. aasta akti artikli 6 lõiget 2,</w:t>
      </w:r>
    </w:p>
    <w:p w:rsidR="00B13FAB" w:rsidRPr="0016462C" w:rsidP="00B13FAB" w14:paraId="2D5940DC" w14:textId="77777777">
      <w:pPr>
        <w:pStyle w:val="NormalHanging12a"/>
      </w:pPr>
      <w:r w:rsidRPr="0016462C">
        <w:t>–</w:t>
      </w:r>
      <w:r w:rsidRPr="0016462C">
        <w:tab/>
        <w:t>võttes arvesse Euroopa Liidu Kohtu 21. oktoobri 2008. aasta, 19. märtsi 2010. aasta, 6. septembri 2011. aasta, 17. jaanuari 2013. aasta ja 19. detsembri 2019. aasta otsuseid</w:t>
      </w:r>
      <w:r>
        <w:rPr>
          <w:vertAlign w:val="superscript"/>
        </w:rPr>
        <w:footnoteReference w:id="2"/>
      </w:r>
      <w:r w:rsidRPr="0016462C">
        <w:t>,</w:t>
      </w:r>
    </w:p>
    <w:p w:rsidR="00B13FAB" w:rsidRPr="0016462C" w:rsidP="00B13FAB" w14:paraId="541A09AB" w14:textId="77777777">
      <w:pPr>
        <w:pStyle w:val="NormalHanging12a"/>
      </w:pPr>
      <w:r w:rsidRPr="0016462C">
        <w:t>–</w:t>
      </w:r>
      <w:r w:rsidRPr="0016462C">
        <w:tab/>
        <w:t>võttes arvesse Rumeenia põhiseaduse artikli 72 lõikeid 1 ja 2,</w:t>
      </w:r>
    </w:p>
    <w:p w:rsidR="00B13FAB" w:rsidRPr="0016462C" w:rsidP="00B13FAB" w14:paraId="05F1C57C" w14:textId="77777777">
      <w:pPr>
        <w:pStyle w:val="NormalHanging12a"/>
      </w:pPr>
      <w:r w:rsidRPr="0016462C">
        <w:t>–</w:t>
      </w:r>
      <w:r w:rsidRPr="0016462C">
        <w:tab/>
        <w:t>võttes arvesse kodukorra artikli 5 lõiget 2, artikli 6 lõiget 1 ja artiklit 9,</w:t>
      </w:r>
    </w:p>
    <w:p w:rsidR="00B13FAB" w:rsidRPr="0016462C" w:rsidP="00B13FAB" w14:paraId="2731C9CA" w14:textId="77777777">
      <w:pPr>
        <w:pStyle w:val="NormalHanging12a"/>
      </w:pPr>
      <w:r w:rsidRPr="0016462C">
        <w:t>–</w:t>
      </w:r>
      <w:r w:rsidRPr="0016462C">
        <w:tab/>
        <w:t>võttes arvesse õiguskomisjoni raportit (A10-0117/2026),</w:t>
      </w:r>
    </w:p>
    <w:p w:rsidR="00B13FAB" w:rsidRPr="0016462C" w:rsidP="00B13FAB" w14:paraId="3C171683" w14:textId="5670A730">
      <w:pPr>
        <w:pStyle w:val="NormalHanging12a"/>
        <w:rPr>
          <w:color w:val="000000"/>
        </w:rPr>
      </w:pPr>
      <w:r w:rsidRPr="0016462C">
        <w:t>A.</w:t>
      </w:r>
      <w:r w:rsidRPr="0016462C">
        <w:tab/>
        <w:t xml:space="preserve">arvestades, et Rumeenia justiitsminister edastas 24. septembri 2025. aasta kirjaga Rumeenia kassatsioonikohtu juures asuva prokuratuuri taotluse võtta ära Rumeeniast valitud Euroopa Parlamendi liikme Diana </w:t>
      </w:r>
      <w:r w:rsidRPr="0016462C">
        <w:t>Iovanovici</w:t>
      </w:r>
      <w:r w:rsidRPr="0016462C">
        <w:t xml:space="preserve"> </w:t>
      </w:r>
      <w:r w:rsidRPr="0016462C">
        <w:t>Şoşoacă</w:t>
      </w:r>
      <w:r w:rsidRPr="0016462C">
        <w:t xml:space="preserve"> puutumatus seoses kriminaalmenetlusega, mis hõlmab mitut süütegu, mis väidetavalt pandi toime eri kuupäevadel ajavahemikus 10. detsembrist 2021 kuni 11. veebruarini 2025;</w:t>
      </w:r>
    </w:p>
    <w:p w:rsidR="00B13FAB" w:rsidRPr="0016462C" w:rsidP="00B13FAB" w14:paraId="5CC7680B" w14:textId="77777777">
      <w:pPr>
        <w:pStyle w:val="NormalHanging12a"/>
        <w:rPr>
          <w:color w:val="000000"/>
        </w:rPr>
      </w:pPr>
      <w:r w:rsidRPr="0016462C">
        <w:rPr>
          <w:color w:val="000000"/>
        </w:rPr>
        <w:t>B.</w:t>
      </w:r>
      <w:r w:rsidRPr="0016462C">
        <w:rPr>
          <w:color w:val="000000"/>
        </w:rPr>
        <w:tab/>
        <w:t xml:space="preserve">arvestades, et taotluse kohaselt on kolm isikut esitanud kuriteokaebuse selle kohta, et Diana </w:t>
      </w:r>
      <w:r w:rsidRPr="0016462C">
        <w:rPr>
          <w:color w:val="000000"/>
        </w:rPr>
        <w:t>Iovanovici</w:t>
      </w:r>
      <w:r w:rsidRPr="0016462C">
        <w:rPr>
          <w:color w:val="000000"/>
        </w:rPr>
        <w:t xml:space="preserve"> </w:t>
      </w:r>
      <w:r w:rsidRPr="0016462C">
        <w:rPr>
          <w:color w:val="000000"/>
        </w:rPr>
        <w:t>Șoșoacă</w:t>
      </w:r>
      <w:r w:rsidRPr="0016462C">
        <w:rPr>
          <w:color w:val="000000"/>
        </w:rPr>
        <w:t xml:space="preserve"> ja teised võtsid väidetavalt 10. detsembril 2021 ühes Bukaresti korteris kaebuse esitajatelt ja veel ühelt neljandalt isikult vabaduse umbes 20 minutiks, ajavahemikus kell 15.40 kuni 16.00; arvestades, et väidetav tegu on Rumeenia karistusseadustiku artikli 205 lõike 1 kohaselt käsitatav kuriteona;</w:t>
      </w:r>
    </w:p>
    <w:p w:rsidR="00B13FAB" w:rsidRPr="0016462C" w:rsidP="00B13FAB" w14:paraId="68EF60A2" w14:textId="77777777">
      <w:pPr>
        <w:pStyle w:val="NormalHanging12a"/>
        <w:rPr>
          <w:color w:val="000000"/>
        </w:rPr>
      </w:pPr>
      <w:r w:rsidRPr="0016462C">
        <w:rPr>
          <w:color w:val="000000"/>
        </w:rPr>
        <w:t>C.</w:t>
      </w:r>
      <w:r w:rsidRPr="0016462C">
        <w:rPr>
          <w:color w:val="000000"/>
        </w:rPr>
        <w:tab/>
        <w:t xml:space="preserve">arvestades, et taotluse kohaselt teatas Rumeenia valitsuse alluvuses tegutsev Rumeenia holokaustiuuringute riiklik instituut </w:t>
      </w:r>
      <w:r w:rsidRPr="0016462C">
        <w:rPr>
          <w:color w:val="000000"/>
        </w:rPr>
        <w:t>Elie</w:t>
      </w:r>
      <w:r w:rsidRPr="0016462C">
        <w:rPr>
          <w:color w:val="000000"/>
        </w:rPr>
        <w:t xml:space="preserve"> </w:t>
      </w:r>
      <w:r w:rsidRPr="0016462C">
        <w:rPr>
          <w:color w:val="000000"/>
        </w:rPr>
        <w:t>Wiesel</w:t>
      </w:r>
      <w:r w:rsidRPr="0016462C">
        <w:rPr>
          <w:color w:val="000000"/>
        </w:rPr>
        <w:t xml:space="preserve"> 28. veebruaril 2024 õigusasutustele, et erakonna SOS </w:t>
      </w:r>
      <w:r w:rsidRPr="0016462C">
        <w:rPr>
          <w:color w:val="000000"/>
        </w:rPr>
        <w:t>România</w:t>
      </w:r>
      <w:r w:rsidRPr="0016462C">
        <w:rPr>
          <w:color w:val="000000"/>
        </w:rPr>
        <w:t xml:space="preserve"> ametlikul veebisaidil avaldati väidetavalt 19. veebruaril 2024 erakonna pressiteade, millele oli alla kirjutanud erakonna esimees Diana </w:t>
      </w:r>
      <w:r w:rsidRPr="0016462C">
        <w:rPr>
          <w:color w:val="000000"/>
        </w:rPr>
        <w:t>Iovanovici</w:t>
      </w:r>
      <w:r w:rsidRPr="0016462C">
        <w:rPr>
          <w:color w:val="000000"/>
        </w:rPr>
        <w:t xml:space="preserve"> </w:t>
      </w:r>
      <w:r w:rsidRPr="0016462C">
        <w:rPr>
          <w:color w:val="000000"/>
        </w:rPr>
        <w:t>Șoșoacă</w:t>
      </w:r>
      <w:r w:rsidRPr="0016462C">
        <w:rPr>
          <w:color w:val="000000"/>
        </w:rPr>
        <w:t>, kes väidetavalt ülistas selles isikut, kes on mõistetud süüdi sõjakurjategijana vastavalt Rumeenia seadusele nr 312/1945 riiklikus katastroofis või sõjakuritegudes süüdi olevate isikute kohtu alla andmise ja karistamise kohta; arvestades, et väidetav tegu on Rumeenia valitsuse erakorralise määruse nr 31/2002 artikli 5 kohaselt käsitatav süüteona;</w:t>
      </w:r>
    </w:p>
    <w:p w:rsidR="00B13FAB" w:rsidRPr="0016462C" w:rsidP="00B13FAB" w14:paraId="425B239B" w14:textId="77777777">
      <w:pPr>
        <w:pStyle w:val="NormalHanging12a"/>
        <w:rPr>
          <w:bCs/>
          <w:iCs/>
          <w:color w:val="000000"/>
        </w:rPr>
      </w:pPr>
      <w:r w:rsidRPr="0016462C">
        <w:rPr>
          <w:color w:val="000000"/>
        </w:rPr>
        <w:t>D.</w:t>
      </w:r>
      <w:r w:rsidRPr="0016462C">
        <w:rPr>
          <w:color w:val="000000"/>
        </w:rPr>
        <w:tab/>
        <w:t xml:space="preserve">arvestades, et taotluse kohaselt teatas Rumeenia antisemitismi seire ja antisemitismivastase võitluse keskus 27. mail 2024, et Diana </w:t>
      </w:r>
      <w:r w:rsidRPr="0016462C">
        <w:rPr>
          <w:color w:val="000000"/>
        </w:rPr>
        <w:t>Iovanovici</w:t>
      </w:r>
      <w:r w:rsidRPr="0016462C">
        <w:rPr>
          <w:color w:val="000000"/>
        </w:rPr>
        <w:t xml:space="preserve"> </w:t>
      </w:r>
      <w:r w:rsidRPr="0016462C">
        <w:rPr>
          <w:color w:val="000000"/>
        </w:rPr>
        <w:t>Șoșoacă</w:t>
      </w:r>
      <w:r w:rsidRPr="0016462C">
        <w:rPr>
          <w:color w:val="000000"/>
        </w:rPr>
        <w:t xml:space="preserve"> tegi 13. mail ja 14. mail 2024 Rumeenia parlamendi hoones viibides väidetavalt avalikke avaldusi, sealhulgas oma avaliku Facebooki konto kaudu, süüdistades juute kollektiivselt Rumeenia rahva vastu toime pandud ajaloolistes kuritegudes; arvestades, et väidetav tegu on antisemitismi ennetamise ja antisemitismi vastu võitlemise meetmeid käsitleva Rumeenia seaduse nr 157/2018 artikli 3 kohaselt käsitatav süüteona;</w:t>
      </w:r>
    </w:p>
    <w:p w:rsidR="00B13FAB" w:rsidRPr="0016462C" w:rsidP="00B13FAB" w14:paraId="3D71DBB5" w14:textId="77777777">
      <w:pPr>
        <w:pStyle w:val="NormalHanging12a"/>
        <w:rPr>
          <w:bCs/>
          <w:iCs/>
          <w:color w:val="000000"/>
        </w:rPr>
      </w:pPr>
      <w:r w:rsidRPr="0016462C">
        <w:rPr>
          <w:color w:val="000000"/>
        </w:rPr>
        <w:t>E.</w:t>
      </w:r>
      <w:r w:rsidRPr="0016462C">
        <w:rPr>
          <w:color w:val="000000"/>
        </w:rPr>
        <w:tab/>
        <w:t xml:space="preserve">arvestades, et taotluse kohaselt tegi Diana </w:t>
      </w:r>
      <w:r w:rsidRPr="0016462C">
        <w:rPr>
          <w:color w:val="000000"/>
        </w:rPr>
        <w:t>Iovanovici</w:t>
      </w:r>
      <w:r w:rsidRPr="0016462C">
        <w:rPr>
          <w:color w:val="000000"/>
        </w:rPr>
        <w:t xml:space="preserve"> </w:t>
      </w:r>
      <w:r w:rsidRPr="0016462C">
        <w:rPr>
          <w:color w:val="000000"/>
        </w:rPr>
        <w:t>Șoșoacă</w:t>
      </w:r>
      <w:r w:rsidRPr="0016462C">
        <w:rPr>
          <w:color w:val="000000"/>
        </w:rPr>
        <w:t xml:space="preserve"> 14. mail 2024, mil ta viibis Rumeenia parlamendi hoones, et osaleda Rumeenia Saadikutekoja ja Senati ühisistungil, väidetavalt avaldusi, milles ta süüdistas juute kollektiivselt Rumeenia rahva vastu toime pandud ajaloolistes kuritegudes; arvestades, et väidetav tegu on Rumeenia valitsuse erakorralise määruse nr 31/2002 artikli 6 lõike 1 kohaselt käsitatav süüteona;</w:t>
      </w:r>
    </w:p>
    <w:p w:rsidR="00B13FAB" w:rsidRPr="0016462C" w:rsidP="00B13FAB" w14:paraId="540685E5" w14:textId="0CF65DB4">
      <w:pPr>
        <w:pStyle w:val="NormalHanging12a"/>
        <w:rPr>
          <w:bCs/>
          <w:iCs/>
          <w:color w:val="000000"/>
        </w:rPr>
      </w:pPr>
      <w:r w:rsidRPr="0016462C">
        <w:rPr>
          <w:color w:val="000000"/>
        </w:rPr>
        <w:t>F.</w:t>
      </w:r>
      <w:r w:rsidRPr="0016462C">
        <w:rPr>
          <w:color w:val="000000"/>
        </w:rPr>
        <w:tab/>
        <w:t xml:space="preserve">arvestades, et taotluse kohaselt tegi Diana </w:t>
      </w:r>
      <w:r w:rsidRPr="0016462C">
        <w:rPr>
          <w:color w:val="000000"/>
        </w:rPr>
        <w:t>I</w:t>
      </w:r>
      <w:r w:rsidRPr="0016462C" w:rsidR="00B96E04">
        <w:rPr>
          <w:color w:val="000000"/>
        </w:rPr>
        <w:t>o</w:t>
      </w:r>
      <w:r w:rsidRPr="0016462C">
        <w:rPr>
          <w:color w:val="000000"/>
        </w:rPr>
        <w:t>vanovici</w:t>
      </w:r>
      <w:r w:rsidRPr="0016462C">
        <w:rPr>
          <w:color w:val="000000"/>
        </w:rPr>
        <w:t xml:space="preserve"> </w:t>
      </w:r>
      <w:r w:rsidRPr="0016462C">
        <w:rPr>
          <w:color w:val="000000"/>
        </w:rPr>
        <w:t>Șoșoacă</w:t>
      </w:r>
      <w:r w:rsidRPr="0016462C">
        <w:rPr>
          <w:color w:val="000000"/>
        </w:rPr>
        <w:t xml:space="preserve"> 5. ja 6. oktoobril 2024 väidetavalt internetis mitu avalikku avaldust, milles ta ülistas teatavaid isikuid ja liikumisi, keda Rumeenia õiguse kohaselt peetakse sõjakuritegude toimepanijaks või neis osalejaks, ning süüdistas juute kollektiivselt ajaloolistes ja usukuritegudes; arvestades, et väidetavad teod on Rumeenia valitsuse erakorralise määruse nr 31/2002 artikli 5 kohaselt käsitatavad süüteona;</w:t>
      </w:r>
    </w:p>
    <w:p w:rsidR="00B13FAB" w:rsidRPr="0016462C" w:rsidP="00B13FAB" w14:paraId="194B858D" w14:textId="403D3DE7">
      <w:pPr>
        <w:pStyle w:val="NormalHanging12a"/>
        <w:rPr>
          <w:color w:val="000000"/>
        </w:rPr>
      </w:pPr>
      <w:r w:rsidRPr="0016462C">
        <w:rPr>
          <w:color w:val="000000"/>
        </w:rPr>
        <w:t>G.</w:t>
      </w:r>
      <w:r w:rsidRPr="0016462C">
        <w:rPr>
          <w:color w:val="000000"/>
        </w:rPr>
        <w:tab/>
        <w:t xml:space="preserve">arvestades, et taotluse kohaselt ülistas Diana </w:t>
      </w:r>
      <w:r w:rsidRPr="0016462C">
        <w:rPr>
          <w:color w:val="000000"/>
        </w:rPr>
        <w:t>I</w:t>
      </w:r>
      <w:r w:rsidRPr="0016462C" w:rsidR="00B96E04">
        <w:rPr>
          <w:color w:val="000000"/>
        </w:rPr>
        <w:t>o</w:t>
      </w:r>
      <w:r w:rsidRPr="0016462C">
        <w:rPr>
          <w:color w:val="000000"/>
        </w:rPr>
        <w:t>vanovici</w:t>
      </w:r>
      <w:r w:rsidRPr="0016462C">
        <w:rPr>
          <w:color w:val="000000"/>
        </w:rPr>
        <w:t xml:space="preserve"> </w:t>
      </w:r>
      <w:r w:rsidRPr="0016462C">
        <w:rPr>
          <w:color w:val="000000"/>
        </w:rPr>
        <w:t>Șoșoacă</w:t>
      </w:r>
      <w:r w:rsidRPr="0016462C">
        <w:rPr>
          <w:color w:val="000000"/>
        </w:rPr>
        <w:t xml:space="preserve"> 1. detsembril 2024 väidetavalt avalikult Rumeenia õiguse alusel sõjakuritegudes süüdi mõistetud isikut, tehes avaldusi internetis ning propageerides avalikult Rumeenia Leegioniga seotud, rassistlikke ja </w:t>
      </w:r>
      <w:r w:rsidRPr="0016462C">
        <w:rPr>
          <w:color w:val="000000"/>
        </w:rPr>
        <w:t>ksenofoobseid</w:t>
      </w:r>
      <w:r w:rsidRPr="0016462C">
        <w:rPr>
          <w:color w:val="000000"/>
        </w:rPr>
        <w:t xml:space="preserve"> ideid ja kontseptsioone, mis olid seotud juudi kogukonnaga; arvestades, et väidetavad teod on Rumeenia valitsuse erakorralise määruse nr 31/2002 artikli 5 kohaselt käsitatavad süüteona;</w:t>
      </w:r>
    </w:p>
    <w:p w:rsidR="00B13FAB" w:rsidRPr="0016462C" w:rsidP="00B13FAB" w14:paraId="014F2028" w14:textId="77777777">
      <w:pPr>
        <w:pStyle w:val="NormalHanging12a"/>
        <w:rPr>
          <w:bCs/>
          <w:iCs/>
          <w:color w:val="000000"/>
        </w:rPr>
      </w:pPr>
      <w:r w:rsidRPr="0016462C">
        <w:rPr>
          <w:color w:val="000000"/>
        </w:rPr>
        <w:t>H.</w:t>
      </w:r>
      <w:r w:rsidRPr="0016462C">
        <w:rPr>
          <w:color w:val="000000"/>
        </w:rPr>
        <w:tab/>
        <w:t xml:space="preserve">arvestades, et taotluse kohaselt ähvardas Diana </w:t>
      </w:r>
      <w:r w:rsidRPr="0016462C">
        <w:rPr>
          <w:color w:val="000000"/>
        </w:rPr>
        <w:t>Iovanovici</w:t>
      </w:r>
      <w:r w:rsidRPr="0016462C">
        <w:rPr>
          <w:color w:val="000000"/>
        </w:rPr>
        <w:t xml:space="preserve"> </w:t>
      </w:r>
      <w:r w:rsidRPr="0016462C">
        <w:rPr>
          <w:color w:val="000000"/>
        </w:rPr>
        <w:t>Șoșoacă</w:t>
      </w:r>
      <w:r w:rsidRPr="0016462C">
        <w:rPr>
          <w:color w:val="000000"/>
        </w:rPr>
        <w:t xml:space="preserve"> 15. detsembril 2024 väidetavalt otseselt panna toime vägivallaakte kahe politseiametniku suhtes, kes täitsid oma ülesandeid seoses varem määratud haldustrahviga; arvestades, et väidetav tegu on Rumeenia karistusseadustiku artikli 257 lõigete 1 ja 4 kohaselt käsitatav süüteona;</w:t>
      </w:r>
    </w:p>
    <w:p w:rsidR="00B13FAB" w:rsidRPr="0016462C" w:rsidP="00B13FAB" w14:paraId="53915F45" w14:textId="0B026107">
      <w:pPr>
        <w:pStyle w:val="NormalHanging12a"/>
        <w:rPr>
          <w:bCs/>
          <w:iCs/>
          <w:color w:val="000000"/>
        </w:rPr>
      </w:pPr>
      <w:r w:rsidRPr="0016462C">
        <w:rPr>
          <w:color w:val="000000"/>
        </w:rPr>
        <w:t>I.</w:t>
      </w:r>
      <w:r w:rsidRPr="0016462C">
        <w:rPr>
          <w:color w:val="000000"/>
        </w:rPr>
        <w:tab/>
        <w:t xml:space="preserve">arvestades, et taotluse kohaselt teatas valitsusorganisatsioon IICCMER (kommunismikuritegude ja rumeenlaste eksiiliga seotud mälestuste uurimise instituut) 25. veebruaril 2025 õigusasutustele, et Diana </w:t>
      </w:r>
      <w:r w:rsidRPr="0016462C">
        <w:rPr>
          <w:color w:val="000000"/>
        </w:rPr>
        <w:t>Iovanovici</w:t>
      </w:r>
      <w:r w:rsidRPr="0016462C">
        <w:rPr>
          <w:color w:val="000000"/>
        </w:rPr>
        <w:t xml:space="preserve"> </w:t>
      </w:r>
      <w:r w:rsidRPr="0016462C">
        <w:rPr>
          <w:color w:val="000000"/>
        </w:rPr>
        <w:t>Șoșoacă</w:t>
      </w:r>
      <w:r w:rsidRPr="0016462C">
        <w:rPr>
          <w:color w:val="000000"/>
        </w:rPr>
        <w:t xml:space="preserve"> pidas 11. veebruaril 2025 Euroopa Parlamendi täiskogu istungil kõne, milles ta </w:t>
      </w:r>
      <w:r w:rsidRPr="0016462C" w:rsidR="0017254C">
        <w:rPr>
          <w:color w:val="000000"/>
        </w:rPr>
        <w:t xml:space="preserve">väidetavalt </w:t>
      </w:r>
      <w:r w:rsidRPr="0016462C">
        <w:rPr>
          <w:color w:val="000000"/>
        </w:rPr>
        <w:t xml:space="preserve">soovitas oma kolleegidel võtta välispoliitika strateegiate väljatöötamisel eeskuju strateegiast, mida kasutas </w:t>
      </w:r>
      <w:r w:rsidRPr="0016462C">
        <w:rPr>
          <w:color w:val="000000"/>
        </w:rPr>
        <w:t>Nicolae</w:t>
      </w:r>
      <w:r w:rsidRPr="0016462C">
        <w:rPr>
          <w:color w:val="000000"/>
        </w:rPr>
        <w:t xml:space="preserve"> </w:t>
      </w:r>
      <w:r w:rsidRPr="0016462C">
        <w:rPr>
          <w:color w:val="000000"/>
        </w:rPr>
        <w:t>Ceaușescu</w:t>
      </w:r>
      <w:r w:rsidRPr="0016462C">
        <w:rPr>
          <w:color w:val="000000"/>
        </w:rPr>
        <w:t>, kes mõisteti Bukaresti territoriaalse sõjaväekohtu 25. detsembri 1989. aasta otsuse alusel süüdi genotsiidis; arvestades, et väidetav tegu on Rumeenia valitsuse erakorralise määruse nr 31/2002 artikli 5 kohaselt käsitatav süüteona;</w:t>
      </w:r>
    </w:p>
    <w:p w:rsidR="00B13FAB" w:rsidRPr="0016462C" w:rsidP="00B13FAB" w14:paraId="0B00B183" w14:textId="11DBA422">
      <w:pPr>
        <w:pStyle w:val="NormalHanging12a"/>
        <w:rPr>
          <w:bCs/>
          <w:iCs/>
          <w:color w:val="000000"/>
        </w:rPr>
      </w:pPr>
      <w:r w:rsidRPr="0016462C">
        <w:rPr>
          <w:color w:val="000000"/>
        </w:rPr>
        <w:t>J.</w:t>
      </w:r>
      <w:r w:rsidRPr="0016462C">
        <w:rPr>
          <w:color w:val="000000"/>
        </w:rPr>
        <w:tab/>
        <w:t xml:space="preserve">arvestades, et Diana </w:t>
      </w:r>
      <w:r w:rsidRPr="0016462C">
        <w:rPr>
          <w:color w:val="000000"/>
        </w:rPr>
        <w:t>Iovanovici</w:t>
      </w:r>
      <w:r w:rsidRPr="0016462C">
        <w:rPr>
          <w:color w:val="000000"/>
        </w:rPr>
        <w:t xml:space="preserve"> </w:t>
      </w:r>
      <w:r w:rsidRPr="0016462C">
        <w:rPr>
          <w:color w:val="000000"/>
        </w:rPr>
        <w:t>Șoșoacă</w:t>
      </w:r>
      <w:r w:rsidRPr="0016462C">
        <w:rPr>
          <w:color w:val="000000"/>
        </w:rPr>
        <w:t xml:space="preserve"> valiti Euroopa Parlamenti 2024. aasta juunis toimunud Euroopa Parlamendi valimistel ja</w:t>
      </w:r>
      <w:r w:rsidRPr="0016462C" w:rsidR="0017254C">
        <w:rPr>
          <w:color w:val="000000"/>
        </w:rPr>
        <w:t xml:space="preserve"> seega</w:t>
      </w:r>
      <w:r w:rsidRPr="0016462C">
        <w:rPr>
          <w:color w:val="000000"/>
        </w:rPr>
        <w:t xml:space="preserve"> ei olnud </w:t>
      </w:r>
      <w:r w:rsidRPr="0016462C" w:rsidR="0017254C">
        <w:rPr>
          <w:color w:val="000000"/>
        </w:rPr>
        <w:t>ta</w:t>
      </w:r>
      <w:r w:rsidRPr="0016462C">
        <w:rPr>
          <w:color w:val="000000"/>
        </w:rPr>
        <w:t xml:space="preserve"> Euroopa Parlamendi liige taotluses nimetatud väidetavate tegude ajal, mis pandi toime 10. detsembril 2021, 19. veebruaril 2024 ning 13. ja 14. mail 2024; arvestades, et Diana </w:t>
      </w:r>
      <w:r w:rsidRPr="0016462C">
        <w:rPr>
          <w:color w:val="000000"/>
        </w:rPr>
        <w:t>Iovanovici</w:t>
      </w:r>
      <w:r w:rsidRPr="0016462C">
        <w:rPr>
          <w:color w:val="000000"/>
        </w:rPr>
        <w:t xml:space="preserve"> </w:t>
      </w:r>
      <w:r w:rsidRPr="0016462C">
        <w:rPr>
          <w:color w:val="000000"/>
        </w:rPr>
        <w:t>Șoșoacă</w:t>
      </w:r>
      <w:r w:rsidRPr="0016462C">
        <w:rPr>
          <w:color w:val="000000"/>
        </w:rPr>
        <w:t xml:space="preserve"> oli Euroopa Parlamendi liige taotluses nimetatud väidetavate tegude ajal, mis pandi toime 5. ja 6. oktoobril 2024, 1. detsembril 2024, 15. detsembril 2024 ja 11. veebruaril 2025; arvestades, et peale kuriteokaebuste ja kriminaalmenetluste, mis on seotud 10. detsembril 2021 ja 19. veebruaril 2024 toime pandud väidetavate tegudega, alustati kõiki teisi kriminaalmenetlusi Diana </w:t>
      </w:r>
      <w:r w:rsidRPr="0016462C">
        <w:rPr>
          <w:color w:val="000000"/>
        </w:rPr>
        <w:t>Iovanovici</w:t>
      </w:r>
      <w:r w:rsidRPr="0016462C">
        <w:rPr>
          <w:color w:val="000000"/>
        </w:rPr>
        <w:t xml:space="preserve"> </w:t>
      </w:r>
      <w:r w:rsidRPr="0016462C">
        <w:rPr>
          <w:color w:val="000000"/>
        </w:rPr>
        <w:t>Șoșoacă</w:t>
      </w:r>
      <w:r w:rsidRPr="0016462C">
        <w:rPr>
          <w:color w:val="000000"/>
        </w:rPr>
        <w:t xml:space="preserve"> suhtes pärast tema valimist Euroopa Parlamendi liikmeks;</w:t>
      </w:r>
    </w:p>
    <w:p w:rsidR="00B13FAB" w:rsidRPr="0016462C" w:rsidP="00B13FAB" w14:paraId="34A6AC8E" w14:textId="77777777">
      <w:pPr>
        <w:pStyle w:val="NormalHanging12a"/>
        <w:rPr>
          <w:bCs/>
          <w:iCs/>
          <w:color w:val="000000"/>
        </w:rPr>
      </w:pPr>
      <w:r w:rsidRPr="0016462C">
        <w:rPr>
          <w:color w:val="000000"/>
        </w:rPr>
        <w:t>K.</w:t>
      </w:r>
      <w:r w:rsidRPr="0016462C">
        <w:rPr>
          <w:color w:val="000000"/>
        </w:rPr>
        <w:tab/>
        <w:t>arvestades, et protokolli nr 7 (Euroopa Liidu privileegide ja immuniteetide kohta) artiklis 8 on sätestatud, et „Euroopa Parlamendi liikmeid ei või üle kuulata, nende suhtes tõkendit kohaldada ega neid kohtumenetlusele allutada nende poolt oma kohustuste täitmisel avaldatud arvamuste või antud häälte tõttu“;</w:t>
      </w:r>
    </w:p>
    <w:p w:rsidR="00B13FAB" w:rsidRPr="0016462C" w:rsidP="00B13FAB" w14:paraId="7936A5BD" w14:textId="77777777">
      <w:pPr>
        <w:pStyle w:val="NormalHanging12a"/>
        <w:rPr>
          <w:bCs/>
          <w:iCs/>
          <w:color w:val="000000"/>
        </w:rPr>
      </w:pPr>
      <w:r w:rsidRPr="0016462C">
        <w:rPr>
          <w:color w:val="000000"/>
        </w:rPr>
        <w:t>L.</w:t>
      </w:r>
      <w:r w:rsidRPr="0016462C">
        <w:rPr>
          <w:color w:val="000000"/>
        </w:rPr>
        <w:tab/>
        <w:t xml:space="preserve">arvestades, et 11. veebruaril 2025 toime pandud väidetav süütegu seoses Rumeenia õiguse alusel sõjakurjategijana süüdi mõistetud </w:t>
      </w:r>
      <w:r w:rsidRPr="0016462C">
        <w:rPr>
          <w:color w:val="000000"/>
        </w:rPr>
        <w:t>Nicolae</w:t>
      </w:r>
      <w:r w:rsidRPr="0016462C">
        <w:rPr>
          <w:color w:val="000000"/>
        </w:rPr>
        <w:t xml:space="preserve"> </w:t>
      </w:r>
      <w:r w:rsidRPr="0016462C">
        <w:rPr>
          <w:color w:val="000000"/>
        </w:rPr>
        <w:t>Ceaușescu</w:t>
      </w:r>
      <w:r w:rsidRPr="0016462C">
        <w:rPr>
          <w:color w:val="000000"/>
        </w:rPr>
        <w:t xml:space="preserve"> väidetava ülistamisega hõlmab avaldust, mille Diana </w:t>
      </w:r>
      <w:r w:rsidRPr="0016462C">
        <w:rPr>
          <w:color w:val="000000"/>
        </w:rPr>
        <w:t>Iovanovici</w:t>
      </w:r>
      <w:r w:rsidRPr="0016462C">
        <w:rPr>
          <w:color w:val="000000"/>
        </w:rPr>
        <w:t xml:space="preserve"> </w:t>
      </w:r>
      <w:r w:rsidRPr="0016462C">
        <w:rPr>
          <w:color w:val="000000"/>
        </w:rPr>
        <w:t>Șoșoacă</w:t>
      </w:r>
      <w:r w:rsidRPr="0016462C">
        <w:rPr>
          <w:color w:val="000000"/>
        </w:rPr>
        <w:t xml:space="preserve"> tegi Euroopa Parlamendi täiskogu istungil Strasbourgis teemal „Laiem terviklik ELi ja Lähis-Ida strateegia“ toimunud arutelu käigus; arvestades, et kõnealune avaldus on seetõttu käsitatav Diana </w:t>
      </w:r>
      <w:r w:rsidRPr="0016462C">
        <w:rPr>
          <w:color w:val="000000"/>
        </w:rPr>
        <w:t>Iovanovici</w:t>
      </w:r>
      <w:r w:rsidRPr="0016462C">
        <w:rPr>
          <w:color w:val="000000"/>
        </w:rPr>
        <w:t xml:space="preserve"> </w:t>
      </w:r>
      <w:r w:rsidRPr="0016462C">
        <w:rPr>
          <w:color w:val="000000"/>
        </w:rPr>
        <w:t>Șoșoacă</w:t>
      </w:r>
      <w:r w:rsidRPr="0016462C">
        <w:rPr>
          <w:color w:val="000000"/>
        </w:rPr>
        <w:t xml:space="preserve"> poolt oma kohustuste täitmisel avaldatud arvamuse või antud häälena protokolli nr 7 (Euroopa Liidu privileegide ja immuniteetide kohta) artikli 8 tähenduses;</w:t>
      </w:r>
    </w:p>
    <w:p w:rsidR="00B13FAB" w:rsidRPr="0016462C" w:rsidP="00B13FAB" w14:paraId="408141EA" w14:textId="3234799B">
      <w:pPr>
        <w:pStyle w:val="NormalHanging12a"/>
        <w:rPr>
          <w:bCs/>
          <w:iCs/>
          <w:color w:val="000000"/>
        </w:rPr>
      </w:pPr>
      <w:r w:rsidRPr="0016462C">
        <w:rPr>
          <w:color w:val="000000"/>
        </w:rPr>
        <w:t>M.</w:t>
      </w:r>
      <w:r w:rsidRPr="0016462C">
        <w:rPr>
          <w:color w:val="000000"/>
        </w:rPr>
        <w:tab/>
        <w:t xml:space="preserve">arvestades, et kõik teised väidetavad süüteod ja </w:t>
      </w:r>
      <w:r w:rsidRPr="0016462C" w:rsidR="0017254C">
        <w:rPr>
          <w:color w:val="000000"/>
        </w:rPr>
        <w:t>neile järgnenud</w:t>
      </w:r>
      <w:r w:rsidRPr="0016462C">
        <w:rPr>
          <w:color w:val="000000"/>
        </w:rPr>
        <w:t xml:space="preserve"> taotlus võtta ära Diana </w:t>
      </w:r>
      <w:r w:rsidRPr="0016462C">
        <w:rPr>
          <w:color w:val="000000"/>
        </w:rPr>
        <w:t>Iovanovici</w:t>
      </w:r>
      <w:r w:rsidRPr="0016462C">
        <w:rPr>
          <w:color w:val="000000"/>
        </w:rPr>
        <w:t xml:space="preserve"> </w:t>
      </w:r>
      <w:r w:rsidRPr="0016462C">
        <w:rPr>
          <w:color w:val="000000"/>
        </w:rPr>
        <w:t>Șoșoacă</w:t>
      </w:r>
      <w:r w:rsidRPr="0016462C">
        <w:rPr>
          <w:color w:val="000000"/>
        </w:rPr>
        <w:t xml:space="preserve"> puutumatus ei ole seotud tema kohustuste täitmisel avaldatud arvamuste ega antud häältega protokolli nr 7 (Euroopa Liidu privileegide ja immuniteetide kohta) artikli 8 tähenduses;</w:t>
      </w:r>
    </w:p>
    <w:p w:rsidR="00B13FAB" w:rsidRPr="0016462C" w:rsidP="00B13FAB" w14:paraId="39CA8A65" w14:textId="77777777">
      <w:pPr>
        <w:pStyle w:val="NormalHanging12a"/>
        <w:rPr>
          <w:bCs/>
          <w:iCs/>
          <w:color w:val="000000"/>
        </w:rPr>
      </w:pPr>
      <w:r w:rsidRPr="0016462C">
        <w:rPr>
          <w:color w:val="000000"/>
        </w:rPr>
        <w:t>N.</w:t>
      </w:r>
      <w:r w:rsidRPr="0016462C">
        <w:rPr>
          <w:color w:val="000000"/>
        </w:rPr>
        <w:tab/>
        <w:t>arvestades, et protokolli nr 7 (Euroopa Liidu privileegide ja immuniteetide kohta) artikli 9 esimese lõigu punktis a on sätestatud, et Euroopa Parlamendi istungjärkude ajal on Euroopa Parlamendi liikmetel oma riigi territooriumil samasugune immuniteet nagu selle riigi parlamendi liikmetel;</w:t>
      </w:r>
    </w:p>
    <w:p w:rsidR="00B13FAB" w:rsidRPr="0016462C" w:rsidP="00B13FAB" w14:paraId="2A2C1D1C" w14:textId="77777777">
      <w:pPr>
        <w:pStyle w:val="NormalHanging12a"/>
        <w:rPr>
          <w:color w:val="000000"/>
        </w:rPr>
      </w:pPr>
      <w:r w:rsidRPr="0016462C">
        <w:rPr>
          <w:color w:val="000000"/>
        </w:rPr>
        <w:t>O.</w:t>
      </w:r>
      <w:r w:rsidRPr="0016462C">
        <w:rPr>
          <w:color w:val="000000"/>
        </w:rPr>
        <w:tab/>
        <w:t>arvestades, et Rumeenia põhiseaduse artikli 72 lõigetes 1 ja 2 on sätestatud, et:</w:t>
      </w:r>
    </w:p>
    <w:p w:rsidR="00B13FAB" w:rsidRPr="0016462C" w:rsidP="0016462C" w14:paraId="79657B88" w14:textId="2229ED34">
      <w:pPr>
        <w:pStyle w:val="NormalHanging12a"/>
        <w:ind w:left="1134"/>
        <w:rPr>
          <w:color w:val="000000"/>
        </w:rPr>
      </w:pPr>
      <w:r w:rsidRPr="0016462C">
        <w:rPr>
          <w:color w:val="000000"/>
        </w:rPr>
        <w:t>„</w:t>
      </w:r>
      <w:r w:rsidRPr="0016462C">
        <w:rPr>
          <w:color w:val="000000"/>
        </w:rPr>
        <w:t>1.</w:t>
      </w:r>
      <w:r w:rsidRPr="0016462C">
        <w:rPr>
          <w:color w:val="000000"/>
        </w:rPr>
        <w:tab/>
        <w:t>Saadikutekoja ja Senati liiget ei saa vastutusele võtta ametiülesannete täitmisel antud häälte või avaldatud poliitiliste arvamuste tõttu</w:t>
      </w:r>
      <w:r w:rsidRPr="0016462C">
        <w:rPr>
          <w:color w:val="000000"/>
        </w:rPr>
        <w:t>;</w:t>
      </w:r>
    </w:p>
    <w:p w:rsidR="00B13FAB" w:rsidRPr="0016462C" w:rsidP="0016462C" w14:paraId="454111BC" w14:textId="4961C802">
      <w:pPr>
        <w:pStyle w:val="NormalHanging12a"/>
        <w:ind w:left="1134"/>
        <w:rPr>
          <w:color w:val="000000"/>
        </w:rPr>
      </w:pPr>
      <w:r w:rsidRPr="0016462C">
        <w:rPr>
          <w:color w:val="000000"/>
        </w:rPr>
        <w:t>2.</w:t>
      </w:r>
      <w:r w:rsidRPr="0016462C">
        <w:rPr>
          <w:color w:val="000000"/>
        </w:rPr>
        <w:tab/>
        <w:t>Saadikutekoja ja Senati liikme suhtes võib alustada kriminaaluurimist või liikme võib kohtu alla anda tegude eest, mis ei ole seotud tema ametiülesannete täitmisel antud häälte või avaldatud poliitiliste arvamustega, kuid teda tohib läbi otsida, kinni pidada ja vahistada vaid selle koja nõusolekul, mille liige ta on, ja pärast seda, kui ta on ära kuulatud. Uurimise algatab ja kohtu alla annab üksnes kassatsioonikohtu juures tegutsev prokuratuur. Sellist kohtuasja on pädev lahendama kassatsioonikohus</w:t>
      </w:r>
      <w:r w:rsidRPr="0016462C" w:rsidR="0017254C">
        <w:rPr>
          <w:color w:val="000000"/>
        </w:rPr>
        <w:t>“</w:t>
      </w:r>
      <w:r w:rsidRPr="0016462C">
        <w:rPr>
          <w:color w:val="000000"/>
        </w:rPr>
        <w:t>;</w:t>
      </w:r>
    </w:p>
    <w:p w:rsidR="00B13FAB" w:rsidRPr="0016462C" w:rsidP="00B13FAB" w14:paraId="6C52208D" w14:textId="3D7D98B7">
      <w:pPr>
        <w:pStyle w:val="NormalHanging12a"/>
        <w:rPr>
          <w:color w:val="000000"/>
        </w:rPr>
      </w:pPr>
      <w:r w:rsidRPr="0016462C">
        <w:rPr>
          <w:color w:val="000000"/>
        </w:rPr>
        <w:t>P.</w:t>
      </w:r>
      <w:r w:rsidRPr="0016462C">
        <w:rPr>
          <w:color w:val="000000"/>
        </w:rPr>
        <w:tab/>
        <w:t xml:space="preserve">arvestades, et protokollis nr 7 (Euroopa Liidu privileegide ja immuniteetide kohta) sätesatud puutumatuse eesmärk on kaitsta </w:t>
      </w:r>
      <w:r w:rsidRPr="0016462C" w:rsidR="0017254C">
        <w:rPr>
          <w:color w:val="000000"/>
        </w:rPr>
        <w:t>Euroopa P</w:t>
      </w:r>
      <w:r w:rsidRPr="0016462C">
        <w:rPr>
          <w:color w:val="000000"/>
        </w:rPr>
        <w:t>arlamenti ja selle liikmeid kohtumenetluse eest, kus käsitletakse parlamendiliikme kohustuste täitmise käigus toimunud ja nendega lahutamatult seotud tegevust;</w:t>
      </w:r>
    </w:p>
    <w:p w:rsidR="00B13FAB" w:rsidRPr="0016462C" w:rsidP="00B13FAB" w14:paraId="25B7B776" w14:textId="1658807F">
      <w:pPr>
        <w:pStyle w:val="NormalHanging12a"/>
        <w:rPr>
          <w:color w:val="000000"/>
        </w:rPr>
      </w:pPr>
      <w:r w:rsidRPr="0016462C">
        <w:rPr>
          <w:color w:val="000000"/>
        </w:rPr>
        <w:t>Q.</w:t>
      </w:r>
      <w:r w:rsidRPr="0016462C">
        <w:rPr>
          <w:color w:val="000000"/>
        </w:rPr>
        <w:tab/>
        <w:t xml:space="preserve">arvestades, et kodukorra artikli 5 lõike 2 kohaselt ei ole parlamentaarne puutumatus parlamendiliikme isiklik eesõigus, vaid </w:t>
      </w:r>
      <w:r w:rsidRPr="0016462C" w:rsidR="0017254C">
        <w:rPr>
          <w:color w:val="000000"/>
        </w:rPr>
        <w:t>Euroopa P</w:t>
      </w:r>
      <w:r w:rsidRPr="0016462C">
        <w:rPr>
          <w:color w:val="000000"/>
        </w:rPr>
        <w:t>arlamendi kui terviku ja selle liikmete sõltumatuse tagatis;</w:t>
      </w:r>
    </w:p>
    <w:p w:rsidR="00B13FAB" w:rsidRPr="0016462C" w:rsidP="00B13FAB" w14:paraId="1405F59F" w14:textId="0DBA4417">
      <w:pPr>
        <w:pStyle w:val="NormalHanging12a"/>
        <w:rPr>
          <w:color w:val="000000"/>
        </w:rPr>
      </w:pPr>
      <w:r w:rsidRPr="0016462C">
        <w:rPr>
          <w:color w:val="000000"/>
        </w:rPr>
        <w:t>R.</w:t>
      </w:r>
      <w:r w:rsidRPr="0016462C">
        <w:rPr>
          <w:color w:val="000000"/>
        </w:rPr>
        <w:tab/>
        <w:t xml:space="preserve">arvestades, et Euroopa Parlament ei ole selle juhtumi puhul leidnud tõendeid </w:t>
      </w:r>
      <w:r w:rsidRPr="0016462C">
        <w:rPr>
          <w:i/>
          <w:color w:val="000000"/>
        </w:rPr>
        <w:t>fumus</w:t>
      </w:r>
      <w:r w:rsidRPr="0016462C">
        <w:rPr>
          <w:i/>
          <w:color w:val="000000"/>
        </w:rPr>
        <w:t xml:space="preserve"> </w:t>
      </w:r>
      <w:r w:rsidRPr="0016462C">
        <w:rPr>
          <w:i/>
          <w:color w:val="000000"/>
        </w:rPr>
        <w:t>persecutionis</w:t>
      </w:r>
      <w:r w:rsidRPr="0016462C">
        <w:rPr>
          <w:color w:val="000000"/>
        </w:rPr>
        <w:t>’e</w:t>
      </w:r>
      <w:r w:rsidRPr="0016462C">
        <w:rPr>
          <w:color w:val="000000"/>
        </w:rPr>
        <w:t xml:space="preserve"> kohta, s.t </w:t>
      </w:r>
      <w:r w:rsidRPr="0016462C" w:rsidR="0017254C">
        <w:rPr>
          <w:color w:val="000000"/>
        </w:rPr>
        <w:t>miski ei viita</w:t>
      </w:r>
      <w:r w:rsidRPr="0016462C">
        <w:rPr>
          <w:color w:val="000000"/>
        </w:rPr>
        <w:t xml:space="preserve"> sellele, et kohtumenetluse tegelik eesmärk on kahjustada Diana </w:t>
      </w:r>
      <w:r w:rsidRPr="0016462C">
        <w:rPr>
          <w:color w:val="000000"/>
        </w:rPr>
        <w:t>Iovanovici</w:t>
      </w:r>
      <w:r w:rsidRPr="0016462C">
        <w:rPr>
          <w:color w:val="000000"/>
        </w:rPr>
        <w:t xml:space="preserve"> </w:t>
      </w:r>
      <w:r w:rsidRPr="0016462C">
        <w:rPr>
          <w:color w:val="000000"/>
        </w:rPr>
        <w:t>Șoșoacă</w:t>
      </w:r>
      <w:r w:rsidRPr="0016462C">
        <w:rPr>
          <w:color w:val="000000"/>
        </w:rPr>
        <w:t xml:space="preserve"> kui Euroopa Parlamendi liikme poliitilist tegevust</w:t>
      </w:r>
      <w:r w:rsidRPr="0016462C" w:rsidR="0017254C">
        <w:rPr>
          <w:color w:val="000000"/>
        </w:rPr>
        <w:t xml:space="preserve"> ja seega Euroopa Parlamendi sõltumatust</w:t>
      </w:r>
      <w:r w:rsidRPr="0016462C">
        <w:rPr>
          <w:color w:val="000000"/>
        </w:rPr>
        <w:t>;</w:t>
      </w:r>
    </w:p>
    <w:p w:rsidR="00B13FAB" w:rsidRPr="0016462C" w:rsidP="00B13FAB" w14:paraId="43ACA0BD" w14:textId="3DD2D915">
      <w:pPr>
        <w:pStyle w:val="NormalHanging12a"/>
        <w:rPr>
          <w:color w:val="000000"/>
        </w:rPr>
      </w:pPr>
      <w:r w:rsidRPr="0016462C">
        <w:rPr>
          <w:color w:val="000000"/>
        </w:rPr>
        <w:t>S.</w:t>
      </w:r>
      <w:r w:rsidRPr="0016462C">
        <w:rPr>
          <w:color w:val="000000"/>
        </w:rPr>
        <w:tab/>
        <w:t xml:space="preserve">arvestades, et esiteks ei saa </w:t>
      </w:r>
      <w:r w:rsidRPr="0016462C" w:rsidR="0017254C">
        <w:rPr>
          <w:color w:val="000000"/>
        </w:rPr>
        <w:t>Euroopa P</w:t>
      </w:r>
      <w:r w:rsidRPr="0016462C">
        <w:rPr>
          <w:color w:val="000000"/>
        </w:rPr>
        <w:t>arlamenti võrdsustada kohtuga ja teiseks ei tohi parlamendiliiget pidada puutumatuse äravõtmise menetluse raames süüdistatavaks</w:t>
      </w:r>
      <w:r>
        <w:rPr>
          <w:color w:val="000000"/>
          <w:vertAlign w:val="superscript"/>
        </w:rPr>
        <w:footnoteReference w:id="3"/>
      </w:r>
      <w:r w:rsidRPr="0016462C">
        <w:rPr>
          <w:color w:val="000000"/>
        </w:rPr>
        <w:t>;</w:t>
      </w:r>
    </w:p>
    <w:p w:rsidR="00B13FAB" w:rsidRPr="0016462C" w:rsidP="00B13FAB" w14:paraId="509F538B" w14:textId="77777777">
      <w:pPr>
        <w:pStyle w:val="NormalHanging12a"/>
        <w:rPr>
          <w:color w:val="000000"/>
        </w:rPr>
      </w:pPr>
      <w:r w:rsidRPr="0016462C">
        <w:rPr>
          <w:color w:val="000000"/>
        </w:rPr>
        <w:t>1.</w:t>
      </w:r>
      <w:r w:rsidRPr="0016462C">
        <w:rPr>
          <w:color w:val="000000"/>
        </w:rPr>
        <w:tab/>
        <w:t xml:space="preserve">otsustab võtta Diana </w:t>
      </w:r>
      <w:r w:rsidRPr="0016462C">
        <w:rPr>
          <w:color w:val="000000"/>
        </w:rPr>
        <w:t>Iovanovici</w:t>
      </w:r>
      <w:r w:rsidRPr="0016462C">
        <w:rPr>
          <w:color w:val="000000"/>
        </w:rPr>
        <w:t xml:space="preserve"> </w:t>
      </w:r>
      <w:r w:rsidRPr="0016462C">
        <w:rPr>
          <w:color w:val="000000"/>
        </w:rPr>
        <w:t>Şoşoacă</w:t>
      </w:r>
      <w:r w:rsidRPr="0016462C">
        <w:rPr>
          <w:color w:val="000000"/>
        </w:rPr>
        <w:t xml:space="preserve"> puutumatuse ära seoses punktides B, C, D, E, F, G ja H osutatud väidetavate süütegudega;</w:t>
      </w:r>
    </w:p>
    <w:p w:rsidR="00B13FAB" w:rsidRPr="0016462C" w:rsidP="00B13FAB" w14:paraId="0B54D005" w14:textId="77777777">
      <w:pPr>
        <w:pStyle w:val="NormalHanging12a"/>
        <w:rPr>
          <w:color w:val="000000"/>
        </w:rPr>
      </w:pPr>
      <w:r w:rsidRPr="0016462C">
        <w:rPr>
          <w:color w:val="000000"/>
        </w:rPr>
        <w:t>2.</w:t>
      </w:r>
      <w:r w:rsidRPr="0016462C">
        <w:rPr>
          <w:color w:val="000000"/>
        </w:rPr>
        <w:tab/>
        <w:t xml:space="preserve">otsustab mitte võtta Diana </w:t>
      </w:r>
      <w:r w:rsidRPr="0016462C">
        <w:rPr>
          <w:color w:val="000000"/>
        </w:rPr>
        <w:t>Iovanovici</w:t>
      </w:r>
      <w:r w:rsidRPr="0016462C">
        <w:rPr>
          <w:color w:val="000000"/>
        </w:rPr>
        <w:t xml:space="preserve"> </w:t>
      </w:r>
      <w:r w:rsidRPr="0016462C">
        <w:rPr>
          <w:color w:val="000000"/>
        </w:rPr>
        <w:t>Şoşoacă</w:t>
      </w:r>
      <w:r w:rsidRPr="0016462C">
        <w:rPr>
          <w:color w:val="000000"/>
        </w:rPr>
        <w:t xml:space="preserve"> puutumatust ära seoses punktis I osutatud väidetava süüteoga;</w:t>
      </w:r>
    </w:p>
    <w:p w:rsidR="00E365E1" w:rsidRPr="0016462C" w:rsidP="00CF634B" w14:paraId="55F4CF28" w14:textId="7107192F">
      <w:pPr>
        <w:pStyle w:val="NormalHanging12a"/>
      </w:pPr>
      <w:r w:rsidRPr="0016462C">
        <w:t>3.</w:t>
      </w:r>
      <w:r w:rsidRPr="0016462C">
        <w:tab/>
        <w:t xml:space="preserve">teeb presidendile ülesandeks edastada käesolev otsus ja vastutava parlamendikomisjoni raport viivitamatult Rumeenia pädevatele ametiasutustele ja Diana </w:t>
      </w:r>
      <w:r w:rsidRPr="0016462C">
        <w:t>Iovanovici</w:t>
      </w:r>
      <w:r w:rsidRPr="0016462C">
        <w:t xml:space="preserve"> </w:t>
      </w:r>
      <w:r w:rsidRPr="0016462C">
        <w:t>Şoşoacăle</w:t>
      </w:r>
      <w:r w:rsidRPr="0016462C">
        <w:t>.</w:t>
      </w:r>
    </w:p>
    <w:sectPr w:rsidSect="0031374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3746" w14:paraId="0DD8AE7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3746" w14:paraId="1D74E59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3746" w14:paraId="1E3DC24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B573D" w:rsidRPr="00313746" w14:paraId="67F78972" w14:textId="77777777">
      <w:r w:rsidRPr="00313746">
        <w:separator/>
      </w:r>
    </w:p>
  </w:footnote>
  <w:footnote w:type="continuationSeparator" w:id="1">
    <w:p w:rsidR="001B573D" w:rsidRPr="00313746" w14:paraId="01EC90E3" w14:textId="77777777">
      <w:r w:rsidRPr="00313746">
        <w:continuationSeparator/>
      </w:r>
    </w:p>
  </w:footnote>
  <w:footnote w:id="2">
    <w:p w:rsidR="00B13FAB" w:rsidRPr="00313746" w:rsidP="00313746" w14:paraId="493857E2" w14:textId="6B5EB334">
      <w:pPr>
        <w:pStyle w:val="FootnoteText"/>
        <w:ind w:left="567" w:hanging="567"/>
        <w:rPr>
          <w:sz w:val="24"/>
          <w:lang w:val="et-EE"/>
        </w:rPr>
      </w:pPr>
      <w:r w:rsidRPr="00313746">
        <w:rPr>
          <w:rStyle w:val="FootnoteReference"/>
          <w:sz w:val="24"/>
          <w:lang w:val="et-EE"/>
        </w:rPr>
        <w:footnoteRef/>
      </w:r>
      <w:r w:rsidRPr="00313746" w:rsidR="00313746">
        <w:rPr>
          <w:sz w:val="24"/>
          <w:lang w:val="et-EE"/>
        </w:rPr>
        <w:tab/>
      </w:r>
      <w:r w:rsidRPr="00313746">
        <w:rPr>
          <w:sz w:val="24"/>
          <w:lang w:val="et-EE"/>
        </w:rPr>
        <w:t xml:space="preserve">Kohtuotsus, Euroopa Kohus, 21. oktoober 2008, </w:t>
      </w:r>
      <w:r w:rsidRPr="00313746">
        <w:rPr>
          <w:sz w:val="24"/>
          <w:lang w:val="et-EE"/>
        </w:rPr>
        <w:t>Marra</w:t>
      </w:r>
      <w:r w:rsidRPr="00313746">
        <w:rPr>
          <w:sz w:val="24"/>
          <w:lang w:val="et-EE"/>
        </w:rPr>
        <w:t xml:space="preserve"> </w:t>
      </w:r>
      <w:r w:rsidRPr="00313746">
        <w:rPr>
          <w:i/>
          <w:sz w:val="24"/>
          <w:lang w:val="et-EE"/>
        </w:rPr>
        <w:t>vs.</w:t>
      </w:r>
      <w:r w:rsidRPr="00313746">
        <w:rPr>
          <w:sz w:val="24"/>
          <w:lang w:val="et-EE"/>
        </w:rPr>
        <w:t xml:space="preserve"> De </w:t>
      </w:r>
      <w:r w:rsidRPr="00313746">
        <w:rPr>
          <w:sz w:val="24"/>
          <w:lang w:val="et-EE"/>
        </w:rPr>
        <w:t>Gregorio</w:t>
      </w:r>
      <w:r w:rsidRPr="00313746">
        <w:rPr>
          <w:sz w:val="24"/>
          <w:lang w:val="et-EE"/>
        </w:rPr>
        <w:t xml:space="preserve"> ja </w:t>
      </w:r>
      <w:r w:rsidRPr="00313746">
        <w:rPr>
          <w:sz w:val="24"/>
          <w:lang w:val="et-EE"/>
        </w:rPr>
        <w:t>Clemente</w:t>
      </w:r>
      <w:r w:rsidRPr="00313746">
        <w:rPr>
          <w:sz w:val="24"/>
          <w:lang w:val="et-EE"/>
        </w:rPr>
        <w:t xml:space="preserve">, C-200/07 ja C-201/07, ECLI:EU:C:2008:579; kohtuotsus, </w:t>
      </w:r>
      <w:r w:rsidRPr="00313746">
        <w:rPr>
          <w:sz w:val="24"/>
          <w:lang w:val="et-EE"/>
        </w:rPr>
        <w:t>Üldkohus</w:t>
      </w:r>
      <w:r w:rsidRPr="00313746">
        <w:rPr>
          <w:sz w:val="24"/>
          <w:lang w:val="et-EE"/>
        </w:rPr>
        <w:t xml:space="preserve">, 19. märts 2010, </w:t>
      </w:r>
      <w:r w:rsidRPr="00313746">
        <w:rPr>
          <w:sz w:val="24"/>
          <w:lang w:val="et-EE"/>
        </w:rPr>
        <w:t>Gollnisch</w:t>
      </w:r>
      <w:r w:rsidRPr="00313746">
        <w:rPr>
          <w:sz w:val="24"/>
          <w:lang w:val="et-EE"/>
        </w:rPr>
        <w:t xml:space="preserve"> </w:t>
      </w:r>
      <w:r w:rsidRPr="00313746">
        <w:rPr>
          <w:i/>
          <w:iCs/>
          <w:sz w:val="24"/>
          <w:lang w:val="et-EE"/>
        </w:rPr>
        <w:t>vs</w:t>
      </w:r>
      <w:r w:rsidRPr="00313746">
        <w:rPr>
          <w:sz w:val="24"/>
          <w:lang w:val="et-EE"/>
        </w:rPr>
        <w:t xml:space="preserve">. </w:t>
      </w:r>
      <w:r w:rsidR="00CF634B">
        <w:rPr>
          <w:sz w:val="24"/>
          <w:lang w:val="et-EE"/>
        </w:rPr>
        <w:t>Euroopa P</w:t>
      </w:r>
      <w:r w:rsidRPr="00313746">
        <w:rPr>
          <w:sz w:val="24"/>
          <w:lang w:val="et-EE"/>
        </w:rPr>
        <w:t xml:space="preserve">arlament, T-42/06, ECLI:EU:T:2010:102; kohtuotsus, Euroopa Kohus, 6. september 2011, </w:t>
      </w:r>
      <w:r w:rsidRPr="00313746">
        <w:rPr>
          <w:sz w:val="24"/>
          <w:lang w:val="et-EE"/>
        </w:rPr>
        <w:t>Patriciello</w:t>
      </w:r>
      <w:r w:rsidRPr="00313746">
        <w:rPr>
          <w:sz w:val="24"/>
          <w:lang w:val="et-EE"/>
        </w:rPr>
        <w:t xml:space="preserve">, C-163/10, ECLI: EU:C:2011:543; kohtuotsus, </w:t>
      </w:r>
      <w:r w:rsidRPr="00313746">
        <w:rPr>
          <w:sz w:val="24"/>
          <w:lang w:val="et-EE"/>
        </w:rPr>
        <w:t>Üldkohus</w:t>
      </w:r>
      <w:r w:rsidRPr="00313746">
        <w:rPr>
          <w:sz w:val="24"/>
          <w:lang w:val="et-EE"/>
        </w:rPr>
        <w:t xml:space="preserve">, 17. jaanuar 2013, </w:t>
      </w:r>
      <w:r w:rsidRPr="00313746">
        <w:rPr>
          <w:sz w:val="24"/>
          <w:lang w:val="et-EE"/>
        </w:rPr>
        <w:t>Gollnisch</w:t>
      </w:r>
      <w:r w:rsidRPr="00313746">
        <w:rPr>
          <w:sz w:val="24"/>
          <w:lang w:val="et-EE"/>
        </w:rPr>
        <w:t xml:space="preserve"> </w:t>
      </w:r>
      <w:r w:rsidRPr="00313746">
        <w:rPr>
          <w:i/>
          <w:iCs/>
          <w:sz w:val="24"/>
          <w:lang w:val="et-EE"/>
        </w:rPr>
        <w:t>vs</w:t>
      </w:r>
      <w:r w:rsidRPr="00313746">
        <w:rPr>
          <w:sz w:val="24"/>
          <w:lang w:val="et-EE"/>
        </w:rPr>
        <w:t xml:space="preserve">. </w:t>
      </w:r>
      <w:r w:rsidR="00CF634B">
        <w:rPr>
          <w:sz w:val="24"/>
          <w:lang w:val="et-EE"/>
        </w:rPr>
        <w:t>Euroopa P</w:t>
      </w:r>
      <w:r w:rsidRPr="00313746">
        <w:rPr>
          <w:sz w:val="24"/>
          <w:lang w:val="et-EE"/>
        </w:rPr>
        <w:t xml:space="preserve">arlament, T-346/11 ja T-347/11, ECLI:EU:T:2013:23; kohtuotsus, Euroopa Kohus, 19. detsember 2019, </w:t>
      </w:r>
      <w:r w:rsidRPr="00313746">
        <w:rPr>
          <w:sz w:val="24"/>
          <w:lang w:val="et-EE"/>
        </w:rPr>
        <w:t>Junqueras</w:t>
      </w:r>
      <w:r w:rsidRPr="00313746">
        <w:rPr>
          <w:sz w:val="24"/>
          <w:lang w:val="et-EE"/>
        </w:rPr>
        <w:t xml:space="preserve"> </w:t>
      </w:r>
      <w:r w:rsidRPr="00313746">
        <w:rPr>
          <w:sz w:val="24"/>
          <w:lang w:val="et-EE"/>
        </w:rPr>
        <w:t>Vies</w:t>
      </w:r>
      <w:r w:rsidRPr="00313746">
        <w:rPr>
          <w:sz w:val="24"/>
          <w:lang w:val="et-EE"/>
        </w:rPr>
        <w:t>, C-502/19, ECLI:EU:C:2019:1115.</w:t>
      </w:r>
    </w:p>
  </w:footnote>
  <w:footnote w:id="3">
    <w:p w:rsidR="00B13FAB" w:rsidRPr="00313746" w:rsidP="00313746" w14:paraId="119058B7" w14:textId="2B0DC2BC">
      <w:pPr>
        <w:pStyle w:val="FootnoteText"/>
        <w:ind w:left="567" w:hanging="567"/>
        <w:rPr>
          <w:sz w:val="24"/>
          <w:lang w:val="et-EE"/>
        </w:rPr>
      </w:pPr>
      <w:r w:rsidRPr="00313746">
        <w:rPr>
          <w:rStyle w:val="FootnoteReference"/>
          <w:sz w:val="24"/>
          <w:lang w:val="et-EE"/>
        </w:rPr>
        <w:footnoteRef/>
      </w:r>
      <w:r w:rsidRPr="00313746" w:rsidR="00313746">
        <w:rPr>
          <w:sz w:val="24"/>
          <w:lang w:val="et-EE"/>
        </w:rPr>
        <w:tab/>
      </w:r>
      <w:r w:rsidRPr="00313746">
        <w:rPr>
          <w:sz w:val="24"/>
          <w:lang w:val="et-EE"/>
        </w:rPr>
        <w:t xml:space="preserve">Kohtuotsus, </w:t>
      </w:r>
      <w:r w:rsidRPr="00313746">
        <w:rPr>
          <w:sz w:val="24"/>
          <w:lang w:val="et-EE"/>
        </w:rPr>
        <w:t>Üldkohus</w:t>
      </w:r>
      <w:r w:rsidRPr="00313746">
        <w:rPr>
          <w:sz w:val="24"/>
          <w:lang w:val="et-EE"/>
        </w:rPr>
        <w:t xml:space="preserve">, 30. aprill 2019, </w:t>
      </w:r>
      <w:r w:rsidRPr="00313746">
        <w:rPr>
          <w:sz w:val="24"/>
          <w:lang w:val="et-EE"/>
        </w:rPr>
        <w:t>Briois</w:t>
      </w:r>
      <w:r w:rsidRPr="00313746">
        <w:rPr>
          <w:sz w:val="24"/>
          <w:lang w:val="et-EE"/>
        </w:rPr>
        <w:t xml:space="preserve"> </w:t>
      </w:r>
      <w:r w:rsidRPr="00313746">
        <w:rPr>
          <w:i/>
          <w:iCs/>
          <w:sz w:val="24"/>
          <w:lang w:val="et-EE"/>
        </w:rPr>
        <w:t>vs</w:t>
      </w:r>
      <w:r w:rsidRPr="00313746">
        <w:rPr>
          <w:sz w:val="24"/>
          <w:lang w:val="et-EE"/>
        </w:rPr>
        <w:t xml:space="preserve">. </w:t>
      </w:r>
      <w:r w:rsidR="0017254C">
        <w:rPr>
          <w:sz w:val="24"/>
          <w:lang w:val="et-EE"/>
        </w:rPr>
        <w:t>Euroopa P</w:t>
      </w:r>
      <w:r w:rsidRPr="00313746">
        <w:rPr>
          <w:sz w:val="24"/>
          <w:lang w:val="et-EE"/>
        </w:rPr>
        <w:t>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3746" w14:paraId="2F1931B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3746" w14:paraId="3452E60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3746" w14:paraId="23AF706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2005350">
    <w:abstractNumId w:val="9"/>
  </w:num>
  <w:num w:numId="2" w16cid:durableId="1250893715">
    <w:abstractNumId w:val="9"/>
  </w:num>
  <w:num w:numId="3" w16cid:durableId="619578812">
    <w:abstractNumId w:val="7"/>
  </w:num>
  <w:num w:numId="4" w16cid:durableId="143281953">
    <w:abstractNumId w:val="7"/>
  </w:num>
  <w:num w:numId="5" w16cid:durableId="2142071041">
    <w:abstractNumId w:val="6"/>
  </w:num>
  <w:num w:numId="6" w16cid:durableId="949043065">
    <w:abstractNumId w:val="6"/>
  </w:num>
  <w:num w:numId="7" w16cid:durableId="795879895">
    <w:abstractNumId w:val="5"/>
  </w:num>
  <w:num w:numId="8" w16cid:durableId="766661543">
    <w:abstractNumId w:val="5"/>
  </w:num>
  <w:num w:numId="9" w16cid:durableId="322469010">
    <w:abstractNumId w:val="4"/>
  </w:num>
  <w:num w:numId="10" w16cid:durableId="1792899219">
    <w:abstractNumId w:val="4"/>
  </w:num>
  <w:num w:numId="11" w16cid:durableId="292641896">
    <w:abstractNumId w:val="8"/>
  </w:num>
  <w:num w:numId="12" w16cid:durableId="345904509">
    <w:abstractNumId w:val="8"/>
  </w:num>
  <w:num w:numId="13" w16cid:durableId="854535256">
    <w:abstractNumId w:val="3"/>
  </w:num>
  <w:num w:numId="14" w16cid:durableId="481390847">
    <w:abstractNumId w:val="3"/>
  </w:num>
  <w:num w:numId="15" w16cid:durableId="1081870132">
    <w:abstractNumId w:val="2"/>
  </w:num>
  <w:num w:numId="16" w16cid:durableId="866942970">
    <w:abstractNumId w:val="2"/>
  </w:num>
  <w:num w:numId="17" w16cid:durableId="1094862011">
    <w:abstractNumId w:val="1"/>
  </w:num>
  <w:num w:numId="18" w16cid:durableId="1277904431">
    <w:abstractNumId w:val="1"/>
  </w:num>
  <w:num w:numId="19" w16cid:durableId="1944339111">
    <w:abstractNumId w:val="0"/>
  </w:num>
  <w:num w:numId="20" w16cid:durableId="576594243">
    <w:abstractNumId w:val="0"/>
  </w:num>
  <w:num w:numId="21" w16cid:durableId="1199975141">
    <w:abstractNumId w:val="9"/>
  </w:num>
  <w:num w:numId="22" w16cid:durableId="870921065">
    <w:abstractNumId w:val="7"/>
  </w:num>
  <w:num w:numId="23" w16cid:durableId="1719553009">
    <w:abstractNumId w:val="6"/>
  </w:num>
  <w:num w:numId="24" w16cid:durableId="129980143">
    <w:abstractNumId w:val="5"/>
  </w:num>
  <w:num w:numId="25" w16cid:durableId="737091360">
    <w:abstractNumId w:val="4"/>
  </w:num>
  <w:num w:numId="26" w16cid:durableId="1470169571">
    <w:abstractNumId w:val="8"/>
  </w:num>
  <w:num w:numId="27" w16cid:durableId="1087724095">
    <w:abstractNumId w:val="3"/>
  </w:num>
  <w:num w:numId="28" w16cid:durableId="2025591755">
    <w:abstractNumId w:val="2"/>
  </w:num>
  <w:num w:numId="29" w16cid:durableId="2110461513">
    <w:abstractNumId w:val="1"/>
  </w:num>
  <w:num w:numId="30" w16cid:durableId="185489895">
    <w:abstractNumId w:val="0"/>
  </w:num>
  <w:num w:numId="31" w16cid:durableId="2055080926">
    <w:abstractNumId w:val="9"/>
  </w:num>
  <w:num w:numId="32" w16cid:durableId="1674988140">
    <w:abstractNumId w:val="7"/>
  </w:num>
  <w:num w:numId="33" w16cid:durableId="1800605034">
    <w:abstractNumId w:val="6"/>
  </w:num>
  <w:num w:numId="34" w16cid:durableId="1519851073">
    <w:abstractNumId w:val="5"/>
  </w:num>
  <w:num w:numId="35" w16cid:durableId="1901792354">
    <w:abstractNumId w:val="4"/>
  </w:num>
  <w:num w:numId="36" w16cid:durableId="560025952">
    <w:abstractNumId w:val="8"/>
  </w:num>
  <w:num w:numId="37" w16cid:durableId="822085406">
    <w:abstractNumId w:val="3"/>
  </w:num>
  <w:num w:numId="38" w16cid:durableId="1159617333">
    <w:abstractNumId w:val="2"/>
  </w:num>
  <w:num w:numId="39" w16cid:durableId="447089005">
    <w:abstractNumId w:val="1"/>
  </w:num>
  <w:num w:numId="40" w16cid:durableId="1374959007">
    <w:abstractNumId w:val="0"/>
  </w:num>
  <w:num w:numId="41" w16cid:durableId="1434478158">
    <w:abstractNumId w:val="10"/>
  </w:num>
  <w:num w:numId="42" w16cid:durableId="286744925">
    <w:abstractNumId w:val="10"/>
  </w:num>
  <w:num w:numId="43" w16cid:durableId="1485127825">
    <w:abstractNumId w:val="10"/>
  </w:num>
  <w:num w:numId="44" w16cid:durableId="5621065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D"/>
    <w:rsid w:val="00002272"/>
    <w:rsid w:val="00064002"/>
    <w:rsid w:val="000677B9"/>
    <w:rsid w:val="000831BA"/>
    <w:rsid w:val="000A42CC"/>
    <w:rsid w:val="000E7DD9"/>
    <w:rsid w:val="0010095E"/>
    <w:rsid w:val="00115490"/>
    <w:rsid w:val="00125B37"/>
    <w:rsid w:val="0016462C"/>
    <w:rsid w:val="0017254C"/>
    <w:rsid w:val="00187494"/>
    <w:rsid w:val="001B573D"/>
    <w:rsid w:val="001F32AE"/>
    <w:rsid w:val="002767FF"/>
    <w:rsid w:val="002B18FE"/>
    <w:rsid w:val="002B5493"/>
    <w:rsid w:val="0031374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6D8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3FAB"/>
    <w:rsid w:val="00B22876"/>
    <w:rsid w:val="00B558F0"/>
    <w:rsid w:val="00B71CF4"/>
    <w:rsid w:val="00B96E04"/>
    <w:rsid w:val="00BD48FE"/>
    <w:rsid w:val="00BD7BD8"/>
    <w:rsid w:val="00BE6ADC"/>
    <w:rsid w:val="00C05BFE"/>
    <w:rsid w:val="00C23CD4"/>
    <w:rsid w:val="00C61C0C"/>
    <w:rsid w:val="00C941CB"/>
    <w:rsid w:val="00CC2357"/>
    <w:rsid w:val="00CF071A"/>
    <w:rsid w:val="00CF634B"/>
    <w:rsid w:val="00D058B8"/>
    <w:rsid w:val="00D25AB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2B2"/>
    <w:rsid w:val="00F74202"/>
    <w:rsid w:val="00F87713"/>
    <w:rsid w:val="00FB4360"/>
    <w:rsid w:val="00FD0C70"/>
  </w:rsids>
  <w:docVars>
    <w:docVar w:name="dvdocse" w:val="A10-0117/2026"/>
    <w:docVar w:name="dvlangue" w:val="ET"/>
    <w:docVar w:name="dvnumam" w:val="0"/>
    <w:docVar w:name="dvpe" w:val="785.318"/>
    <w:docVar w:name="dvrapporteur" w:val="Raportöör: "/>
    <w:docVar w:name="dvtitre" w:val="Euroopa Parlamendi .... 2026. aasta otsus Diana Iovanovici Şoşoacă puutumatuse äravõtmise taotluse kohta(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5DC18D9"/>
  <w15:chartTrackingRefBased/>
  <w15:docId w15:val="{5D9D9EA8-CBD3-442E-BE41-E934BABA4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13FAB"/>
    <w:pPr>
      <w:spacing w:after="240"/>
      <w:ind w:left="567" w:hanging="567"/>
    </w:pPr>
  </w:style>
  <w:style w:type="paragraph" w:customStyle="1" w:styleId="EPComma">
    <w:name w:val="EPComma"/>
    <w:basedOn w:val="Normal"/>
    <w:rsid w:val="00B13FAB"/>
    <w:pPr>
      <w:spacing w:before="480" w:after="240"/>
    </w:pPr>
  </w:style>
  <w:style w:type="paragraph" w:styleId="Revision">
    <w:name w:val="Revision"/>
    <w:hidden/>
    <w:uiPriority w:val="99"/>
    <w:semiHidden/>
    <w:rsid w:val="00CF634B"/>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1327</Words>
  <Characters>9075</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5</cp:revision>
  <cp:lastPrinted>2004-11-19T15:42:00Z</cp:lastPrinted>
  <dcterms:created xsi:type="dcterms:W3CDTF">2026-04-27T12:00:00Z</dcterms:created>
  <dcterms:modified xsi:type="dcterms:W3CDTF">2026-04-28T11:43:00Z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A10-0117/2026</vt:lpwstr>
  </property>
  <property fmtid="{D5CDD505-2E9C-101B-9397-08002B2CF9AE}" pid="4" name="&lt;Type&gt;">
    <vt:lpwstr>RR</vt:lpwstr>
  </property>
</Properties>
</file>