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AEB98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4BC5" w:rsidP="0010095E" w14:paraId="257B3365" w14:textId="77777777">
            <w:pPr>
              <w:pStyle w:val="EPName"/>
            </w:pPr>
            <w:r w:rsidRPr="00144BC5">
              <w:t>Europski parlament</w:t>
            </w:r>
          </w:p>
          <w:p w:rsidR="00751A4A" w:rsidRPr="00144BC5" w:rsidP="005F1B17" w14:paraId="026F7D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4BC5">
              <w:t>2024</w:t>
            </w:r>
            <w:r w:rsidRPr="00144BC5" w:rsidR="00817416">
              <w:t>-202</w:t>
            </w:r>
            <w:r w:rsidRPr="00144BC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4BC5" w:rsidP="0010095E" w14:paraId="0A2CF48F" w14:textId="77777777">
            <w:pPr>
              <w:pStyle w:val="EPLogo"/>
            </w:pPr>
            <w:r w:rsidRPr="00144BC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4BC5" w:rsidP="004C5D52" w14:paraId="3F0FC3D4" w14:textId="77777777">
      <w:pPr>
        <w:pStyle w:val="LineTop"/>
      </w:pPr>
    </w:p>
    <w:p w:rsidR="00680577" w:rsidRPr="00144BC5" w:rsidP="00680577" w14:paraId="5AD86046" w14:textId="77777777">
      <w:pPr>
        <w:pStyle w:val="EPBodyTA1"/>
      </w:pPr>
      <w:r w:rsidRPr="00144BC5">
        <w:t>USVOJENI TEKSTOVI</w:t>
      </w:r>
    </w:p>
    <w:p w:rsidR="00D058B8" w:rsidRPr="00144BC5" w:rsidP="00D058B8" w14:paraId="39F2497A" w14:textId="77777777">
      <w:pPr>
        <w:pStyle w:val="LineBottom"/>
      </w:pPr>
    </w:p>
    <w:p w:rsidR="0063715F" w:rsidRPr="00144BC5" w:rsidP="0063715F" w14:paraId="1EF9A450" w14:textId="014CA8F3">
      <w:pPr>
        <w:pStyle w:val="ATHeading1"/>
      </w:pPr>
      <w:bookmarkStart w:id="0" w:name="TANumber"/>
      <w:r w:rsidRPr="00144BC5">
        <w:t>P10_TA(2026)0</w:t>
      </w:r>
      <w:r w:rsidR="00027C29">
        <w:t>108</w:t>
      </w:r>
      <w:bookmarkEnd w:id="0"/>
    </w:p>
    <w:p w:rsidR="0063715F" w:rsidRPr="00144BC5" w:rsidP="0063715F" w14:paraId="6A21667A" w14:textId="37DDC46D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144BC5">
        <w:t xml:space="preserve">Diani </w:t>
      </w:r>
      <w:r w:rsidRPr="00144BC5">
        <w:t>Iovanovici</w:t>
      </w:r>
      <w:r w:rsidRPr="00144BC5">
        <w:t xml:space="preserve"> Șoșoacă</w:t>
      </w:r>
      <w:bookmarkEnd w:id="1"/>
    </w:p>
    <w:p w:rsidR="0063715F" w:rsidRPr="00144BC5" w:rsidP="0063715F" w14:paraId="1E655939" w14:textId="77777777">
      <w:pPr>
        <w:rPr>
          <w:i/>
          <w:vanish/>
        </w:rPr>
      </w:pPr>
      <w:r>
        <w:rPr>
          <w:i/>
        </w:rPr>
        <w:fldChar w:fldCharType="begin"/>
      </w:r>
      <w:r w:rsidRPr="00144BC5">
        <w:rPr>
          <w:i/>
        </w:rPr>
        <w:instrText xml:space="preserve"> TC"(</w:instrText>
      </w:r>
      <w:bookmarkStart w:id="2" w:name="DocNumber"/>
      <w:r w:rsidRPr="00144BC5">
        <w:rPr>
          <w:i/>
        </w:rPr>
        <w:instrText>A10-0117/2026</w:instrText>
      </w:r>
      <w:bookmarkEnd w:id="2"/>
      <w:r w:rsidRPr="00144BC5">
        <w:rPr>
          <w:i/>
        </w:rPr>
        <w:instrText xml:space="preserve"> - Izvjestitelj: Dominik </w:instrText>
      </w:r>
      <w:r w:rsidRPr="00144BC5">
        <w:rPr>
          <w:i/>
        </w:rPr>
        <w:instrText>Tarczyński</w:instrText>
      </w:r>
      <w:r w:rsidRPr="00144BC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3715F" w:rsidRPr="00144BC5" w:rsidP="0063715F" w14:paraId="311C9FB2" w14:textId="77777777">
      <w:pPr>
        <w:rPr>
          <w:vanish/>
        </w:rPr>
      </w:pPr>
      <w:bookmarkStart w:id="3" w:name="Commission"/>
      <w:r w:rsidRPr="00144BC5">
        <w:rPr>
          <w:vanish/>
        </w:rPr>
        <w:t>Odbor za pravna pitanja</w:t>
      </w:r>
      <w:bookmarkEnd w:id="3"/>
    </w:p>
    <w:p w:rsidR="0063715F" w:rsidRPr="00144BC5" w:rsidP="0063715F" w14:paraId="32274E26" w14:textId="77777777">
      <w:pPr>
        <w:rPr>
          <w:vanish/>
        </w:rPr>
      </w:pPr>
      <w:bookmarkStart w:id="4" w:name="PE"/>
      <w:r w:rsidRPr="00144BC5">
        <w:rPr>
          <w:vanish/>
        </w:rPr>
        <w:t>PE785.318</w:t>
      </w:r>
      <w:bookmarkEnd w:id="4"/>
    </w:p>
    <w:p w:rsidR="0063715F" w:rsidRPr="00144BC5" w:rsidP="0063715F" w14:paraId="28EDE385" w14:textId="56FD8372">
      <w:pPr>
        <w:pStyle w:val="ATHeading3"/>
      </w:pPr>
      <w:bookmarkStart w:id="5" w:name="Sujet"/>
      <w:r w:rsidRPr="00144BC5">
        <w:t xml:space="preserve">Odluka Europskog parlamenta od </w:t>
      </w:r>
      <w:r w:rsidR="00144BC5">
        <w:t>28</w:t>
      </w:r>
      <w:r w:rsidRPr="00144BC5">
        <w:t xml:space="preserve">. </w:t>
      </w:r>
      <w:r w:rsidR="00144BC5">
        <w:t xml:space="preserve">travnja </w:t>
      </w:r>
      <w:r w:rsidRPr="00144BC5">
        <w:t xml:space="preserve">2026. o zahtjevu za ukidanje imuniteta Diani </w:t>
      </w:r>
      <w:r w:rsidRPr="00144BC5">
        <w:t>Iovanovici</w:t>
      </w:r>
      <w:r w:rsidRPr="00144BC5">
        <w:t xml:space="preserve"> Șoșoacă</w:t>
      </w:r>
      <w:bookmarkEnd w:id="5"/>
      <w:r w:rsidRPr="00144BC5">
        <w:t xml:space="preserve"> </w:t>
      </w:r>
      <w:bookmarkStart w:id="6" w:name="References"/>
      <w:r w:rsidRPr="00144BC5">
        <w:t>(2025/2196(IMM))</w:t>
      </w:r>
      <w:bookmarkEnd w:id="6"/>
    </w:p>
    <w:p w:rsidR="00CC7A1A" w:rsidRPr="00144BC5" w:rsidP="00CC7A1A" w14:paraId="0FB5337A" w14:textId="77777777">
      <w:pPr>
        <w:pStyle w:val="EPComma"/>
      </w:pPr>
      <w:bookmarkStart w:id="7" w:name="TextBodyBegin"/>
      <w:bookmarkEnd w:id="7"/>
      <w:r w:rsidRPr="00144BC5">
        <w:rPr>
          <w:i/>
        </w:rPr>
        <w:t>Europski parlament,</w:t>
      </w:r>
    </w:p>
    <w:p w:rsidR="00CC7A1A" w:rsidRPr="00144BC5" w:rsidP="00CC7A1A" w14:paraId="358480EC" w14:textId="681B1610">
      <w:pPr>
        <w:pStyle w:val="NormalHanging12a"/>
      </w:pPr>
      <w:r w:rsidRPr="00144BC5">
        <w:t>–</w:t>
      </w:r>
      <w:r w:rsidRPr="00144BC5">
        <w:tab/>
        <w:t xml:space="preserve">uzimajući u obzir zahtjev za ukidanje imuniteta Diani </w:t>
      </w:r>
      <w:r w:rsidRPr="00144BC5">
        <w:t>Iovanovici</w:t>
      </w:r>
      <w:r w:rsidRPr="00144BC5">
        <w:t xml:space="preserve"> Șoșoacă, zaprimljen </w:t>
      </w:r>
      <w:r w:rsidR="00144BC5">
        <w:t>pismom</w:t>
      </w:r>
      <w:r w:rsidRPr="00144BC5">
        <w:t xml:space="preserve"> rumunjskog ministra pravosuđa od 24. rujna 2025., kojim </w:t>
      </w:r>
      <w:r w:rsidR="00EE7925">
        <w:t>se</w:t>
      </w:r>
      <w:r w:rsidRPr="00144BC5">
        <w:t xml:space="preserve"> </w:t>
      </w:r>
      <w:r w:rsidR="00EE7925">
        <w:t>dostavlja</w:t>
      </w:r>
      <w:r w:rsidRPr="00144BC5">
        <w:t xml:space="preserve"> zahtjev državnog odvjetništva pri Visokom kasacijskom sudu Rumunjske u vezi s kaznenim postupkom pokrenutim protiv Diane </w:t>
      </w:r>
      <w:r w:rsidRPr="00144BC5">
        <w:t>Iovanovici</w:t>
      </w:r>
      <w:r w:rsidRPr="00144BC5">
        <w:t xml:space="preserve"> Șoșoacă, i koji je objavljen u Parlamentu 9. listopada 2025.,</w:t>
      </w:r>
    </w:p>
    <w:p w:rsidR="00CC7A1A" w:rsidRPr="00144BC5" w:rsidP="00CC7A1A" w14:paraId="3752C104" w14:textId="77777777">
      <w:pPr>
        <w:pStyle w:val="NormalHanging12a"/>
      </w:pPr>
      <w:r w:rsidRPr="00144BC5">
        <w:t>–</w:t>
      </w:r>
      <w:r w:rsidRPr="00144BC5">
        <w:tab/>
        <w:t xml:space="preserve">nakon saslušanja Diane </w:t>
      </w:r>
      <w:r w:rsidRPr="00144BC5">
        <w:t>Iovanovici</w:t>
      </w:r>
      <w:r w:rsidRPr="00144BC5">
        <w:t xml:space="preserve"> Șoșoacă 24. ožujka 2026. u skladu s člankom 9. stavkom 6. Poslovnika,</w:t>
      </w:r>
    </w:p>
    <w:p w:rsidR="00CC7A1A" w:rsidRPr="00144BC5" w:rsidP="00CC7A1A" w14:paraId="7CC383C7" w14:textId="77777777">
      <w:pPr>
        <w:pStyle w:val="NormalHanging12a"/>
      </w:pPr>
      <w:r w:rsidRPr="00144BC5">
        <w:t>–</w:t>
      </w:r>
      <w:r w:rsidRPr="00144BC5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CC7A1A" w:rsidRPr="00144BC5" w:rsidP="00CC7A1A" w14:paraId="73A35483" w14:textId="77777777">
      <w:pPr>
        <w:pStyle w:val="NormalHanging12a"/>
      </w:pPr>
      <w:r w:rsidRPr="00144BC5">
        <w:t>–</w:t>
      </w:r>
      <w:r w:rsidRPr="00144BC5">
        <w:tab/>
        <w:t>uzimajući u obzir presude Suda Europske unije od 21. listopada 2008., 19. ožujka 2010., 6. rujna 2011., 17. siječnja 2013. i 19. prosinca 2019.</w:t>
      </w:r>
      <w:r>
        <w:rPr>
          <w:vertAlign w:val="superscript"/>
        </w:rPr>
        <w:footnoteReference w:id="2"/>
      </w:r>
      <w:r w:rsidRPr="00144BC5">
        <w:t>,</w:t>
      </w:r>
    </w:p>
    <w:p w:rsidR="00CC7A1A" w:rsidRPr="00144BC5" w:rsidP="00CC7A1A" w14:paraId="5BEE2318" w14:textId="77777777">
      <w:pPr>
        <w:pStyle w:val="NormalHanging12a"/>
      </w:pPr>
      <w:r w:rsidRPr="00144BC5">
        <w:t>–</w:t>
      </w:r>
      <w:r w:rsidRPr="00144BC5">
        <w:tab/>
        <w:t>uzimajući u obzir članak 72. stavke 1. i 2. rumunjskog Ustava,</w:t>
      </w:r>
    </w:p>
    <w:p w:rsidR="00CC7A1A" w:rsidRPr="00144BC5" w:rsidP="00CC7A1A" w14:paraId="59C53326" w14:textId="77777777">
      <w:pPr>
        <w:pStyle w:val="NormalHanging12a"/>
      </w:pPr>
      <w:r w:rsidRPr="00144BC5">
        <w:t>–</w:t>
      </w:r>
      <w:r w:rsidRPr="00144BC5">
        <w:tab/>
        <w:t>uzimajući u obzir članak 5. stavak 2., članak 6. stavak 1. i članak 9. Poslovnika,</w:t>
      </w:r>
    </w:p>
    <w:p w:rsidR="00CC7A1A" w:rsidRPr="00144BC5" w:rsidP="00CC7A1A" w14:paraId="7D481410" w14:textId="77777777">
      <w:pPr>
        <w:pStyle w:val="NormalHanging12a"/>
      </w:pPr>
      <w:r w:rsidRPr="00144BC5">
        <w:t>–</w:t>
      </w:r>
      <w:r w:rsidRPr="00144BC5">
        <w:tab/>
        <w:t>uzimajući u obzir izvješće Odbora za pravna pitanja (A10</w:t>
      </w:r>
      <w:r w:rsidRPr="00144BC5">
        <w:noBreakHyphen/>
        <w:t>0117/2026),</w:t>
      </w:r>
    </w:p>
    <w:p w:rsidR="00CC7A1A" w:rsidRPr="00144BC5" w:rsidP="00CC7A1A" w14:paraId="5136B328" w14:textId="752822B8">
      <w:pPr>
        <w:pStyle w:val="NormalHanging12a"/>
        <w:rPr>
          <w:color w:val="000000"/>
        </w:rPr>
      </w:pPr>
      <w:r w:rsidRPr="00144BC5">
        <w:t>A.</w:t>
      </w:r>
      <w:r w:rsidRPr="00144BC5">
        <w:tab/>
        <w:t xml:space="preserve">budući da je rumunjski ministar pravosuđa pismom od 24. rujna 2025. </w:t>
      </w:r>
      <w:r w:rsidR="00EE7925">
        <w:t>dostavio</w:t>
      </w:r>
      <w:r w:rsidRPr="00144BC5">
        <w:t xml:space="preserve"> zahtjev </w:t>
      </w:r>
      <w:r w:rsidRPr="00144BC5" w:rsidR="009E5425">
        <w:t>državno</w:t>
      </w:r>
      <w:r w:rsidR="009E5425">
        <w:t>g</w:t>
      </w:r>
      <w:r w:rsidRPr="00144BC5" w:rsidR="009E5425">
        <w:t xml:space="preserve"> odvjetništv</w:t>
      </w:r>
      <w:r w:rsidR="009E5425">
        <w:t>a</w:t>
      </w:r>
      <w:r w:rsidRPr="00144BC5" w:rsidR="009E5425">
        <w:t xml:space="preserve"> pri Visokom kasacijskom sudu Rumunjske </w:t>
      </w:r>
      <w:r w:rsidRPr="00144BC5">
        <w:t xml:space="preserve">za ukidanje imuniteta Diani </w:t>
      </w:r>
      <w:r w:rsidRPr="00144BC5">
        <w:t>Iovanovici</w:t>
      </w:r>
      <w:r w:rsidRPr="00144BC5">
        <w:t xml:space="preserve"> </w:t>
      </w:r>
      <w:r w:rsidRPr="00144BC5">
        <w:t>Şoşoacă</w:t>
      </w:r>
      <w:r w:rsidRPr="00144BC5">
        <w:t xml:space="preserve">, zastupnici u Europskom parlamentu izabranoj u Rumunjskoj, u vezi s kaznenim postupcima koji se odnose na nekoliko kaznenih djela navodno počinjenih na različite </w:t>
      </w:r>
      <w:r w:rsidRPr="00144BC5">
        <w:rPr>
          <w:color w:val="000000"/>
        </w:rPr>
        <w:t>datume u razdoblju od 10. prosinca 2021. do 11. veljače 2025.;</w:t>
      </w:r>
    </w:p>
    <w:p w:rsidR="00CC7A1A" w:rsidRPr="00144BC5" w:rsidP="00CC7A1A" w14:paraId="3A83DD6C" w14:textId="1FC8E794">
      <w:pPr>
        <w:pStyle w:val="NormalHanging12a"/>
        <w:rPr>
          <w:color w:val="000000"/>
        </w:rPr>
      </w:pPr>
      <w:r w:rsidRPr="00144BC5">
        <w:rPr>
          <w:color w:val="000000"/>
        </w:rPr>
        <w:t>B.</w:t>
      </w:r>
      <w:r w:rsidRPr="00144BC5">
        <w:rPr>
          <w:color w:val="000000"/>
        </w:rPr>
        <w:tab/>
        <w:t xml:space="preserve">budući da su, prema zahtjevu, tri osobe podnijele pritužbu da su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i drugi 10. prosinca 2021. </w:t>
      </w:r>
      <w:r w:rsidR="00144BC5">
        <w:rPr>
          <w:color w:val="000000"/>
        </w:rPr>
        <w:t xml:space="preserve">navodno </w:t>
      </w:r>
      <w:r w:rsidRPr="00144BC5">
        <w:rPr>
          <w:color w:val="000000"/>
        </w:rPr>
        <w:t xml:space="preserve">lišili podnositelje pritužbe i </w:t>
      </w:r>
      <w:r w:rsidR="009E5425">
        <w:rPr>
          <w:color w:val="000000"/>
        </w:rPr>
        <w:t>četvrtu</w:t>
      </w:r>
      <w:r w:rsidRPr="00144BC5">
        <w:rPr>
          <w:color w:val="000000"/>
        </w:rPr>
        <w:t xml:space="preserve"> osobu slobode na otprilike 20 minuta, od 15:40 do 16:00, u jednom stanu u Bukureštu; budući da je navodna radnja kazneno djelo u skladu s člankom 205. stavkom 1. rumunjskog Kaznenog zakonika;</w:t>
      </w:r>
    </w:p>
    <w:p w:rsidR="00CC7A1A" w:rsidRPr="00144BC5" w:rsidP="00CC7A1A" w14:paraId="6FD2548B" w14:textId="7968E09E">
      <w:pPr>
        <w:pStyle w:val="NormalHanging12a"/>
        <w:rPr>
          <w:color w:val="000000"/>
        </w:rPr>
      </w:pPr>
      <w:r w:rsidRPr="00144BC5">
        <w:rPr>
          <w:color w:val="000000"/>
        </w:rPr>
        <w:t>C.</w:t>
      </w:r>
      <w:r w:rsidRPr="00144BC5">
        <w:rPr>
          <w:color w:val="000000"/>
        </w:rPr>
        <w:tab/>
        <w:t>budući da je, prema zahtjevu, nacionalni institut rumunjske vlade za proučavanje holokausta u Rumunjskoj „</w:t>
      </w:r>
      <w:r w:rsidRPr="00144BC5">
        <w:rPr>
          <w:color w:val="000000"/>
        </w:rPr>
        <w:t>Elie</w:t>
      </w:r>
      <w:r w:rsidRPr="00144BC5">
        <w:rPr>
          <w:color w:val="000000"/>
        </w:rPr>
        <w:t xml:space="preserve"> </w:t>
      </w:r>
      <w:r w:rsidRPr="00144BC5">
        <w:rPr>
          <w:color w:val="000000"/>
        </w:rPr>
        <w:t>Wiesel</w:t>
      </w:r>
      <w:r w:rsidRPr="00144BC5">
        <w:rPr>
          <w:color w:val="000000"/>
        </w:rPr>
        <w:t xml:space="preserve">” 28. veljače 2024. obavijestio pravosudna tijela da je 19. veljače 2024. na službenoj internetskoj stranici stranke SOS </w:t>
      </w:r>
      <w:r w:rsidRPr="00144BC5">
        <w:rPr>
          <w:color w:val="000000"/>
        </w:rPr>
        <w:t>România</w:t>
      </w:r>
      <w:r w:rsidRPr="00144BC5">
        <w:rPr>
          <w:color w:val="000000"/>
        </w:rPr>
        <w:t xml:space="preserve"> objavljeno priopćenje za medije te stranke, koje je potpisala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kao njezina predsjednica, u kojem je navodno veličala osobu osuđenu za ratne zločine na temelju rumunjskog Zakona br. 312/1945 za kazneni progon i kažnjavanje </w:t>
      </w:r>
      <w:r w:rsidR="00B37CCF">
        <w:rPr>
          <w:color w:val="000000"/>
        </w:rPr>
        <w:t xml:space="preserve">tih </w:t>
      </w:r>
      <w:r w:rsidRPr="00144BC5">
        <w:rPr>
          <w:color w:val="000000"/>
        </w:rPr>
        <w:t xml:space="preserve">osoba odgovornih za katastrofu </w:t>
      </w:r>
      <w:r w:rsidR="00B37CCF">
        <w:rPr>
          <w:color w:val="000000"/>
        </w:rPr>
        <w:t xml:space="preserve">u zemlji </w:t>
      </w:r>
      <w:r w:rsidRPr="00144BC5">
        <w:rPr>
          <w:color w:val="000000"/>
        </w:rPr>
        <w:t>ili ratne zločine; budući da je navodna radnja kazneno djelo u skladu s člankom 5. Uredbe sa zakonskom snagom br. 31/2002 Rumunjske;</w:t>
      </w:r>
    </w:p>
    <w:p w:rsidR="00CC7A1A" w:rsidRPr="00144BC5" w:rsidP="00CC7A1A" w14:paraId="7302504E" w14:textId="2D03ABE2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D.</w:t>
      </w:r>
      <w:r w:rsidRPr="00144BC5">
        <w:rPr>
          <w:color w:val="000000"/>
        </w:rPr>
        <w:tab/>
        <w:t xml:space="preserve">budući da je, prema zahtjevu, Centar za praćenje i suzbijanje antisemitizma u Rumunjskoj 27. svibnja 2024. izvijestio da je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13. i 14. svibnja 2024., dok je boravila u prostorima rumunjskog parlamenta, </w:t>
      </w:r>
      <w:r w:rsidR="009E5425">
        <w:rPr>
          <w:color w:val="000000"/>
        </w:rPr>
        <w:t xml:space="preserve">navodno </w:t>
      </w:r>
      <w:r w:rsidRPr="00144BC5">
        <w:rPr>
          <w:color w:val="000000"/>
        </w:rPr>
        <w:t>dala javne izjave, među ostalim putem svojeg javnog računa na Facebooku, u kojima je kolektivno optužila Židove za povijesne zločine protiv rumunjskog naroda; budući da je navodna radnja kazneno djelo u skladu s člankom 3. rumunjskog Zakona br. 157/2018 o mjerama za sprečavanje i suzbijanje antisemitizma;</w:t>
      </w:r>
    </w:p>
    <w:p w:rsidR="00CC7A1A" w:rsidRPr="00144BC5" w:rsidP="00CC7A1A" w14:paraId="3ACFAB42" w14:textId="4AF931F7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E.</w:t>
      </w:r>
      <w:r w:rsidRPr="00144BC5">
        <w:rPr>
          <w:color w:val="000000"/>
        </w:rPr>
        <w:tab/>
        <w:t xml:space="preserve">budući da je, prema zahtjevu,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14. svibnja 2024., dok je boravila u prostorima rumunjskog parlamenta kako bi prisustvovala zajedničkoj sjednici </w:t>
      </w:r>
      <w:r w:rsidR="00B37CCF">
        <w:rPr>
          <w:color w:val="000000"/>
        </w:rPr>
        <w:t xml:space="preserve">rumunjskog </w:t>
      </w:r>
      <w:r w:rsidRPr="00144BC5">
        <w:rPr>
          <w:color w:val="000000"/>
        </w:rPr>
        <w:t xml:space="preserve">Zastupničkog doma i Senata, </w:t>
      </w:r>
      <w:r w:rsidR="00B37CCF">
        <w:rPr>
          <w:color w:val="000000"/>
        </w:rPr>
        <w:t xml:space="preserve">navodno </w:t>
      </w:r>
      <w:r w:rsidRPr="00144BC5">
        <w:rPr>
          <w:color w:val="000000"/>
        </w:rPr>
        <w:t>dala izjave u kojima je kolektivno optužila Židove za povijesne zločine protiv rumunjskog naroda; budući da je navodna radnja kazneno djelo u skladu s člankom 6. stavkom 1. Uredbe sa zakonskom snagom br. 31/2002 Rumunjske;</w:t>
      </w:r>
    </w:p>
    <w:p w:rsidR="00CC7A1A" w:rsidRPr="00144BC5" w:rsidP="00CC7A1A" w14:paraId="4BE9E49C" w14:textId="009A9112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F.</w:t>
      </w:r>
      <w:r w:rsidRPr="00144BC5">
        <w:rPr>
          <w:color w:val="000000"/>
        </w:rPr>
        <w:tab/>
        <w:t xml:space="preserve">budući da je, prema zahtjevu, Diana </w:t>
      </w:r>
      <w:r w:rsidRPr="00144BC5">
        <w:rPr>
          <w:color w:val="000000"/>
        </w:rPr>
        <w:t>I</w:t>
      </w:r>
      <w:r w:rsidR="009E5425">
        <w:rPr>
          <w:color w:val="000000"/>
        </w:rPr>
        <w:t>o</w:t>
      </w:r>
      <w:r w:rsidRPr="00144BC5">
        <w:rPr>
          <w:color w:val="000000"/>
        </w:rPr>
        <w:t>vanovici</w:t>
      </w:r>
      <w:r w:rsidRPr="00144BC5">
        <w:rPr>
          <w:color w:val="000000"/>
        </w:rPr>
        <w:t xml:space="preserve"> Șoșoacă 5. i 6. listopada 2024. </w:t>
      </w:r>
      <w:r w:rsidR="009E5425">
        <w:rPr>
          <w:color w:val="000000"/>
        </w:rPr>
        <w:t xml:space="preserve">navodno </w:t>
      </w:r>
      <w:r w:rsidRPr="00144BC5">
        <w:rPr>
          <w:color w:val="000000"/>
        </w:rPr>
        <w:t>dala nekoliko javnih izjava putem interneta u kojima veliča određene osobe i pokrete za koje se u skladu s rumunjskim nacionalnim pravom smatra da su počinili ratne zločine ili sudjelovali u njima te u kojima kolektivno optužuje Židove za povijesne i vjerske zločine; budući da su navodne radnje kaznena djela u skladu s člankom 5. Uredbe sa zakonskom snagom br. 31/2002 Rumunjske;</w:t>
      </w:r>
    </w:p>
    <w:p w:rsidR="00CC7A1A" w:rsidRPr="00144BC5" w:rsidP="00CC7A1A" w14:paraId="66F40225" w14:textId="63B0EA79">
      <w:pPr>
        <w:pStyle w:val="NormalHanging12a"/>
        <w:rPr>
          <w:color w:val="000000"/>
        </w:rPr>
      </w:pPr>
      <w:r w:rsidRPr="00144BC5">
        <w:rPr>
          <w:color w:val="000000"/>
        </w:rPr>
        <w:t>G.</w:t>
      </w:r>
      <w:r w:rsidRPr="00144BC5">
        <w:rPr>
          <w:color w:val="000000"/>
        </w:rPr>
        <w:tab/>
        <w:t xml:space="preserve">budući da je, prema zahtjevu, Diana </w:t>
      </w:r>
      <w:r w:rsidRPr="00144BC5">
        <w:rPr>
          <w:color w:val="000000"/>
        </w:rPr>
        <w:t>I</w:t>
      </w:r>
      <w:r w:rsidR="009E5425">
        <w:rPr>
          <w:color w:val="000000"/>
        </w:rPr>
        <w:t>o</w:t>
      </w:r>
      <w:r w:rsidRPr="00144BC5">
        <w:rPr>
          <w:color w:val="000000"/>
        </w:rPr>
        <w:t>vanovici</w:t>
      </w:r>
      <w:r w:rsidRPr="00144BC5">
        <w:rPr>
          <w:color w:val="000000"/>
        </w:rPr>
        <w:t xml:space="preserve"> Șoșoacă 1. prosinca 2024. </w:t>
      </w:r>
      <w:r w:rsidR="00743C43">
        <w:rPr>
          <w:color w:val="000000"/>
        </w:rPr>
        <w:t xml:space="preserve">navodno </w:t>
      </w:r>
      <w:r w:rsidRPr="00144BC5">
        <w:rPr>
          <w:color w:val="000000"/>
        </w:rPr>
        <w:t>javno veličala osobu osuđenu za ratne zločine u skladu s rumunjskim nacionalnim pravom u svojim izjavama na internetu te javnim promicanjem legionarskih, rasističkih i ksenofobnih ideja i koncepata u vezi sa židovskom zajednicom; budući da su navodne radnje kaznena djela u skladu s člankom 5. Uredbe sa zakonskom snagom br. 31/2002 Rumunjske;</w:t>
      </w:r>
    </w:p>
    <w:p w:rsidR="00CC7A1A" w:rsidRPr="00144BC5" w:rsidP="00CC7A1A" w14:paraId="3A033E9A" w14:textId="1F0D14F4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H.</w:t>
      </w:r>
      <w:r w:rsidRPr="00144BC5">
        <w:rPr>
          <w:color w:val="000000"/>
        </w:rPr>
        <w:tab/>
        <w:t xml:space="preserve">budući da je, prema zahtjevu,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15. prosinca 2024. </w:t>
      </w:r>
      <w:r w:rsidR="00B37CCF">
        <w:rPr>
          <w:color w:val="000000"/>
        </w:rPr>
        <w:t xml:space="preserve">navodno </w:t>
      </w:r>
      <w:r w:rsidRPr="00144BC5">
        <w:rPr>
          <w:color w:val="000000"/>
        </w:rPr>
        <w:t xml:space="preserve">izravno zaprijetila nasiljem dvama policijskim službenicima na dužnosti u vezi s </w:t>
      </w:r>
      <w:r w:rsidRPr="00144BC5">
        <w:rPr>
          <w:color w:val="000000"/>
        </w:rPr>
        <w:t>prethodno izrečenom administrativnom novčanom kaznom; budući da je navodna radnja kazneno djelo u skladu s člankom 257. stavcima 1. i 4. Rumunjskog Kaznenog zakonika;</w:t>
      </w:r>
    </w:p>
    <w:p w:rsidR="00CC7A1A" w:rsidRPr="00144BC5" w:rsidP="00CC7A1A" w14:paraId="298568C6" w14:textId="68E804EE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I.</w:t>
      </w:r>
      <w:r w:rsidRPr="00144BC5">
        <w:rPr>
          <w:color w:val="000000"/>
        </w:rPr>
        <w:tab/>
        <w:t xml:space="preserve">budući da je, prema zahtjevu, 25. veljače 2025. Institut za istragu komunističkih zločina i sjećanje na rumunjski egzil, koji je vladina organizacija, obavijestio pravosudna tijela da je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11. veljače 2025. održala govor na plenarnoj sjednici Europskog parlamenta, tijekom kojeg je </w:t>
      </w:r>
      <w:r w:rsidR="00B37CCF">
        <w:rPr>
          <w:color w:val="000000"/>
        </w:rPr>
        <w:t xml:space="preserve">navodno </w:t>
      </w:r>
      <w:r w:rsidRPr="00144BC5">
        <w:rPr>
          <w:color w:val="000000"/>
        </w:rPr>
        <w:t xml:space="preserve">svojim kolegama preporučila da razviju strategije vanjske politike po uzoru na </w:t>
      </w:r>
      <w:r w:rsidRPr="00144BC5">
        <w:rPr>
          <w:color w:val="000000"/>
        </w:rPr>
        <w:t>Nicolaea</w:t>
      </w:r>
      <w:r w:rsidRPr="00144BC5">
        <w:rPr>
          <w:color w:val="000000"/>
        </w:rPr>
        <w:t xml:space="preserve"> </w:t>
      </w:r>
      <w:r w:rsidRPr="00144BC5">
        <w:rPr>
          <w:color w:val="000000"/>
        </w:rPr>
        <w:t>Ceaușescua</w:t>
      </w:r>
      <w:r w:rsidRPr="00144BC5">
        <w:rPr>
          <w:color w:val="000000"/>
        </w:rPr>
        <w:t>, koji je osuđen za genocid u skladu s presudom Teritorijalnog vojnog suda u Bukureštu od 25. prosinca 1989.; budući da je navodna radnja kazneno djelo u skladu s člankom 5. Uredbe sa zakonskom snagom br. 31/2002 Rumunjske;</w:t>
      </w:r>
    </w:p>
    <w:p w:rsidR="00CC7A1A" w:rsidRPr="00144BC5" w:rsidP="00CC7A1A" w14:paraId="7E112AB3" w14:textId="4741A777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J.</w:t>
      </w:r>
      <w:r w:rsidRPr="00144BC5">
        <w:rPr>
          <w:color w:val="000000"/>
        </w:rPr>
        <w:tab/>
        <w:t xml:space="preserve">budući da je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izabrana u Europski parlament na europskim izborima u lipnju 2024. te da stoga nije bila zastupnica u Europskom parlamentu u vrijeme počinjenja navodnih radnji navedenih u zahtjevu</w:t>
      </w:r>
      <w:r w:rsidR="00743C43">
        <w:rPr>
          <w:color w:val="000000"/>
        </w:rPr>
        <w:t>,</w:t>
      </w:r>
      <w:r w:rsidRPr="00144BC5">
        <w:rPr>
          <w:color w:val="000000"/>
        </w:rPr>
        <w:t xml:space="preserve"> </w:t>
      </w:r>
      <w:r w:rsidR="00743C43">
        <w:rPr>
          <w:color w:val="000000"/>
        </w:rPr>
        <w:t>počinjenih</w:t>
      </w:r>
      <w:r w:rsidRPr="00144BC5" w:rsidR="00743C43">
        <w:rPr>
          <w:color w:val="000000"/>
        </w:rPr>
        <w:t xml:space="preserve"> </w:t>
      </w:r>
      <w:r w:rsidRPr="00144BC5">
        <w:rPr>
          <w:color w:val="000000"/>
        </w:rPr>
        <w:t xml:space="preserve">10. prosinca 2021., 19. veljače 2024. te 13. i 14. svibnja 2024.; budući da je Diana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bila zastupnica u Europskom parlamentu u vrijeme navodnih radnji navedenih u zahtjevu</w:t>
      </w:r>
      <w:r w:rsidR="00743C43">
        <w:rPr>
          <w:color w:val="000000"/>
        </w:rPr>
        <w:t>, počinjenih</w:t>
      </w:r>
      <w:r w:rsidRPr="00144BC5">
        <w:rPr>
          <w:color w:val="000000"/>
        </w:rPr>
        <w:t xml:space="preserve"> 5. i 6. listopada 2024., 1. prosinca 2024., 15. prosinca 2024. i 11. veljače 2025.; budući da su, osim pritužbi ili kaznenih postupaka protiv Diane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u vezi s navodnim radnjama od 10. prosinca 2021. i 19. veljače 2024., svi drugi kazneni postupci pokrenuti nakon njezina izbora za zastupnicu u Europskom parlamentu;</w:t>
      </w:r>
    </w:p>
    <w:p w:rsidR="00CC7A1A" w:rsidRPr="00144BC5" w:rsidP="00CC7A1A" w14:paraId="73A00CC3" w14:textId="77777777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K.</w:t>
      </w:r>
      <w:r w:rsidRPr="00144BC5">
        <w:rPr>
          <w:color w:val="000000"/>
        </w:rPr>
        <w:tab/>
        <w:t>budući da se u članku 8. Protokola br. 7 o povlasticama i imunitetima Europske unije utvrđuje da zastupnici u Europskom parlamentu „ne mogu biti podvrgnuti nikakvom obliku ispitivanja, zadržavanja ili sudskog postupka zbog izraženih mišljenja ili glasovanja pri obnašanju svojih dužnosti”;</w:t>
      </w:r>
    </w:p>
    <w:p w:rsidR="00CC7A1A" w:rsidRPr="00144BC5" w:rsidP="00CC7A1A" w14:paraId="5E1678DE" w14:textId="05045165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L.</w:t>
      </w:r>
      <w:r w:rsidRPr="00144BC5">
        <w:rPr>
          <w:color w:val="000000"/>
        </w:rPr>
        <w:tab/>
        <w:t xml:space="preserve">budući da navodno kazneno djelo počinjeno 11. veljače 2025. u vezi s navodnim veličanjem </w:t>
      </w:r>
      <w:r w:rsidRPr="00144BC5">
        <w:rPr>
          <w:color w:val="000000"/>
        </w:rPr>
        <w:t>Nicolaea</w:t>
      </w:r>
      <w:r w:rsidRPr="00144BC5">
        <w:rPr>
          <w:color w:val="000000"/>
        </w:rPr>
        <w:t xml:space="preserve"> </w:t>
      </w:r>
      <w:r w:rsidRPr="00144BC5">
        <w:rPr>
          <w:color w:val="000000"/>
        </w:rPr>
        <w:t>Ceaușescua</w:t>
      </w:r>
      <w:r w:rsidRPr="00144BC5">
        <w:rPr>
          <w:color w:val="000000"/>
        </w:rPr>
        <w:t xml:space="preserve">, osuđenog za ratne zločine u skladu s rumunjskim nacionalnim pravom, uključuje izjavu na plenarnoj sjednici Europskog parlamenta u Strasbourgu tijekom rasprave o široj sveobuhvatnoj strategiji EU-a za Bliski istok; budući da ta izjava stoga </w:t>
      </w:r>
      <w:r w:rsidR="00743C43">
        <w:rPr>
          <w:color w:val="000000"/>
        </w:rPr>
        <w:t xml:space="preserve">predstavlja </w:t>
      </w:r>
      <w:r w:rsidRPr="00144BC5">
        <w:rPr>
          <w:color w:val="000000"/>
        </w:rPr>
        <w:t xml:space="preserve">izraženo mišljenje ili glasovanje Diane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u okviru obnašanja </w:t>
      </w:r>
      <w:r w:rsidR="00743C43">
        <w:rPr>
          <w:color w:val="000000"/>
        </w:rPr>
        <w:t xml:space="preserve">njezinih </w:t>
      </w:r>
      <w:r w:rsidRPr="00144BC5">
        <w:rPr>
          <w:color w:val="000000"/>
        </w:rPr>
        <w:t>dužnosti u smislu članka 8. Protokola br. 7 o povlasticama i imunitetima Europske unije;</w:t>
      </w:r>
    </w:p>
    <w:p w:rsidR="00CC7A1A" w:rsidRPr="00144BC5" w:rsidP="00CC7A1A" w14:paraId="1F27C95F" w14:textId="19371B9A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M.</w:t>
      </w:r>
      <w:r w:rsidRPr="00144BC5">
        <w:rPr>
          <w:color w:val="000000"/>
        </w:rPr>
        <w:tab/>
        <w:t xml:space="preserve">budući da sva druga navodna kaznena djela </w:t>
      </w:r>
      <w:r w:rsidR="00743C43">
        <w:rPr>
          <w:color w:val="000000"/>
        </w:rPr>
        <w:t xml:space="preserve">ne predstavljaju </w:t>
      </w:r>
      <w:r w:rsidRPr="00144BC5">
        <w:rPr>
          <w:color w:val="000000"/>
        </w:rPr>
        <w:t xml:space="preserve">i s njima povezan zahtjev za ukidanje imuniteta Diani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Șoșoacă nisu povezani s izraženim mišljenjem ili glasovanjem pri obnašanju dužnosti u smislu članka 8. Protokola br. 7 o povlasticama i imunitetima Europske unije;</w:t>
      </w:r>
    </w:p>
    <w:p w:rsidR="00CC7A1A" w:rsidRPr="00144BC5" w:rsidP="00CC7A1A" w14:paraId="54650A7E" w14:textId="10964789">
      <w:pPr>
        <w:pStyle w:val="NormalHanging12a"/>
        <w:rPr>
          <w:bCs/>
          <w:iCs/>
          <w:color w:val="000000"/>
        </w:rPr>
      </w:pPr>
      <w:r w:rsidRPr="00144BC5">
        <w:rPr>
          <w:color w:val="000000"/>
        </w:rPr>
        <w:t>N.</w:t>
      </w:r>
      <w:r w:rsidRPr="00144BC5">
        <w:rPr>
          <w:color w:val="000000"/>
        </w:rPr>
        <w:tab/>
        <w:t xml:space="preserve">budući da u skladu s člankom 9. prvim stavkom točkom (a) Protokola br. 7 o povlasticama i imunitetima Europske unije, tijekom zasjedanja Europskog parlamenta, njegovi zastupnici na </w:t>
      </w:r>
      <w:r w:rsidR="007F498A">
        <w:rPr>
          <w:color w:val="000000"/>
        </w:rPr>
        <w:t>državnom</w:t>
      </w:r>
      <w:r w:rsidRPr="00144BC5">
        <w:rPr>
          <w:color w:val="000000"/>
        </w:rPr>
        <w:t xml:space="preserve"> području svoje države uživaju imunitet </w:t>
      </w:r>
      <w:r w:rsidR="007F498A">
        <w:rPr>
          <w:color w:val="000000"/>
        </w:rPr>
        <w:t>priznat</w:t>
      </w:r>
      <w:r w:rsidRPr="00144BC5">
        <w:rPr>
          <w:color w:val="000000"/>
        </w:rPr>
        <w:t xml:space="preserve"> zastupnicima u parlamentu </w:t>
      </w:r>
      <w:r w:rsidR="007F498A">
        <w:rPr>
          <w:color w:val="000000"/>
        </w:rPr>
        <w:t>te</w:t>
      </w:r>
      <w:r w:rsidRPr="00144BC5">
        <w:rPr>
          <w:color w:val="000000"/>
        </w:rPr>
        <w:t xml:space="preserve"> države članice;</w:t>
      </w:r>
    </w:p>
    <w:p w:rsidR="00CC7A1A" w:rsidRPr="00144BC5" w:rsidP="00CC7A1A" w14:paraId="43505A77" w14:textId="77777777">
      <w:pPr>
        <w:pStyle w:val="NormalHanging12a"/>
        <w:rPr>
          <w:color w:val="000000"/>
        </w:rPr>
      </w:pPr>
      <w:r w:rsidRPr="00144BC5">
        <w:rPr>
          <w:color w:val="000000"/>
        </w:rPr>
        <w:t>O.</w:t>
      </w:r>
      <w:r w:rsidRPr="00144BC5">
        <w:rPr>
          <w:color w:val="000000"/>
        </w:rPr>
        <w:tab/>
        <w:t>budući da se člankom 72. stavcima 1. i 2. rumunjskog Ustava utvrđuje sljedeće:</w:t>
      </w:r>
    </w:p>
    <w:p w:rsidR="00CC7A1A" w:rsidRPr="00144BC5" w:rsidP="00027C29" w14:paraId="7CAB6723" w14:textId="7043118F">
      <w:pPr>
        <w:pStyle w:val="NormalHanging12a"/>
        <w:ind w:left="1134"/>
        <w:rPr>
          <w:color w:val="000000"/>
        </w:rPr>
      </w:pPr>
      <w:r w:rsidRPr="00144BC5">
        <w:rPr>
          <w:color w:val="000000"/>
        </w:rPr>
        <w:t>„1.</w:t>
      </w:r>
      <w:r w:rsidRPr="00144BC5">
        <w:rPr>
          <w:color w:val="000000"/>
        </w:rPr>
        <w:tab/>
        <w:t>Nijedan zastupnik ili senator ne može biti sudski odgovoran za dane glasove ili politička mišljenja izražena tijekom obnašanja svoje dužnosti</w:t>
      </w:r>
      <w:r w:rsidR="007F498A">
        <w:rPr>
          <w:color w:val="000000"/>
        </w:rPr>
        <w:t>;</w:t>
      </w:r>
    </w:p>
    <w:p w:rsidR="00CC7A1A" w:rsidRPr="00144BC5" w:rsidP="00027C29" w14:paraId="56A096BC" w14:textId="77777777">
      <w:pPr>
        <w:pStyle w:val="NormalHanging12a"/>
        <w:ind w:left="1134"/>
        <w:rPr>
          <w:color w:val="000000"/>
        </w:rPr>
      </w:pPr>
      <w:r w:rsidRPr="00144BC5">
        <w:rPr>
          <w:color w:val="000000"/>
        </w:rPr>
        <w:t>2.</w:t>
      </w:r>
      <w:r w:rsidRPr="00144BC5">
        <w:rPr>
          <w:color w:val="000000"/>
        </w:rPr>
        <w:tab/>
        <w:t>Zastupnici i senatori mogu biti predmet kaznene istrage ili kaznenog progona zbog djela koja nisu povezana s njihovim glasovima ili političkim mišljenjima izraženima pri obnašanju dužnosti, ali ih se nakon saslušanja ne smije pretražiti, zadržati ni uhititi bez pristanka doma kojem pripadaju. Istragu i kazneni progon provodi samo državno odvjetništvo pri Vrhovnom kasacijskom sudu. Nadležnost ima Visoki kasacijski sud”;</w:t>
      </w:r>
    </w:p>
    <w:p w:rsidR="00CC7A1A" w:rsidRPr="00144BC5" w:rsidP="00CC7A1A" w14:paraId="69C38F39" w14:textId="77777777">
      <w:pPr>
        <w:pStyle w:val="NormalHanging12a"/>
        <w:rPr>
          <w:color w:val="000000"/>
        </w:rPr>
      </w:pPr>
      <w:r w:rsidRPr="00144BC5">
        <w:rPr>
          <w:color w:val="000000"/>
        </w:rPr>
        <w:t>P.</w:t>
      </w:r>
      <w:r w:rsidRPr="00144BC5">
        <w:rPr>
          <w:color w:val="000000"/>
        </w:rPr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:rsidR="00CC7A1A" w:rsidRPr="00144BC5" w:rsidP="00CC7A1A" w14:paraId="0E5A7140" w14:textId="58057D07">
      <w:pPr>
        <w:pStyle w:val="NormalHanging12a"/>
        <w:rPr>
          <w:color w:val="000000"/>
        </w:rPr>
      </w:pPr>
      <w:r w:rsidRPr="00144BC5">
        <w:rPr>
          <w:color w:val="000000"/>
        </w:rPr>
        <w:t>Q.</w:t>
      </w:r>
      <w:r w:rsidRPr="00144BC5">
        <w:rPr>
          <w:color w:val="000000"/>
        </w:rPr>
        <w:tab/>
        <w:t xml:space="preserve">budući da </w:t>
      </w:r>
      <w:r w:rsidR="00455E5D">
        <w:rPr>
          <w:color w:val="000000"/>
        </w:rPr>
        <w:t>parlamentarni</w:t>
      </w:r>
      <w:r w:rsidRPr="00144BC5">
        <w:rPr>
          <w:color w:val="000000"/>
        </w:rPr>
        <w:t xml:space="preserve"> imunitet u skladu s člankom 5. stavkom 2. Poslovnika Europskog parlamenta nije osobna povlastica zastupnika, već jamstvo neovisnosti Parlamenta kao cjeline i njegovih zastupnika;</w:t>
      </w:r>
    </w:p>
    <w:p w:rsidR="00CC7A1A" w:rsidRPr="00144BC5" w:rsidP="00CC7A1A" w14:paraId="3EB75B2C" w14:textId="7050C151">
      <w:pPr>
        <w:pStyle w:val="NormalHanging12a"/>
        <w:rPr>
          <w:color w:val="000000"/>
        </w:rPr>
      </w:pPr>
      <w:r w:rsidRPr="00144BC5">
        <w:rPr>
          <w:color w:val="000000"/>
        </w:rPr>
        <w:t>R.</w:t>
      </w:r>
      <w:r w:rsidRPr="00144BC5">
        <w:rPr>
          <w:color w:val="000000"/>
        </w:rPr>
        <w:tab/>
        <w:t xml:space="preserve">budući da u ovom slučaju Parlament nije utvrdio da postoji </w:t>
      </w:r>
      <w:r w:rsidRPr="00144BC5">
        <w:rPr>
          <w:i/>
          <w:color w:val="000000"/>
        </w:rPr>
        <w:t>fumus</w:t>
      </w:r>
      <w:r w:rsidRPr="00144BC5">
        <w:rPr>
          <w:i/>
          <w:color w:val="000000"/>
        </w:rPr>
        <w:t> </w:t>
      </w:r>
      <w:r w:rsidRPr="00144BC5">
        <w:rPr>
          <w:i/>
          <w:color w:val="000000"/>
        </w:rPr>
        <w:t>persecutionis</w:t>
      </w:r>
      <w:r w:rsidRPr="00144BC5">
        <w:rPr>
          <w:color w:val="000000"/>
        </w:rPr>
        <w:t xml:space="preserve">, odnosno </w:t>
      </w:r>
      <w:r w:rsidR="00455E5D">
        <w:rPr>
          <w:color w:val="000000"/>
        </w:rPr>
        <w:t>ne čini se</w:t>
      </w:r>
      <w:r w:rsidRPr="00144BC5">
        <w:rPr>
          <w:color w:val="000000"/>
        </w:rPr>
        <w:t xml:space="preserve"> da je </w:t>
      </w:r>
      <w:r w:rsidR="00455E5D">
        <w:rPr>
          <w:color w:val="000000"/>
        </w:rPr>
        <w:t xml:space="preserve">predmetni </w:t>
      </w:r>
      <w:r w:rsidRPr="00144BC5">
        <w:rPr>
          <w:color w:val="000000"/>
        </w:rPr>
        <w:t xml:space="preserve">postupak pokrenut s namjerom nanošenja štete političkom radu Diane </w:t>
      </w:r>
      <w:r w:rsidRPr="00144BC5">
        <w:rPr>
          <w:color w:val="000000"/>
        </w:rPr>
        <w:t>Iovanovici</w:t>
      </w:r>
      <w:r w:rsidRPr="00144BC5">
        <w:rPr>
          <w:color w:val="000000"/>
        </w:rPr>
        <w:t xml:space="preserve"> </w:t>
      </w:r>
      <w:r w:rsidRPr="00144BC5">
        <w:rPr>
          <w:color w:val="000000"/>
        </w:rPr>
        <w:t>Şoşoacă</w:t>
      </w:r>
      <w:r w:rsidRPr="00144BC5">
        <w:rPr>
          <w:color w:val="000000"/>
        </w:rPr>
        <w:t xml:space="preserve"> </w:t>
      </w:r>
      <w:r w:rsidR="00455E5D">
        <w:rPr>
          <w:color w:val="000000"/>
        </w:rPr>
        <w:t>kao</w:t>
      </w:r>
      <w:r w:rsidRPr="00144BC5">
        <w:rPr>
          <w:color w:val="000000"/>
        </w:rPr>
        <w:t xml:space="preserve"> zastupnice u Europskom parlamentu</w:t>
      </w:r>
      <w:r w:rsidR="00455E5D">
        <w:rPr>
          <w:color w:val="000000"/>
        </w:rPr>
        <w:t>, a time i neovisnosti Parlamenta</w:t>
      </w:r>
      <w:r w:rsidRPr="00144BC5">
        <w:rPr>
          <w:color w:val="000000"/>
        </w:rPr>
        <w:t>;</w:t>
      </w:r>
    </w:p>
    <w:p w:rsidR="00CC7A1A" w:rsidRPr="00144BC5" w:rsidP="00CC7A1A" w14:paraId="1B31864C" w14:textId="77777777">
      <w:pPr>
        <w:pStyle w:val="NormalHanging12a"/>
        <w:rPr>
          <w:color w:val="000000"/>
        </w:rPr>
      </w:pPr>
      <w:r w:rsidRPr="00144BC5">
        <w:rPr>
          <w:color w:val="000000"/>
        </w:rPr>
        <w:t>S.</w:t>
      </w:r>
      <w:r w:rsidRPr="00144BC5">
        <w:rPr>
          <w:color w:val="000000"/>
        </w:rPr>
        <w:tab/>
        <w:t>budući da Parlament ne može preuzeti ulogu suda te da se zastupnik u kontekstu postupka ukidanja imuniteta ne može smatrati optuženikom</w:t>
      </w:r>
      <w:r>
        <w:rPr>
          <w:color w:val="000000"/>
          <w:vertAlign w:val="superscript"/>
        </w:rPr>
        <w:footnoteReference w:id="3"/>
      </w:r>
      <w:r w:rsidRPr="00144BC5">
        <w:rPr>
          <w:color w:val="000000"/>
        </w:rPr>
        <w:t>;</w:t>
      </w:r>
    </w:p>
    <w:p w:rsidR="00CC7A1A" w:rsidRPr="00144BC5" w:rsidP="00CC7A1A" w14:paraId="55F9C6E2" w14:textId="77777777">
      <w:pPr>
        <w:pStyle w:val="NormalHanging12a"/>
      </w:pPr>
      <w:r w:rsidRPr="00144BC5">
        <w:t>1.</w:t>
      </w:r>
      <w:r w:rsidRPr="00144BC5">
        <w:tab/>
        <w:t xml:space="preserve">odlučuje ukinuti imunitet Diani </w:t>
      </w:r>
      <w:r w:rsidRPr="00144BC5">
        <w:t>Iovanovici</w:t>
      </w:r>
      <w:r w:rsidRPr="00144BC5">
        <w:t xml:space="preserve"> </w:t>
      </w:r>
      <w:r w:rsidRPr="00144BC5">
        <w:t>Şoşoacă</w:t>
      </w:r>
      <w:r w:rsidRPr="00144BC5">
        <w:t xml:space="preserve"> u vezi s navodnim kaznenim djelima iz točaka B, C, D, E, F, G i H;</w:t>
      </w:r>
    </w:p>
    <w:p w:rsidR="00CC7A1A" w:rsidRPr="00144BC5" w:rsidP="00CC7A1A" w14:paraId="6A4FAB8F" w14:textId="77777777">
      <w:pPr>
        <w:pStyle w:val="NormalHanging12a"/>
      </w:pPr>
      <w:r w:rsidRPr="00144BC5">
        <w:t>2.</w:t>
      </w:r>
      <w:r w:rsidRPr="00144BC5">
        <w:tab/>
        <w:t xml:space="preserve">odlučuje da neće ukinuti imunitet Diani </w:t>
      </w:r>
      <w:r w:rsidRPr="00144BC5">
        <w:t>Iovanovici</w:t>
      </w:r>
      <w:r w:rsidRPr="00144BC5">
        <w:t xml:space="preserve"> </w:t>
      </w:r>
      <w:r w:rsidRPr="00144BC5">
        <w:t>Şoşoacă</w:t>
      </w:r>
      <w:r w:rsidRPr="00144BC5">
        <w:t xml:space="preserve"> u vezi s navodnim kaznenim djelom iz točke I;</w:t>
      </w:r>
    </w:p>
    <w:p w:rsidR="00E365E1" w:rsidRPr="00144BC5" w:rsidP="00144BC5" w14:paraId="048E60E5" w14:textId="2A0DE2F6">
      <w:pPr>
        <w:ind w:left="567" w:hanging="567"/>
      </w:pPr>
      <w:r w:rsidRPr="00144BC5">
        <w:t>3.</w:t>
      </w:r>
      <w:r w:rsidRPr="00144BC5">
        <w:tab/>
        <w:t>nalaže svojoj predsjednici da ovu Odluku i izvješće nadležnog odbora odmah proslijedi nadležn</w:t>
      </w:r>
      <w:r w:rsidR="00B006C8">
        <w:t>i</w:t>
      </w:r>
      <w:r w:rsidRPr="00144BC5">
        <w:t>m rumunjsk</w:t>
      </w:r>
      <w:r w:rsidR="00B006C8">
        <w:t>i</w:t>
      </w:r>
      <w:r w:rsidRPr="00144BC5">
        <w:t>m tijel</w:t>
      </w:r>
      <w:r w:rsidR="00B006C8">
        <w:t>ima</w:t>
      </w:r>
      <w:r w:rsidRPr="00144BC5">
        <w:t xml:space="preserve"> i Diani </w:t>
      </w:r>
      <w:r w:rsidRPr="00144BC5">
        <w:t>Iovanovici</w:t>
      </w:r>
      <w:r w:rsidRPr="00144BC5">
        <w:t xml:space="preserve"> </w:t>
      </w:r>
      <w:r w:rsidRPr="00144BC5">
        <w:t>Şoşoacă</w:t>
      </w:r>
      <w:r w:rsidRPr="00144BC5">
        <w:t>.</w:t>
      </w:r>
    </w:p>
    <w:sectPr w:rsidSect="00DD52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00F1462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68605E8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27FDC39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715F" w:rsidRPr="00DD52DB" w14:paraId="46FE243E" w14:textId="77777777">
      <w:r w:rsidRPr="00DD52DB">
        <w:separator/>
      </w:r>
    </w:p>
  </w:footnote>
  <w:footnote w:type="continuationSeparator" w:id="1">
    <w:p w:rsidR="0063715F" w:rsidRPr="00DD52DB" w14:paraId="7825BC3A" w14:textId="77777777">
      <w:r w:rsidRPr="00DD52DB">
        <w:continuationSeparator/>
      </w:r>
    </w:p>
  </w:footnote>
  <w:footnote w:id="2">
    <w:p w:rsidR="00CC7A1A" w:rsidRPr="00DD52DB" w:rsidP="00DD52DB" w14:paraId="6E50C9E5" w14:textId="08B2C13D">
      <w:pPr>
        <w:pStyle w:val="FootnoteText"/>
        <w:ind w:left="567" w:hanging="567"/>
        <w:rPr>
          <w:sz w:val="24"/>
          <w:lang w:val="hr-HR"/>
        </w:rPr>
      </w:pPr>
      <w:r w:rsidRPr="00DD52DB">
        <w:rPr>
          <w:rStyle w:val="FootnoteReference"/>
          <w:sz w:val="24"/>
          <w:lang w:val="hr-HR"/>
        </w:rPr>
        <w:footnoteRef/>
      </w:r>
      <w:r w:rsidRPr="00DD52DB" w:rsidR="00DD52DB">
        <w:rPr>
          <w:sz w:val="24"/>
          <w:lang w:val="hr-HR"/>
        </w:rPr>
        <w:t xml:space="preserve"> </w:t>
      </w:r>
      <w:r w:rsidRPr="00DD52DB" w:rsidR="00DD52DB">
        <w:rPr>
          <w:sz w:val="24"/>
          <w:lang w:val="hr-HR"/>
        </w:rPr>
        <w:tab/>
      </w:r>
      <w:r w:rsidRPr="00DD52DB">
        <w:rPr>
          <w:sz w:val="24"/>
          <w:lang w:val="hr-HR"/>
        </w:rPr>
        <w:t xml:space="preserve">Presuda Suda od 21. listopada 2008., </w:t>
      </w:r>
      <w:r w:rsidRPr="00DD52DB">
        <w:rPr>
          <w:i/>
          <w:sz w:val="24"/>
          <w:lang w:val="hr-HR"/>
        </w:rPr>
        <w:t>Marra</w:t>
      </w:r>
      <w:r w:rsidRPr="00DD52DB">
        <w:rPr>
          <w:i/>
          <w:sz w:val="24"/>
          <w:lang w:val="hr-HR"/>
        </w:rPr>
        <w:t xml:space="preserve"> / De </w:t>
      </w:r>
      <w:r w:rsidRPr="00DD52DB">
        <w:rPr>
          <w:i/>
          <w:sz w:val="24"/>
          <w:lang w:val="hr-HR"/>
        </w:rPr>
        <w:t>Gregorio</w:t>
      </w:r>
      <w:r w:rsidRPr="00DD52DB">
        <w:rPr>
          <w:i/>
          <w:sz w:val="24"/>
          <w:lang w:val="hr-HR"/>
        </w:rPr>
        <w:t xml:space="preserve"> i </w:t>
      </w:r>
      <w:r w:rsidRPr="00DD52DB">
        <w:rPr>
          <w:i/>
          <w:sz w:val="24"/>
          <w:lang w:val="hr-HR"/>
        </w:rPr>
        <w:t>Clemente</w:t>
      </w:r>
      <w:r w:rsidRPr="00DD52DB">
        <w:rPr>
          <w:sz w:val="24"/>
          <w:lang w:val="hr-HR"/>
        </w:rPr>
        <w:t xml:space="preserve">, C 200/07 i C-201/07, ECLI:EU:C:2008:579; presuda Općeg suda od 19. ožujka 2010., </w:t>
      </w:r>
      <w:r w:rsidRPr="00DD52DB">
        <w:rPr>
          <w:i/>
          <w:sz w:val="24"/>
          <w:lang w:val="hr-HR"/>
        </w:rPr>
        <w:t>Gollnisch</w:t>
      </w:r>
      <w:r w:rsidRPr="00DD52DB">
        <w:rPr>
          <w:i/>
          <w:sz w:val="24"/>
          <w:lang w:val="hr-HR"/>
        </w:rPr>
        <w:t> / Parlament</w:t>
      </w:r>
      <w:r w:rsidRPr="00DD52DB">
        <w:rPr>
          <w:sz w:val="24"/>
          <w:lang w:val="hr-HR"/>
        </w:rPr>
        <w:t xml:space="preserve">, T-42/06, ECLI:EU:T:2010:102; presuda Suda od 6. rujna 2011., </w:t>
      </w:r>
      <w:r w:rsidRPr="00DD52DB">
        <w:rPr>
          <w:i/>
          <w:sz w:val="24"/>
          <w:lang w:val="hr-HR"/>
        </w:rPr>
        <w:t>Patriciello</w:t>
      </w:r>
      <w:r w:rsidRPr="00DD52DB">
        <w:rPr>
          <w:sz w:val="24"/>
          <w:lang w:val="hr-HR"/>
        </w:rPr>
        <w:t xml:space="preserve">, C 163/10, ECLI: EU:C:2011:543; presuda Općeg suda od 17. siječnja 2013., </w:t>
      </w:r>
      <w:r w:rsidRPr="00DD52DB">
        <w:rPr>
          <w:i/>
          <w:sz w:val="24"/>
          <w:lang w:val="hr-HR"/>
        </w:rPr>
        <w:t>Gollnisch</w:t>
      </w:r>
      <w:r w:rsidRPr="00DD52DB">
        <w:rPr>
          <w:i/>
          <w:sz w:val="24"/>
          <w:lang w:val="hr-HR"/>
        </w:rPr>
        <w:t> / Parlament</w:t>
      </w:r>
      <w:r w:rsidRPr="00DD52DB">
        <w:rPr>
          <w:sz w:val="24"/>
          <w:lang w:val="hr-HR"/>
        </w:rPr>
        <w:t xml:space="preserve">, T-346/11 i T-347/11, ECLI:EU:T:2013:23; presuda Suda od 19. prosinca 2019., </w:t>
      </w:r>
      <w:r w:rsidRPr="00DD52DB">
        <w:rPr>
          <w:i/>
          <w:sz w:val="24"/>
          <w:lang w:val="hr-HR"/>
        </w:rPr>
        <w:t>Junqueras</w:t>
      </w:r>
      <w:r w:rsidRPr="00DD52DB">
        <w:rPr>
          <w:i/>
          <w:sz w:val="24"/>
          <w:lang w:val="hr-HR"/>
        </w:rPr>
        <w:t xml:space="preserve"> </w:t>
      </w:r>
      <w:r w:rsidRPr="00DD52DB">
        <w:rPr>
          <w:i/>
          <w:sz w:val="24"/>
          <w:lang w:val="hr-HR"/>
        </w:rPr>
        <w:t>Vies</w:t>
      </w:r>
      <w:r w:rsidRPr="00DD52DB">
        <w:rPr>
          <w:sz w:val="24"/>
          <w:lang w:val="hr-HR"/>
        </w:rPr>
        <w:t>, C-502/19, ECLI:EU:C:2019:1115.</w:t>
      </w:r>
    </w:p>
  </w:footnote>
  <w:footnote w:id="3">
    <w:p w:rsidR="00CC7A1A" w:rsidRPr="00DD52DB" w:rsidP="00DD52DB" w14:paraId="2C5E4084" w14:textId="7CB238ED">
      <w:pPr>
        <w:pStyle w:val="FootnoteText"/>
        <w:ind w:left="567" w:hanging="567"/>
        <w:rPr>
          <w:sz w:val="24"/>
          <w:lang w:val="hr-HR"/>
        </w:rPr>
      </w:pPr>
      <w:r w:rsidRPr="00DD52DB">
        <w:rPr>
          <w:rStyle w:val="FootnoteReference"/>
          <w:sz w:val="24"/>
          <w:lang w:val="hr-HR"/>
        </w:rPr>
        <w:footnoteRef/>
      </w:r>
      <w:r w:rsidRPr="00DD52DB" w:rsidR="00DD52DB">
        <w:rPr>
          <w:sz w:val="24"/>
          <w:lang w:val="hr-HR"/>
        </w:rPr>
        <w:t xml:space="preserve"> </w:t>
      </w:r>
      <w:r w:rsidRPr="00DD52DB" w:rsidR="00DD52DB">
        <w:rPr>
          <w:sz w:val="24"/>
          <w:lang w:val="hr-HR"/>
        </w:rPr>
        <w:tab/>
      </w:r>
      <w:r w:rsidRPr="00DD52DB">
        <w:rPr>
          <w:sz w:val="24"/>
          <w:lang w:val="hr-HR"/>
        </w:rPr>
        <w:t xml:space="preserve">Presuda Općeg suda od 30. travnja 2019., </w:t>
      </w:r>
      <w:r w:rsidRPr="00DD52DB">
        <w:rPr>
          <w:i/>
          <w:sz w:val="24"/>
          <w:lang w:val="hr-HR"/>
        </w:rPr>
        <w:t>Briois</w:t>
      </w:r>
      <w:r w:rsidRPr="00DD52DB">
        <w:rPr>
          <w:i/>
          <w:sz w:val="24"/>
          <w:lang w:val="hr-HR"/>
        </w:rPr>
        <w:t>/Parlament</w:t>
      </w:r>
      <w:r w:rsidRPr="00DD52DB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5E26000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77F43CD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52DB" w14:paraId="0FAF9B3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9747801">
    <w:abstractNumId w:val="9"/>
  </w:num>
  <w:num w:numId="2" w16cid:durableId="2008165076">
    <w:abstractNumId w:val="9"/>
  </w:num>
  <w:num w:numId="3" w16cid:durableId="2074038937">
    <w:abstractNumId w:val="7"/>
  </w:num>
  <w:num w:numId="4" w16cid:durableId="40833181">
    <w:abstractNumId w:val="7"/>
  </w:num>
  <w:num w:numId="5" w16cid:durableId="312176450">
    <w:abstractNumId w:val="6"/>
  </w:num>
  <w:num w:numId="6" w16cid:durableId="1512912185">
    <w:abstractNumId w:val="6"/>
  </w:num>
  <w:num w:numId="7" w16cid:durableId="1338773977">
    <w:abstractNumId w:val="5"/>
  </w:num>
  <w:num w:numId="8" w16cid:durableId="1737779116">
    <w:abstractNumId w:val="5"/>
  </w:num>
  <w:num w:numId="9" w16cid:durableId="1073968193">
    <w:abstractNumId w:val="4"/>
  </w:num>
  <w:num w:numId="10" w16cid:durableId="2076126791">
    <w:abstractNumId w:val="4"/>
  </w:num>
  <w:num w:numId="11" w16cid:durableId="723721840">
    <w:abstractNumId w:val="8"/>
  </w:num>
  <w:num w:numId="12" w16cid:durableId="1668753198">
    <w:abstractNumId w:val="8"/>
  </w:num>
  <w:num w:numId="13" w16cid:durableId="204106664">
    <w:abstractNumId w:val="3"/>
  </w:num>
  <w:num w:numId="14" w16cid:durableId="2049450153">
    <w:abstractNumId w:val="3"/>
  </w:num>
  <w:num w:numId="15" w16cid:durableId="548804480">
    <w:abstractNumId w:val="2"/>
  </w:num>
  <w:num w:numId="16" w16cid:durableId="2086955546">
    <w:abstractNumId w:val="2"/>
  </w:num>
  <w:num w:numId="17" w16cid:durableId="307134076">
    <w:abstractNumId w:val="1"/>
  </w:num>
  <w:num w:numId="18" w16cid:durableId="1114249560">
    <w:abstractNumId w:val="1"/>
  </w:num>
  <w:num w:numId="19" w16cid:durableId="1708875893">
    <w:abstractNumId w:val="0"/>
  </w:num>
  <w:num w:numId="20" w16cid:durableId="1982298203">
    <w:abstractNumId w:val="0"/>
  </w:num>
  <w:num w:numId="21" w16cid:durableId="959339306">
    <w:abstractNumId w:val="9"/>
  </w:num>
  <w:num w:numId="22" w16cid:durableId="103547963">
    <w:abstractNumId w:val="7"/>
  </w:num>
  <w:num w:numId="23" w16cid:durableId="1556815349">
    <w:abstractNumId w:val="6"/>
  </w:num>
  <w:num w:numId="24" w16cid:durableId="1880774299">
    <w:abstractNumId w:val="5"/>
  </w:num>
  <w:num w:numId="25" w16cid:durableId="1162114789">
    <w:abstractNumId w:val="4"/>
  </w:num>
  <w:num w:numId="26" w16cid:durableId="1909998483">
    <w:abstractNumId w:val="8"/>
  </w:num>
  <w:num w:numId="27" w16cid:durableId="99959991">
    <w:abstractNumId w:val="3"/>
  </w:num>
  <w:num w:numId="28" w16cid:durableId="1737775951">
    <w:abstractNumId w:val="2"/>
  </w:num>
  <w:num w:numId="29" w16cid:durableId="1654991170">
    <w:abstractNumId w:val="1"/>
  </w:num>
  <w:num w:numId="30" w16cid:durableId="1050093">
    <w:abstractNumId w:val="0"/>
  </w:num>
  <w:num w:numId="31" w16cid:durableId="56057759">
    <w:abstractNumId w:val="9"/>
  </w:num>
  <w:num w:numId="32" w16cid:durableId="461581789">
    <w:abstractNumId w:val="7"/>
  </w:num>
  <w:num w:numId="33" w16cid:durableId="1745182518">
    <w:abstractNumId w:val="6"/>
  </w:num>
  <w:num w:numId="34" w16cid:durableId="1749692172">
    <w:abstractNumId w:val="5"/>
  </w:num>
  <w:num w:numId="35" w16cid:durableId="2041976041">
    <w:abstractNumId w:val="4"/>
  </w:num>
  <w:num w:numId="36" w16cid:durableId="1369061126">
    <w:abstractNumId w:val="8"/>
  </w:num>
  <w:num w:numId="37" w16cid:durableId="945307662">
    <w:abstractNumId w:val="3"/>
  </w:num>
  <w:num w:numId="38" w16cid:durableId="1385324612">
    <w:abstractNumId w:val="2"/>
  </w:num>
  <w:num w:numId="39" w16cid:durableId="1160922195">
    <w:abstractNumId w:val="1"/>
  </w:num>
  <w:num w:numId="40" w16cid:durableId="1312517190">
    <w:abstractNumId w:val="0"/>
  </w:num>
  <w:num w:numId="41" w16cid:durableId="929315697">
    <w:abstractNumId w:val="10"/>
  </w:num>
  <w:num w:numId="42" w16cid:durableId="533494996">
    <w:abstractNumId w:val="10"/>
  </w:num>
  <w:num w:numId="43" w16cid:durableId="280192736">
    <w:abstractNumId w:val="10"/>
  </w:num>
  <w:num w:numId="44" w16cid:durableId="63450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5F"/>
    <w:rsid w:val="00002272"/>
    <w:rsid w:val="00027C29"/>
    <w:rsid w:val="00064002"/>
    <w:rsid w:val="000677B9"/>
    <w:rsid w:val="000831BA"/>
    <w:rsid w:val="000A42CC"/>
    <w:rsid w:val="000E7DD9"/>
    <w:rsid w:val="0010095E"/>
    <w:rsid w:val="00125B37"/>
    <w:rsid w:val="00144BC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E5D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C2568"/>
    <w:rsid w:val="005F1B17"/>
    <w:rsid w:val="006037C0"/>
    <w:rsid w:val="0063715F"/>
    <w:rsid w:val="006631B6"/>
    <w:rsid w:val="00680577"/>
    <w:rsid w:val="006F74FA"/>
    <w:rsid w:val="00731ADD"/>
    <w:rsid w:val="00734777"/>
    <w:rsid w:val="00743C43"/>
    <w:rsid w:val="00747932"/>
    <w:rsid w:val="00751A4A"/>
    <w:rsid w:val="00756632"/>
    <w:rsid w:val="00762C74"/>
    <w:rsid w:val="00786EC0"/>
    <w:rsid w:val="007A760C"/>
    <w:rsid w:val="007D1690"/>
    <w:rsid w:val="007E22AD"/>
    <w:rsid w:val="007F498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425"/>
    <w:rsid w:val="00A1687D"/>
    <w:rsid w:val="00A43E52"/>
    <w:rsid w:val="00A4678D"/>
    <w:rsid w:val="00A778C7"/>
    <w:rsid w:val="00AB441E"/>
    <w:rsid w:val="00AB4885"/>
    <w:rsid w:val="00AB6293"/>
    <w:rsid w:val="00AE0928"/>
    <w:rsid w:val="00AF3B82"/>
    <w:rsid w:val="00B006C8"/>
    <w:rsid w:val="00B12E95"/>
    <w:rsid w:val="00B22876"/>
    <w:rsid w:val="00B37CCF"/>
    <w:rsid w:val="00B558F0"/>
    <w:rsid w:val="00B6525A"/>
    <w:rsid w:val="00BD48FE"/>
    <w:rsid w:val="00BD7BD8"/>
    <w:rsid w:val="00BE6ADC"/>
    <w:rsid w:val="00C05BFE"/>
    <w:rsid w:val="00C23CD4"/>
    <w:rsid w:val="00C61C0C"/>
    <w:rsid w:val="00C941CB"/>
    <w:rsid w:val="00CC2357"/>
    <w:rsid w:val="00CC7A1A"/>
    <w:rsid w:val="00CF071A"/>
    <w:rsid w:val="00D058B8"/>
    <w:rsid w:val="00D56C11"/>
    <w:rsid w:val="00D834A0"/>
    <w:rsid w:val="00D872DF"/>
    <w:rsid w:val="00D91E21"/>
    <w:rsid w:val="00DA7FCD"/>
    <w:rsid w:val="00DD52DB"/>
    <w:rsid w:val="00E365E1"/>
    <w:rsid w:val="00E820A4"/>
    <w:rsid w:val="00EB006A"/>
    <w:rsid w:val="00EB4772"/>
    <w:rsid w:val="00ED169E"/>
    <w:rsid w:val="00ED4235"/>
    <w:rsid w:val="00EE7925"/>
    <w:rsid w:val="00F04346"/>
    <w:rsid w:val="00F075DC"/>
    <w:rsid w:val="00F13566"/>
    <w:rsid w:val="00F149E9"/>
    <w:rsid w:val="00F5134D"/>
    <w:rsid w:val="00F74202"/>
    <w:rsid w:val="00F87713"/>
    <w:rsid w:val="00FB4360"/>
    <w:rsid w:val="00FD0C70"/>
  </w:rsids>
  <w:docVars>
    <w:docVar w:name="dvdocse" w:val="A10-0117/2026"/>
    <w:docVar w:name="dvlangue" w:val="HR"/>
    <w:docVar w:name="dvnumam" w:val="0"/>
    <w:docVar w:name="dvpe" w:val="785.318"/>
    <w:docVar w:name="dvrapporteur" w:val="Izvjestitelj: "/>
    <w:docVar w:name="dvtitre" w:val="Odluka Europskog parlamenta od .... 2026. o zahtjevu za ukidanje imuniteta Diani Iovanovici Șoșoacă(2025/2196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289878"/>
  <w15:chartTrackingRefBased/>
  <w15:docId w15:val="{4B96E1CE-887F-4344-9098-23AE1175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C7A1A"/>
    <w:pPr>
      <w:spacing w:after="240"/>
      <w:ind w:left="567" w:hanging="567"/>
    </w:pPr>
  </w:style>
  <w:style w:type="paragraph" w:customStyle="1" w:styleId="EPComma">
    <w:name w:val="EPComma"/>
    <w:basedOn w:val="Normal"/>
    <w:rsid w:val="00CC7A1A"/>
    <w:pPr>
      <w:spacing w:before="480" w:after="240"/>
    </w:pPr>
  </w:style>
  <w:style w:type="paragraph" w:styleId="Revision">
    <w:name w:val="Revision"/>
    <w:hidden/>
    <w:uiPriority w:val="99"/>
    <w:semiHidden/>
    <w:rsid w:val="00144BC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1457</Words>
  <Characters>8394</Characters>
  <Application>Microsoft Office Word</Application>
  <DocSecurity>0</DocSecurity>
  <Lines>466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2026-04-28T11:47:00Z</dcterms:created>
  <dcterms:modified xsi:type="dcterms:W3CDTF">2026-04-28T11:47:00Z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A10-0117/2026</vt:lpwstr>
  </property>
  <property fmtid="{D5CDD505-2E9C-101B-9397-08002B2CF9AE}" pid="4" name="&lt;Type&gt;">
    <vt:lpwstr>RR</vt:lpwstr>
  </property>
</Properties>
</file>