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BF3F27" w14:textId="77777777" w:rsidTr="0010095E">
        <w:tblPrEx>
          <w:tblW w:w="9072" w:type="dxa"/>
          <w:tblLook w:val="01E0"/>
        </w:tblPrEx>
        <w:trPr>
          <w:trHeight w:hRule="exact" w:val="1418"/>
        </w:trPr>
        <w:tc>
          <w:tcPr>
            <w:tcW w:w="6804" w:type="dxa"/>
            <w:shd w:val="clear" w:color="auto" w:fill="auto"/>
            <w:vAlign w:val="center"/>
          </w:tcPr>
          <w:p w:rsidR="00751A4A" w:rsidRPr="001B695D" w:rsidP="0010095E" w14:paraId="18EB7B33" w14:textId="77777777">
            <w:pPr>
              <w:pStyle w:val="EPName"/>
            </w:pPr>
            <w:r w:rsidRPr="001B695D">
              <w:t>Európai Parlament</w:t>
            </w:r>
          </w:p>
          <w:p w:rsidR="00751A4A" w:rsidRPr="001B695D" w:rsidP="005F1B17" w14:paraId="1CE21252" w14:textId="77777777">
            <w:pPr>
              <w:pStyle w:val="EPTerm"/>
              <w:rPr>
                <w:rStyle w:val="HideTWBExt"/>
                <w:noProof w:val="0"/>
                <w:vanish w:val="0"/>
                <w:color w:val="auto"/>
              </w:rPr>
            </w:pPr>
            <w:r w:rsidRPr="001B695D">
              <w:t>2024</w:t>
            </w:r>
            <w:r w:rsidRPr="001B695D" w:rsidR="00817416">
              <w:t>-202</w:t>
            </w:r>
            <w:r w:rsidRPr="001B695D">
              <w:t>9</w:t>
            </w:r>
          </w:p>
        </w:tc>
        <w:tc>
          <w:tcPr>
            <w:tcW w:w="2268" w:type="dxa"/>
            <w:shd w:val="clear" w:color="auto" w:fill="auto"/>
          </w:tcPr>
          <w:p w:rsidR="00751A4A" w:rsidRPr="001B695D" w:rsidP="0010095E" w14:paraId="27E58F82" w14:textId="77777777">
            <w:pPr>
              <w:pStyle w:val="EPLogo"/>
            </w:pPr>
            <w:r w:rsidRPr="001B695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B695D" w:rsidP="004C5D52" w14:paraId="3FE6753D" w14:textId="77777777">
      <w:pPr>
        <w:pStyle w:val="LineTop"/>
      </w:pPr>
    </w:p>
    <w:p w:rsidR="00680577" w:rsidRPr="001B695D" w:rsidP="00680577" w14:paraId="072C763D" w14:textId="77777777">
      <w:pPr>
        <w:pStyle w:val="EPBodyTA1"/>
      </w:pPr>
      <w:r w:rsidRPr="001B695D">
        <w:t>ELFOGADOTT SZÖVEGEK</w:t>
      </w:r>
    </w:p>
    <w:p w:rsidR="00D058B8" w:rsidRPr="001B695D" w:rsidP="00D058B8" w14:paraId="4FC0A3CD" w14:textId="77777777">
      <w:pPr>
        <w:pStyle w:val="LineBottom"/>
      </w:pPr>
    </w:p>
    <w:p w:rsidR="003A6A5D" w:rsidRPr="001B695D" w:rsidP="003A6A5D" w14:paraId="2C58DEAB" w14:textId="241840C3">
      <w:pPr>
        <w:pStyle w:val="ATHeading1"/>
      </w:pPr>
      <w:bookmarkStart w:id="0" w:name="TANumber"/>
      <w:r w:rsidRPr="001B695D">
        <w:t>P10_</w:t>
      </w:r>
      <w:r w:rsidRPr="001B695D">
        <w:t>TA(</w:t>
      </w:r>
      <w:r w:rsidRPr="001B695D">
        <w:t>2026)0</w:t>
      </w:r>
      <w:r w:rsidRPr="001B695D" w:rsidR="001B695D">
        <w:t>108</w:t>
      </w:r>
      <w:bookmarkEnd w:id="0"/>
    </w:p>
    <w:p w:rsidR="003A6A5D" w:rsidRPr="001B695D" w:rsidP="003A6A5D" w14:paraId="68630EE0" w14:textId="77777777">
      <w:pPr>
        <w:pStyle w:val="ATHeading2"/>
      </w:pPr>
      <w:bookmarkStart w:id="1" w:name="title"/>
      <w:r w:rsidRPr="001B695D">
        <w:t xml:space="preserve">A Diana </w:t>
      </w:r>
      <w:r w:rsidRPr="001B695D">
        <w:t>Iovanovici</w:t>
      </w:r>
      <w:r w:rsidRPr="001B695D">
        <w:t xml:space="preserve"> </w:t>
      </w:r>
      <w:r w:rsidRPr="001B695D">
        <w:t>Şoşoacă</w:t>
      </w:r>
      <w:r w:rsidRPr="001B695D">
        <w:t xml:space="preserve"> mentelmi jogának felfüggesztésére irányuló kérelem</w:t>
      </w:r>
      <w:bookmarkEnd w:id="1"/>
    </w:p>
    <w:p w:rsidR="003A6A5D" w:rsidRPr="001B695D" w:rsidP="003A6A5D" w14:paraId="3B3E8F87" w14:textId="77777777">
      <w:pPr>
        <w:rPr>
          <w:i/>
          <w:vanish/>
        </w:rPr>
      </w:pPr>
      <w:r>
        <w:rPr>
          <w:i/>
        </w:rPr>
        <w:fldChar w:fldCharType="begin"/>
      </w:r>
      <w:r w:rsidRPr="001B695D">
        <w:rPr>
          <w:i/>
        </w:rPr>
        <w:instrText xml:space="preserve"> TC"(</w:instrText>
      </w:r>
      <w:bookmarkStart w:id="2" w:name="DocNumber"/>
      <w:r w:rsidRPr="001B695D">
        <w:rPr>
          <w:i/>
        </w:rPr>
        <w:instrText>A10-0117/2026</w:instrText>
      </w:r>
      <w:bookmarkEnd w:id="2"/>
      <w:r w:rsidRPr="001B695D">
        <w:rPr>
          <w:i/>
        </w:rPr>
        <w:instrText xml:space="preserve"> - Előadó: Dominik </w:instrText>
      </w:r>
      <w:r w:rsidRPr="001B695D">
        <w:rPr>
          <w:i/>
        </w:rPr>
        <w:instrText>Tarczyński</w:instrText>
      </w:r>
      <w:r w:rsidRPr="001B695D">
        <w:rPr>
          <w:i/>
        </w:rPr>
        <w:instrText xml:space="preserve">)"\l3 \n&gt; \* MERGEFORMAT </w:instrText>
      </w:r>
      <w:r>
        <w:rPr>
          <w:i/>
        </w:rPr>
        <w:fldChar w:fldCharType="end"/>
      </w:r>
    </w:p>
    <w:p w:rsidR="003A6A5D" w:rsidRPr="001B695D" w:rsidP="003A6A5D" w14:paraId="6A14F3F3" w14:textId="77777777">
      <w:pPr>
        <w:rPr>
          <w:vanish/>
        </w:rPr>
      </w:pPr>
      <w:bookmarkStart w:id="3" w:name="Commission"/>
      <w:r w:rsidRPr="001B695D">
        <w:rPr>
          <w:vanish/>
        </w:rPr>
        <w:t>Jogi Bizottság</w:t>
      </w:r>
      <w:bookmarkEnd w:id="3"/>
    </w:p>
    <w:p w:rsidR="003A6A5D" w:rsidRPr="001B695D" w:rsidP="003A6A5D" w14:paraId="40DF9D2D" w14:textId="77777777">
      <w:pPr>
        <w:rPr>
          <w:vanish/>
        </w:rPr>
      </w:pPr>
      <w:bookmarkStart w:id="4" w:name="PE"/>
      <w:r w:rsidRPr="001B695D">
        <w:rPr>
          <w:vanish/>
        </w:rPr>
        <w:t>PE785.318</w:t>
      </w:r>
      <w:bookmarkEnd w:id="4"/>
    </w:p>
    <w:p w:rsidR="003A6A5D" w:rsidRPr="001B695D" w:rsidP="003A6A5D" w14:paraId="5D9D9067" w14:textId="77777777">
      <w:pPr>
        <w:pStyle w:val="ATHeading3"/>
      </w:pPr>
      <w:bookmarkStart w:id="5" w:name="Sujet"/>
      <w:r w:rsidRPr="001B695D">
        <w:t xml:space="preserve">Az Európai Parlament 2026. április 28-i határozata a Diana </w:t>
      </w:r>
      <w:r w:rsidRPr="001B695D">
        <w:t>Iovanovici</w:t>
      </w:r>
      <w:r w:rsidRPr="001B695D">
        <w:t xml:space="preserve"> </w:t>
      </w:r>
      <w:r w:rsidRPr="001B695D">
        <w:t>Şoşoacă</w:t>
      </w:r>
      <w:r w:rsidRPr="001B695D">
        <w:t xml:space="preserve"> mentelmi jogának felfüggesztésére irányuló kérelemről</w:t>
      </w:r>
      <w:bookmarkEnd w:id="5"/>
      <w:r w:rsidRPr="001B695D">
        <w:t xml:space="preserve"> </w:t>
      </w:r>
      <w:bookmarkStart w:id="6" w:name="References"/>
      <w:r w:rsidRPr="001B695D">
        <w:t>(2025/2196(IMM))</w:t>
      </w:r>
      <w:bookmarkEnd w:id="6"/>
    </w:p>
    <w:p w:rsidR="004D7BB1" w:rsidRPr="001B695D" w:rsidP="004D7BB1" w14:paraId="6D6D77AA" w14:textId="77777777">
      <w:pPr>
        <w:pStyle w:val="EPComma"/>
      </w:pPr>
      <w:bookmarkStart w:id="7" w:name="TextBodyBegin"/>
      <w:bookmarkEnd w:id="7"/>
      <w:r w:rsidRPr="001B695D">
        <w:rPr>
          <w:i/>
        </w:rPr>
        <w:t>Az Európai Parlament</w:t>
      </w:r>
      <w:r w:rsidRPr="001B695D">
        <w:t>,</w:t>
      </w:r>
    </w:p>
    <w:p w:rsidR="004D7BB1" w:rsidRPr="001B695D" w:rsidP="004D7BB1" w14:paraId="1B94A514" w14:textId="3A7A7A6F">
      <w:pPr>
        <w:pStyle w:val="NormalHanging12a"/>
      </w:pPr>
      <w:r w:rsidRPr="001B695D">
        <w:t>–</w:t>
      </w:r>
      <w:r w:rsidRPr="001B695D">
        <w:tab/>
        <w:t>tekintettel a román Legfelsőbb Semmítő- és Ítélőszék</w:t>
      </w:r>
      <w:r w:rsidRPr="001B695D" w:rsidR="00130215">
        <w:t>hez tartozó</w:t>
      </w:r>
      <w:r w:rsidRPr="001B695D">
        <w:t xml:space="preserve"> Ügyészség által a Diana </w:t>
      </w:r>
      <w:r w:rsidRPr="001B695D">
        <w:t>Iovanovici</w:t>
      </w:r>
      <w:r w:rsidRPr="001B695D">
        <w:t xml:space="preserve"> </w:t>
      </w:r>
      <w:r w:rsidRPr="001B695D">
        <w:t>Şoşoacă</w:t>
      </w:r>
      <w:r w:rsidRPr="001B695D">
        <w:t xml:space="preserve"> ellen indított büntetőeljárással összefüggésben </w:t>
      </w:r>
      <w:r w:rsidRPr="001B695D" w:rsidR="00130215">
        <w:t>továbbított</w:t>
      </w:r>
      <w:r w:rsidRPr="001B695D">
        <w:t xml:space="preserve">, a román igazságügyi miniszter által 2025. szeptember 24-i levélben eljuttatott és 2025. október 9-én a plenáris ülésen bejelentett, a Diana </w:t>
      </w:r>
      <w:r w:rsidRPr="001B695D">
        <w:t>Iovanovici</w:t>
      </w:r>
      <w:r w:rsidRPr="001B695D">
        <w:t xml:space="preserve"> </w:t>
      </w:r>
      <w:r w:rsidRPr="001B695D">
        <w:t>Şoşoacă</w:t>
      </w:r>
      <w:r w:rsidRPr="001B695D">
        <w:t xml:space="preserve"> mentelmi jogának felfüggesztésére irányuló kérelemre,</w:t>
      </w:r>
    </w:p>
    <w:p w:rsidR="004D7BB1" w:rsidRPr="001B695D" w:rsidP="004D7BB1" w14:paraId="308DAE88" w14:textId="34E36E19">
      <w:pPr>
        <w:pStyle w:val="NormalHanging12a"/>
      </w:pPr>
      <w:r w:rsidRPr="001B695D">
        <w:t>–</w:t>
      </w:r>
      <w:r w:rsidRPr="001B695D">
        <w:tab/>
        <w:t>miután eljárási szabályzata 9. cikke (6) bekezdésének megfelelően</w:t>
      </w:r>
      <w:r w:rsidRPr="001B695D" w:rsidR="00BE4D20">
        <w:t>,</w:t>
      </w:r>
      <w:r w:rsidRPr="001B695D">
        <w:t xml:space="preserve"> 2026. március 24-én meghallgatta Diana </w:t>
      </w:r>
      <w:r w:rsidRPr="001B695D">
        <w:t>Iovanovici</w:t>
      </w:r>
      <w:r w:rsidRPr="001B695D">
        <w:t xml:space="preserve"> </w:t>
      </w:r>
      <w:r w:rsidRPr="001B695D">
        <w:t>Şoşoacăt</w:t>
      </w:r>
      <w:r w:rsidRPr="001B695D">
        <w:t>,</w:t>
      </w:r>
    </w:p>
    <w:p w:rsidR="004D7BB1" w:rsidRPr="001B695D" w:rsidP="004D7BB1" w14:paraId="466D6F13" w14:textId="77777777">
      <w:pPr>
        <w:pStyle w:val="NormalHanging12a"/>
      </w:pPr>
      <w:r w:rsidRPr="001B695D">
        <w:t>–</w:t>
      </w:r>
      <w:r w:rsidRPr="001B695D">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4D7BB1" w:rsidRPr="001B695D" w:rsidP="004D7BB1" w14:paraId="6F4AF34E" w14:textId="77777777">
      <w:pPr>
        <w:pStyle w:val="NormalHanging12a"/>
      </w:pPr>
      <w:r w:rsidRPr="001B695D">
        <w:t>–</w:t>
      </w:r>
      <w:r w:rsidRPr="001B695D">
        <w:tab/>
        <w:t>tekintettel az Európai Unió Bírósága által 2008. október 21-én, 2010. március 19-én, 2011. szeptember 6-án, 2013. január 17-én és 2019. december 19-én hozott ítéletekre</w:t>
      </w:r>
      <w:r>
        <w:rPr>
          <w:vertAlign w:val="superscript"/>
        </w:rPr>
        <w:footnoteReference w:id="2"/>
      </w:r>
      <w:r w:rsidRPr="001B695D">
        <w:t>,</w:t>
      </w:r>
    </w:p>
    <w:p w:rsidR="004D7BB1" w:rsidRPr="001B695D" w:rsidP="004D7BB1" w14:paraId="2964FB83" w14:textId="77777777">
      <w:pPr>
        <w:pStyle w:val="NormalHanging12a"/>
      </w:pPr>
      <w:r w:rsidRPr="001B695D">
        <w:t>–</w:t>
      </w:r>
      <w:r w:rsidRPr="001B695D">
        <w:tab/>
        <w:t>tekintettel a román alkotmány 72. cikkének (1) és (2) bekezdésére,</w:t>
      </w:r>
    </w:p>
    <w:p w:rsidR="004D7BB1" w:rsidRPr="001B695D" w:rsidP="004D7BB1" w14:paraId="221193F4" w14:textId="77777777">
      <w:pPr>
        <w:pStyle w:val="NormalHanging12a"/>
      </w:pPr>
      <w:r w:rsidRPr="001B695D">
        <w:t>–</w:t>
      </w:r>
      <w:r w:rsidRPr="001B695D">
        <w:tab/>
        <w:t xml:space="preserve">tekintettel eljárási szabályzata 5. cikkének (2) bekezdésére, 6. cikkének (1) bekezdésére </w:t>
      </w:r>
      <w:r w:rsidRPr="001B695D">
        <w:t>és 9. cikkére,</w:t>
      </w:r>
    </w:p>
    <w:p w:rsidR="004D7BB1" w:rsidRPr="001B695D" w:rsidP="004D7BB1" w14:paraId="1765B66F" w14:textId="77777777">
      <w:pPr>
        <w:pStyle w:val="NormalHanging12a"/>
      </w:pPr>
      <w:r w:rsidRPr="001B695D">
        <w:t>–</w:t>
      </w:r>
      <w:r w:rsidRPr="001B695D">
        <w:tab/>
        <w:t>tekintettel a Jogi Bizottság jelentésére (A10-0117/2026),</w:t>
      </w:r>
    </w:p>
    <w:p w:rsidR="004D7BB1" w:rsidRPr="001B695D" w:rsidP="004D7BB1" w14:paraId="34147C0B" w14:textId="07B7B930">
      <w:pPr>
        <w:pStyle w:val="NormalHanging12a"/>
        <w:rPr>
          <w:color w:val="000000"/>
        </w:rPr>
      </w:pPr>
      <w:r w:rsidRPr="001B695D">
        <w:t>A.</w:t>
      </w:r>
      <w:r w:rsidRPr="001B695D">
        <w:tab/>
        <w:t>mivel a román igazságügyi miniszter 2025. szeptember 24-én kelt levelében továbbította a román Legfelsőbb Semmítő- és Ítélőszék</w:t>
      </w:r>
      <w:r w:rsidRPr="001B695D" w:rsidR="00130215">
        <w:t>hez tartozó</w:t>
      </w:r>
      <w:r w:rsidRPr="001B695D">
        <w:t xml:space="preserve"> Ügyészség arra irányuló kérelmét, hogy függesszék fel Diana </w:t>
      </w:r>
      <w:r w:rsidRPr="001B695D">
        <w:t>Iovanovici</w:t>
      </w:r>
      <w:r w:rsidRPr="001B695D">
        <w:t xml:space="preserve"> </w:t>
      </w:r>
      <w:r w:rsidRPr="001B695D">
        <w:t>Şoşoacă</w:t>
      </w:r>
      <w:r w:rsidRPr="001B695D">
        <w:t>, Romániában megválasztott európai parlamenti képviselő mentelmi jogát a 2021. december 10. és 2025. február 11. között állítólagosan különböző időpontokban elkövetett több bűncselekményre vonatkozó büntetőeljárással összefüggésben;</w:t>
      </w:r>
    </w:p>
    <w:p w:rsidR="004D7BB1" w:rsidRPr="001B695D" w:rsidP="004D7BB1" w14:paraId="10E782EC" w14:textId="77777777">
      <w:pPr>
        <w:pStyle w:val="NormalHanging12a"/>
        <w:rPr>
          <w:color w:val="000000"/>
        </w:rPr>
      </w:pPr>
      <w:r w:rsidRPr="001B695D">
        <w:rPr>
          <w:color w:val="000000"/>
        </w:rPr>
        <w:t>B.</w:t>
      </w:r>
      <w:r w:rsidRPr="001B695D">
        <w:rPr>
          <w:color w:val="000000"/>
        </w:rPr>
        <w:tab/>
        <w:t xml:space="preserve">mivel a kérelem szerint három személy panaszt nyújtott be azzal kapcsolatban, hogy Diana </w:t>
      </w:r>
      <w:r w:rsidRPr="001B695D">
        <w:rPr>
          <w:color w:val="000000"/>
        </w:rPr>
        <w:t>Iovanovici</w:t>
      </w:r>
      <w:r w:rsidRPr="001B695D">
        <w:rPr>
          <w:color w:val="000000"/>
        </w:rPr>
        <w:t xml:space="preserve"> </w:t>
      </w:r>
      <w:r w:rsidRPr="001B695D">
        <w:rPr>
          <w:color w:val="000000"/>
        </w:rPr>
        <w:t>Şoşoacă</w:t>
      </w:r>
      <w:r w:rsidRPr="001B695D">
        <w:rPr>
          <w:color w:val="000000"/>
        </w:rPr>
        <w:t xml:space="preserve"> és mások a panaszosokat és egy negyedik személyt 2021. december 10-én egy bukaresti lakásban 15:40 és 16:00 között körülbelül 20 percre állítólag megfosztották szabadságuktól; mivel az állítólagos cselekmény a román büntető törvénykönyv 205. cikkének (1) bekezdése szerinti bűncselekménynek minősül;</w:t>
      </w:r>
    </w:p>
    <w:p w:rsidR="004D7BB1" w:rsidRPr="001B695D" w:rsidP="004D7BB1" w14:paraId="1C9651CE" w14:textId="581FB266">
      <w:pPr>
        <w:pStyle w:val="NormalHanging12a"/>
        <w:rPr>
          <w:color w:val="000000"/>
        </w:rPr>
      </w:pPr>
      <w:r w:rsidRPr="001B695D">
        <w:rPr>
          <w:color w:val="000000"/>
        </w:rPr>
        <w:t>C.</w:t>
      </w:r>
      <w:r w:rsidRPr="001B695D">
        <w:rPr>
          <w:color w:val="000000"/>
        </w:rPr>
        <w:tab/>
        <w:t>mivel a kérelem szerint 2024. február 28-án a román kormány „</w:t>
      </w:r>
      <w:r w:rsidRPr="001B695D">
        <w:rPr>
          <w:color w:val="000000"/>
        </w:rPr>
        <w:t>Elie</w:t>
      </w:r>
      <w:r w:rsidRPr="001B695D">
        <w:rPr>
          <w:color w:val="000000"/>
        </w:rPr>
        <w:t xml:space="preserve"> Wiesel” Nemzeti Holokausztkutató Intézete arról értesítette az igazságügyi hatóságokat, hogy 2024. február 19-én az SOS </w:t>
      </w:r>
      <w:r w:rsidRPr="001B695D">
        <w:rPr>
          <w:color w:val="000000"/>
        </w:rPr>
        <w:t>România</w:t>
      </w:r>
      <w:r w:rsidRPr="001B695D">
        <w:rPr>
          <w:color w:val="000000"/>
        </w:rPr>
        <w:t xml:space="preserve"> párt hivatalos honlapján </w:t>
      </w:r>
      <w:r w:rsidRPr="001B695D" w:rsidR="00992886">
        <w:rPr>
          <w:color w:val="000000"/>
        </w:rPr>
        <w:t xml:space="preserve">állítólag </w:t>
      </w:r>
      <w:r w:rsidRPr="001B695D">
        <w:rPr>
          <w:color w:val="000000"/>
        </w:rPr>
        <w:t xml:space="preserve">közzétették e párt sajtóközleményét, amelyet Diana </w:t>
      </w:r>
      <w:r w:rsidRPr="001B695D">
        <w:rPr>
          <w:color w:val="000000"/>
        </w:rPr>
        <w:t>Iovanovici</w:t>
      </w:r>
      <w:r w:rsidRPr="001B695D">
        <w:rPr>
          <w:color w:val="000000"/>
        </w:rPr>
        <w:t xml:space="preserve"> </w:t>
      </w:r>
      <w:r w:rsidRPr="001B695D">
        <w:rPr>
          <w:color w:val="000000"/>
        </w:rPr>
        <w:t>Şoşoacă</w:t>
      </w:r>
      <w:r w:rsidRPr="001B695D">
        <w:rPr>
          <w:color w:val="000000"/>
        </w:rPr>
        <w:t xml:space="preserve"> ugyanezen párt elnökeként írt alá, és amelyben állítólag dicsőített egy, a</w:t>
      </w:r>
      <w:r w:rsidRPr="001B695D" w:rsidR="00992886">
        <w:rPr>
          <w:color w:val="000000"/>
        </w:rPr>
        <w:t>z</w:t>
      </w:r>
      <w:r w:rsidRPr="001B695D">
        <w:rPr>
          <w:color w:val="000000"/>
        </w:rPr>
        <w:t xml:space="preserve"> </w:t>
      </w:r>
      <w:r w:rsidRPr="001B695D" w:rsidR="00992886">
        <w:rPr>
          <w:color w:val="000000"/>
        </w:rPr>
        <w:t>országot</w:t>
      </w:r>
      <w:r w:rsidRPr="001B695D">
        <w:rPr>
          <w:color w:val="000000"/>
        </w:rPr>
        <w:t xml:space="preserve"> katasztróf</w:t>
      </w:r>
      <w:r w:rsidRPr="001B695D" w:rsidR="00992886">
        <w:rPr>
          <w:color w:val="000000"/>
        </w:rPr>
        <w:t xml:space="preserve">ába </w:t>
      </w:r>
      <w:r w:rsidRPr="001B695D" w:rsidR="004E1A8A">
        <w:rPr>
          <w:color w:val="000000"/>
        </w:rPr>
        <w:t>sodró</w:t>
      </w:r>
      <w:r w:rsidRPr="001B695D">
        <w:rPr>
          <w:color w:val="000000"/>
        </w:rPr>
        <w:t xml:space="preserve"> vagy háborús bűn</w:t>
      </w:r>
      <w:r w:rsidRPr="001B695D" w:rsidR="004E1A8A">
        <w:rPr>
          <w:color w:val="000000"/>
        </w:rPr>
        <w:t>öket</w:t>
      </w:r>
      <w:r w:rsidRPr="001B695D">
        <w:rPr>
          <w:color w:val="000000"/>
        </w:rPr>
        <w:t xml:space="preserve"> elkövet</w:t>
      </w:r>
      <w:r w:rsidRPr="001B695D" w:rsidR="004E1A8A">
        <w:rPr>
          <w:color w:val="000000"/>
        </w:rPr>
        <w:t xml:space="preserve">ő </w:t>
      </w:r>
      <w:r w:rsidRPr="001B695D">
        <w:rPr>
          <w:color w:val="000000"/>
        </w:rPr>
        <w:t>személyek büntetőeljárás alá vonásáról és büntetéséről szóló 312/1945. sz. törvény értelmében háborús bűnös</w:t>
      </w:r>
      <w:r w:rsidRPr="001B695D" w:rsidR="00992886">
        <w:rPr>
          <w:color w:val="000000"/>
        </w:rPr>
        <w:t>ként</w:t>
      </w:r>
      <w:r w:rsidRPr="001B695D">
        <w:rPr>
          <w:color w:val="000000"/>
        </w:rPr>
        <w:t xml:space="preserve"> </w:t>
      </w:r>
      <w:r w:rsidRPr="001B695D" w:rsidR="00992886">
        <w:rPr>
          <w:color w:val="000000"/>
        </w:rPr>
        <w:t>elítélt</w:t>
      </w:r>
      <w:r w:rsidRPr="001B695D">
        <w:rPr>
          <w:color w:val="000000"/>
        </w:rPr>
        <w:t xml:space="preserve"> személyt; mivel ez az állítólagos </w:t>
      </w:r>
      <w:r w:rsidRPr="001B695D" w:rsidR="00A2018C">
        <w:rPr>
          <w:color w:val="000000"/>
        </w:rPr>
        <w:t>cselekmény</w:t>
      </w:r>
      <w:r w:rsidRPr="001B695D">
        <w:rPr>
          <w:color w:val="000000"/>
        </w:rPr>
        <w:t xml:space="preserve"> a 31/2002. sz. sürgősségi kormányrendelet 5. cikke szerint bűncselekménynek minősül;</w:t>
      </w:r>
    </w:p>
    <w:p w:rsidR="004D7BB1" w:rsidRPr="001B695D" w:rsidP="004D7BB1" w14:paraId="4DCD1CE8" w14:textId="77777777">
      <w:pPr>
        <w:pStyle w:val="NormalHanging12a"/>
        <w:rPr>
          <w:bCs/>
          <w:iCs/>
          <w:color w:val="000000"/>
        </w:rPr>
      </w:pPr>
      <w:r w:rsidRPr="001B695D">
        <w:rPr>
          <w:color w:val="000000"/>
        </w:rPr>
        <w:t>D.</w:t>
      </w:r>
      <w:r w:rsidRPr="001B695D">
        <w:rPr>
          <w:color w:val="000000"/>
        </w:rPr>
        <w:tab/>
        <w:t xml:space="preserve">mivel a kérelem szerint 2024. május 27-én a romániai antiszemitizmus nyomon követésével és az ellene folytatott küzdelemmel foglalkozó központ arról számolt be, hogy 2024. május 13-án és május 14-én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állítólag nyilvános nyilatkozatokat tett – többek között a nyilvános Facebook-fiókján keresztül –, miközben a román parlament épületében tartózkodott, amely nyilatkozatokban a zsidókat kollektíven vádolta a román nép elleni történelmi bűncselekményekkel; mivel az állítólagos cselekmény az antiszemitizmus megelőzésére és leküzdésére irányuló intézkedésekről szóló 157/2018. sz. törvény 3. cikke értelmében bűncselekménynek minősül;</w:t>
      </w:r>
    </w:p>
    <w:p w:rsidR="004D7BB1" w:rsidRPr="001B695D" w:rsidP="004D7BB1" w14:paraId="50DADEA6" w14:textId="77777777">
      <w:pPr>
        <w:pStyle w:val="NormalHanging12a"/>
        <w:rPr>
          <w:bCs/>
          <w:iCs/>
          <w:color w:val="000000"/>
        </w:rPr>
      </w:pPr>
      <w:r w:rsidRPr="001B695D">
        <w:rPr>
          <w:color w:val="000000"/>
        </w:rPr>
        <w:t>E.</w:t>
      </w:r>
      <w:r w:rsidRPr="001B695D">
        <w:rPr>
          <w:color w:val="000000"/>
        </w:rPr>
        <w:tab/>
        <w:t xml:space="preserve">mivel a kérelem szerint 2024. május 14-én Diana </w:t>
      </w:r>
      <w:r w:rsidRPr="001B695D">
        <w:rPr>
          <w:color w:val="000000"/>
        </w:rPr>
        <w:t>Iovanovici</w:t>
      </w:r>
      <w:r w:rsidRPr="001B695D">
        <w:rPr>
          <w:color w:val="000000"/>
        </w:rPr>
        <w:t xml:space="preserve"> </w:t>
      </w:r>
      <w:r w:rsidRPr="001B695D">
        <w:rPr>
          <w:color w:val="000000"/>
        </w:rPr>
        <w:t>Șoșoacă</w:t>
      </w:r>
      <w:r w:rsidRPr="001B695D">
        <w:rPr>
          <w:color w:val="000000"/>
        </w:rPr>
        <w:t>, aki a román parlament épületében a román képviselőház és szenátus közös ülésén vett részt, állítólag olyan nyilatkozatokat tett, amelyekben kollektíven vádolta a zsidókat a román nép elleni történelmi bűncselekményekkel; mivel az állítólagos cselekmény a 31/2002. sz. sürgősségi kormányrendelet 6. cikkének (1) bekezdése szerinti bűncselekménynek minősül;</w:t>
      </w:r>
    </w:p>
    <w:p w:rsidR="004D7BB1" w:rsidRPr="001B695D" w:rsidP="004D7BB1" w14:paraId="779C757F" w14:textId="6E891244">
      <w:pPr>
        <w:pStyle w:val="NormalHanging12a"/>
        <w:rPr>
          <w:bCs/>
          <w:iCs/>
          <w:color w:val="000000"/>
        </w:rPr>
      </w:pPr>
      <w:r w:rsidRPr="001B695D">
        <w:rPr>
          <w:color w:val="000000"/>
        </w:rPr>
        <w:t>F.</w:t>
      </w:r>
      <w:r w:rsidRPr="001B695D">
        <w:rPr>
          <w:color w:val="000000"/>
        </w:rPr>
        <w:tab/>
        <w:t xml:space="preserve">mivel a kérelem szerint 2024. október 5-én és 6-án Diana </w:t>
      </w:r>
      <w:r w:rsidRPr="001B695D" w:rsidR="00642B4A">
        <w:rPr>
          <w:color w:val="000000"/>
        </w:rPr>
        <w:t>Iovanovici</w:t>
      </w:r>
      <w:r w:rsidRPr="001B695D" w:rsidR="00642B4A">
        <w:rPr>
          <w:color w:val="000000"/>
        </w:rPr>
        <w:t xml:space="preserve"> </w:t>
      </w:r>
      <w:r w:rsidRPr="001B695D">
        <w:rPr>
          <w:color w:val="000000"/>
        </w:rPr>
        <w:t>Șoșoacă</w:t>
      </w:r>
      <w:r w:rsidRPr="001B695D">
        <w:rPr>
          <w:color w:val="000000"/>
        </w:rPr>
        <w:t xml:space="preserve"> állítólag több nyilvános online nyilatkozatot tett, amelyekben dicsőített bizonyos, a román nemzeti jog szerint háborús bűncselekményeket elkövető vagy azokban részt vevő személyeket és mozgalmakat, és a zsidókat kollektíven történelmi és vallási bűncselekményekkel vádolta; mivel az állítólagos cselekmények a 31/2002. sz. sürgősségi kormányrendelet 5. cikke szerinti bűncselekménynek minősülnek;</w:t>
      </w:r>
    </w:p>
    <w:p w:rsidR="004D7BB1" w:rsidRPr="001B695D" w:rsidP="004D7BB1" w14:paraId="48547841" w14:textId="4A552E1B">
      <w:pPr>
        <w:pStyle w:val="NormalHanging12a"/>
        <w:rPr>
          <w:color w:val="000000"/>
        </w:rPr>
      </w:pPr>
      <w:r w:rsidRPr="001B695D">
        <w:rPr>
          <w:color w:val="000000"/>
        </w:rPr>
        <w:t>G.</w:t>
      </w:r>
      <w:r w:rsidRPr="001B695D">
        <w:rPr>
          <w:color w:val="000000"/>
        </w:rPr>
        <w:tab/>
        <w:t xml:space="preserve">mivel a kérelem szerint 2024. december 1-jén Diana </w:t>
      </w:r>
      <w:r w:rsidRPr="001B695D" w:rsidR="00642B4A">
        <w:rPr>
          <w:color w:val="000000"/>
        </w:rPr>
        <w:t>Iovanovici</w:t>
      </w:r>
      <w:r w:rsidRPr="001B695D" w:rsidR="00642B4A">
        <w:rPr>
          <w:color w:val="000000"/>
        </w:rPr>
        <w:t xml:space="preserve"> </w:t>
      </w:r>
      <w:r w:rsidRPr="001B695D">
        <w:rPr>
          <w:color w:val="000000"/>
        </w:rPr>
        <w:t>Șoșoacă</w:t>
      </w:r>
      <w:r w:rsidRPr="001B695D">
        <w:rPr>
          <w:color w:val="000000"/>
        </w:rPr>
        <w:t xml:space="preserve"> állítólag egy, a román nemzeti jog szerint háborús bűncselekményekért elítélt személyt dicsőített nyilvánosan online nyilatkozatok, valamint a zsidó közösséggel kapcsolatos vasgárdista, rasszista és idegengyűlölő eszmék és koncepciók nyilvános népszerűsítése révén; mivel az állítólagos cselekmények a 31/2002. sz. sürgősségi kormányrendelet 5. cikke szerinti bűncselekménynek minősülnek;</w:t>
      </w:r>
    </w:p>
    <w:p w:rsidR="004D7BB1" w:rsidRPr="001B695D" w:rsidP="004D7BB1" w14:paraId="6B963DD6" w14:textId="072D79F4">
      <w:pPr>
        <w:pStyle w:val="NormalHanging12a"/>
        <w:rPr>
          <w:bCs/>
          <w:iCs/>
          <w:color w:val="000000"/>
        </w:rPr>
      </w:pPr>
      <w:r w:rsidRPr="001B695D">
        <w:rPr>
          <w:color w:val="000000"/>
        </w:rPr>
        <w:t>H.</w:t>
      </w:r>
      <w:r w:rsidRPr="001B695D">
        <w:rPr>
          <w:color w:val="000000"/>
        </w:rPr>
        <w:tab/>
        <w:t xml:space="preserve">mivel a kérelem szerint 2024. december 15-én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a korábban kiszabott közigazgatási bírsággal kapcsolatos feladataikat ellátó két rendőrt állítólag közvetlenül megfenyeget</w:t>
      </w:r>
      <w:r w:rsidRPr="001B695D" w:rsidR="00222A78">
        <w:rPr>
          <w:color w:val="000000"/>
        </w:rPr>
        <w:t>ett, hogy velük szemben</w:t>
      </w:r>
      <w:r w:rsidRPr="001B695D">
        <w:rPr>
          <w:color w:val="000000"/>
        </w:rPr>
        <w:t xml:space="preserve"> erőszakos cselekmények</w:t>
      </w:r>
      <w:r w:rsidRPr="001B695D" w:rsidR="00222A78">
        <w:rPr>
          <w:color w:val="000000"/>
        </w:rPr>
        <w:t>et</w:t>
      </w:r>
      <w:r w:rsidRPr="001B695D">
        <w:rPr>
          <w:color w:val="000000"/>
        </w:rPr>
        <w:t xml:space="preserve"> </w:t>
      </w:r>
      <w:r w:rsidRPr="001B695D" w:rsidR="00222A78">
        <w:rPr>
          <w:color w:val="000000"/>
        </w:rPr>
        <w:t>követ el</w:t>
      </w:r>
      <w:r w:rsidRPr="001B695D">
        <w:rPr>
          <w:color w:val="000000"/>
        </w:rPr>
        <w:t>; mivel az állítólagos cselekmény a román büntető törvénykönyv 257. cikkének (1) és (4) bekezdése szerinti bűncselekménynek minősül;</w:t>
      </w:r>
    </w:p>
    <w:p w:rsidR="004D7BB1" w:rsidRPr="001B695D" w:rsidP="004D7BB1" w14:paraId="7DCF2DFA" w14:textId="478E0BC7">
      <w:pPr>
        <w:pStyle w:val="NormalHanging12a"/>
        <w:rPr>
          <w:bCs/>
          <w:iCs/>
          <w:color w:val="000000"/>
        </w:rPr>
      </w:pPr>
      <w:r w:rsidRPr="001B695D">
        <w:rPr>
          <w:color w:val="000000"/>
        </w:rPr>
        <w:t>I.</w:t>
      </w:r>
      <w:r w:rsidRPr="001B695D">
        <w:rPr>
          <w:color w:val="000000"/>
        </w:rPr>
        <w:tab/>
        <w:t xml:space="preserve">mivel a kérelem szerint 2025. február 25-én a Kommunizmus Bűncselekményeinek Kivizsgálásáért és a Román Száműzetésre Való Megemlékezésért Felelős Intézet – egy kormányzati szervezet – arról értesítette az igazságügyi hatóságokat, hogy 2025. február 11-én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beszédet mondott az Európai Parlament plenáris ülésén, amelyben </w:t>
      </w:r>
      <w:r w:rsidRPr="001B695D" w:rsidR="008C5842">
        <w:rPr>
          <w:color w:val="000000"/>
        </w:rPr>
        <w:t xml:space="preserve">állítólag </w:t>
      </w:r>
      <w:r w:rsidRPr="001B695D">
        <w:rPr>
          <w:color w:val="000000"/>
        </w:rPr>
        <w:t xml:space="preserve">azt ajánlotta kollégáinak, hogy a külpolitikai stratégiákat Nicolae </w:t>
      </w:r>
      <w:r w:rsidRPr="001B695D">
        <w:rPr>
          <w:color w:val="000000"/>
        </w:rPr>
        <w:t>Ceaușescu</w:t>
      </w:r>
      <w:r w:rsidRPr="001B695D">
        <w:rPr>
          <w:color w:val="000000"/>
        </w:rPr>
        <w:t xml:space="preserve"> stratégiái mintájára dolgozzák ki, akit a Bukaresti Területi Katonai Bíróság 1989. december 25-i ítéletében </w:t>
      </w:r>
      <w:r w:rsidRPr="001B695D" w:rsidR="00222A78">
        <w:rPr>
          <w:color w:val="000000"/>
        </w:rPr>
        <w:t>népirtás</w:t>
      </w:r>
      <w:r w:rsidRPr="001B695D">
        <w:rPr>
          <w:color w:val="000000"/>
        </w:rPr>
        <w:t xml:space="preserve"> bűncselekményéért ítélt el; mivel ez az állítólagos </w:t>
      </w:r>
      <w:r w:rsidRPr="001B695D" w:rsidR="00222A78">
        <w:rPr>
          <w:color w:val="000000"/>
        </w:rPr>
        <w:t>cselekmény</w:t>
      </w:r>
      <w:r w:rsidRPr="001B695D">
        <w:rPr>
          <w:color w:val="000000"/>
        </w:rPr>
        <w:t xml:space="preserve"> a 31/2002. sz. sürgősségi kormányrendelet 5. cikke szerint bűncselekménynek minősül;</w:t>
      </w:r>
    </w:p>
    <w:p w:rsidR="004D7BB1" w:rsidRPr="001B695D" w:rsidP="004D7BB1" w14:paraId="1023DE1D" w14:textId="3F00A380">
      <w:pPr>
        <w:pStyle w:val="NormalHanging12a"/>
        <w:rPr>
          <w:bCs/>
          <w:iCs/>
          <w:color w:val="000000"/>
        </w:rPr>
      </w:pPr>
      <w:r w:rsidRPr="001B695D">
        <w:rPr>
          <w:color w:val="000000"/>
        </w:rPr>
        <w:t>J.</w:t>
      </w:r>
      <w:r w:rsidRPr="001B695D">
        <w:rPr>
          <w:color w:val="000000"/>
        </w:rPr>
        <w:tab/>
        <w:t xml:space="preserve">mivel Diana </w:t>
      </w:r>
      <w:r w:rsidRPr="001B695D">
        <w:rPr>
          <w:color w:val="000000"/>
        </w:rPr>
        <w:t>Iovanovici</w:t>
      </w:r>
      <w:r w:rsidRPr="001B695D">
        <w:rPr>
          <w:color w:val="000000"/>
        </w:rPr>
        <w:t xml:space="preserve"> </w:t>
      </w:r>
      <w:r w:rsidRPr="001B695D">
        <w:rPr>
          <w:color w:val="000000"/>
        </w:rPr>
        <w:t>Şoşoacă</w:t>
      </w:r>
      <w:r w:rsidRPr="001B695D">
        <w:rPr>
          <w:color w:val="000000"/>
        </w:rPr>
        <w:t xml:space="preserve"> asszonyt a 2024. júniusi európai választásokon az Európai Parlament képviselőjévé</w:t>
      </w:r>
      <w:r w:rsidRPr="001B695D" w:rsidR="00222A78">
        <w:rPr>
          <w:color w:val="000000"/>
        </w:rPr>
        <w:t xml:space="preserve"> választották</w:t>
      </w:r>
      <w:r w:rsidRPr="001B695D">
        <w:rPr>
          <w:color w:val="000000"/>
        </w:rPr>
        <w:t xml:space="preserve">, </w:t>
      </w:r>
      <w:r w:rsidRPr="001B695D" w:rsidR="00222A78">
        <w:rPr>
          <w:color w:val="000000"/>
        </w:rPr>
        <w:t>és ezáltal</w:t>
      </w:r>
      <w:r w:rsidRPr="001B695D">
        <w:rPr>
          <w:color w:val="000000"/>
        </w:rPr>
        <w:t xml:space="preserve"> a kérelemben </w:t>
      </w:r>
      <w:r w:rsidRPr="001B695D" w:rsidR="00222A78">
        <w:rPr>
          <w:color w:val="000000"/>
        </w:rPr>
        <w:t>említett</w:t>
      </w:r>
      <w:r w:rsidRPr="001B695D">
        <w:rPr>
          <w:color w:val="000000"/>
        </w:rPr>
        <w:t xml:space="preserve"> 2021. december 10-én, 2024. február 19-én</w:t>
      </w:r>
      <w:r w:rsidRPr="001B695D" w:rsidR="00222A78">
        <w:rPr>
          <w:color w:val="000000"/>
        </w:rPr>
        <w:t>,</w:t>
      </w:r>
      <w:r w:rsidRPr="001B695D">
        <w:rPr>
          <w:color w:val="000000"/>
        </w:rPr>
        <w:t xml:space="preserve"> </w:t>
      </w:r>
      <w:r w:rsidRPr="001B695D" w:rsidR="00222A78">
        <w:rPr>
          <w:color w:val="000000"/>
        </w:rPr>
        <w:t>valamint</w:t>
      </w:r>
      <w:r w:rsidRPr="001B695D">
        <w:rPr>
          <w:color w:val="000000"/>
        </w:rPr>
        <w:t xml:space="preserve"> 2024. május</w:t>
      </w:r>
      <w:r w:rsidRPr="001B695D" w:rsidR="00222A78">
        <w:rPr>
          <w:color w:val="000000"/>
        </w:rPr>
        <w:t xml:space="preserve"> 13-án és</w:t>
      </w:r>
      <w:r w:rsidRPr="001B695D">
        <w:rPr>
          <w:color w:val="000000"/>
        </w:rPr>
        <w:t xml:space="preserve"> 14-én elkövetett állítólagos cselekmények idején nem volt az Európai Parlament képviselője; mivel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európai parlamenti képviselő volt a kérelemben említett, 2024. október 5-én és 6-án, 2024. december 1-jén, 2024. december 15-én és 2025. február 11-én elkövetett állítólagos cselekmények idején; mivel a 2021. december 10-i és 2024. február 19-i állítólagos cselekményekkel kapcsolatos panaszokon vagy büntetőeljárásokon kívül a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elleni összes többi büntetőeljárást az európai parlamenti képviselővé való megválasztását követően indították meg;</w:t>
      </w:r>
    </w:p>
    <w:p w:rsidR="004D7BB1" w:rsidRPr="001B695D" w:rsidP="004D7BB1" w14:paraId="4B0CAF9D" w14:textId="168D3860">
      <w:pPr>
        <w:pStyle w:val="NormalHanging12a"/>
        <w:rPr>
          <w:bCs/>
          <w:iCs/>
          <w:color w:val="000000"/>
        </w:rPr>
      </w:pPr>
      <w:r w:rsidRPr="001B695D">
        <w:rPr>
          <w:color w:val="000000"/>
        </w:rPr>
        <w:t>K.</w:t>
      </w:r>
      <w:r w:rsidRPr="001B695D">
        <w:rPr>
          <w:color w:val="000000"/>
        </w:rPr>
        <w:tab/>
        <w:t xml:space="preserve">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w:t>
      </w:r>
      <w:r w:rsidRPr="001B695D" w:rsidR="00C2058C">
        <w:rPr>
          <w:color w:val="000000"/>
        </w:rPr>
        <w:t>vonhatók</w:t>
      </w:r>
      <w:r w:rsidRPr="001B695D">
        <w:rPr>
          <w:color w:val="000000"/>
        </w:rPr>
        <w:t xml:space="preserve"> bírósági eljárás</w:t>
      </w:r>
      <w:r w:rsidRPr="001B695D" w:rsidR="00C2058C">
        <w:rPr>
          <w:color w:val="000000"/>
        </w:rPr>
        <w:t xml:space="preserve"> alá</w:t>
      </w:r>
      <w:r w:rsidRPr="001B695D">
        <w:rPr>
          <w:color w:val="000000"/>
        </w:rPr>
        <w:t>;</w:t>
      </w:r>
    </w:p>
    <w:p w:rsidR="004D7BB1" w:rsidRPr="001B695D" w:rsidP="004D7BB1" w14:paraId="40B9F2E7" w14:textId="77777777">
      <w:pPr>
        <w:pStyle w:val="NormalHanging12a"/>
        <w:rPr>
          <w:bCs/>
          <w:iCs/>
          <w:color w:val="000000"/>
        </w:rPr>
      </w:pPr>
      <w:r w:rsidRPr="001B695D">
        <w:rPr>
          <w:color w:val="000000"/>
        </w:rPr>
        <w:t>L.</w:t>
      </w:r>
      <w:r w:rsidRPr="001B695D">
        <w:rPr>
          <w:color w:val="000000"/>
        </w:rPr>
        <w:tab/>
        <w:t xml:space="preserve">mivel a román nemzeti jog szerint háborús bűnösként elítélt Nicolae </w:t>
      </w:r>
      <w:r w:rsidRPr="001B695D">
        <w:rPr>
          <w:color w:val="000000"/>
        </w:rPr>
        <w:t>Ceaușescu</w:t>
      </w:r>
      <w:r w:rsidRPr="001B695D">
        <w:rPr>
          <w:color w:val="000000"/>
        </w:rPr>
        <w:t xml:space="preserve"> állítólagos dicsőítésével kapcsolatban 2025. február 11-én elkövetett állítólagos bűncselekmény az Európai Parlament strasbourgi plenáris ülésén a „szélesebb körű átfogó EU-Közel-Kelet stratégiáról” szóló vita során általa tett felszólalásra vonatkozik; mivel ez a felszólalás ennél fogva az Európai Unió kiváltságairól és mentességeiről szóló 7. számú jegyzőkönyv 8. cikke alkalmazásában Diana </w:t>
      </w:r>
      <w:r w:rsidRPr="001B695D">
        <w:rPr>
          <w:color w:val="000000"/>
        </w:rPr>
        <w:t>Iovanovici</w:t>
      </w:r>
      <w:r w:rsidRPr="001B695D">
        <w:rPr>
          <w:color w:val="000000"/>
        </w:rPr>
        <w:t xml:space="preserve"> </w:t>
      </w:r>
      <w:r w:rsidRPr="001B695D">
        <w:rPr>
          <w:color w:val="000000"/>
        </w:rPr>
        <w:t>Şoşoacă</w:t>
      </w:r>
      <w:r w:rsidRPr="001B695D">
        <w:rPr>
          <w:color w:val="000000"/>
        </w:rPr>
        <w:t xml:space="preserve"> által az európai parlamenti képviselői feladatának ellátása során kinyilvánított véleménynek vagy leadott szavazatnak minősül;</w:t>
      </w:r>
    </w:p>
    <w:p w:rsidR="004D7BB1" w:rsidRPr="001B695D" w:rsidP="004D7BB1" w14:paraId="38A84BBB" w14:textId="42B86A4E">
      <w:pPr>
        <w:pStyle w:val="NormalHanging12a"/>
        <w:rPr>
          <w:bCs/>
          <w:iCs/>
          <w:color w:val="000000"/>
        </w:rPr>
      </w:pPr>
      <w:r w:rsidRPr="001B695D">
        <w:rPr>
          <w:color w:val="000000"/>
        </w:rPr>
        <w:t>M.</w:t>
      </w:r>
      <w:r w:rsidRPr="001B695D">
        <w:rPr>
          <w:color w:val="000000"/>
        </w:rPr>
        <w:tab/>
        <w:t>mivel az összes többi állítólagos bűncselekmény</w:t>
      </w:r>
      <w:r w:rsidRPr="001B695D" w:rsidR="00883E05">
        <w:rPr>
          <w:color w:val="000000"/>
        </w:rPr>
        <w:t xml:space="preserve"> nem minősül,</w:t>
      </w:r>
      <w:r w:rsidRPr="001B695D">
        <w:rPr>
          <w:color w:val="000000"/>
        </w:rPr>
        <w:t xml:space="preserve"> és a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mentelmi jogának felfüggesztésére irányuló fennmaradó kérelem</w:t>
      </w:r>
      <w:r w:rsidRPr="001B695D" w:rsidR="00883E05">
        <w:rPr>
          <w:color w:val="000000"/>
        </w:rPr>
        <w:t xml:space="preserve"> nem kapcsolódik</w:t>
      </w:r>
      <w:r w:rsidRPr="001B695D">
        <w:rPr>
          <w:color w:val="000000"/>
        </w:rPr>
        <w:t xml:space="preserve"> semmilyen, az Európai Unió kiváltságairól és mentességeiről szóló 7. </w:t>
      </w:r>
      <w:r w:rsidRPr="001B695D">
        <w:rPr>
          <w:color w:val="000000"/>
        </w:rPr>
        <w:t xml:space="preserve">jegyzőkönyv 8. cikke értelmében a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által feladatainak ellátása során kifejtett véleményhez vagy leadott szavazathoz;</w:t>
      </w:r>
    </w:p>
    <w:p w:rsidR="004D7BB1" w:rsidRPr="001B695D" w:rsidP="004D7BB1" w14:paraId="2B6E072C" w14:textId="37D30B5A">
      <w:pPr>
        <w:pStyle w:val="NormalHanging12a"/>
        <w:rPr>
          <w:bCs/>
          <w:iCs/>
          <w:color w:val="000000"/>
        </w:rPr>
      </w:pPr>
      <w:r w:rsidRPr="001B695D">
        <w:rPr>
          <w:color w:val="000000"/>
        </w:rPr>
        <w:t>N.</w:t>
      </w:r>
      <w:r w:rsidRPr="001B695D">
        <w:rPr>
          <w:color w:val="000000"/>
        </w:rPr>
        <w:tab/>
        <w:t xml:space="preserve">mivel az Európai Unió kiváltságairól és mentességeiről szóló 7. jegyzőkönyv 9. cikke első bekezdésének a) pontja szerint az Európai Parlament </w:t>
      </w:r>
      <w:r w:rsidRPr="001B695D">
        <w:rPr>
          <w:color w:val="000000"/>
        </w:rPr>
        <w:t>ülésszakainak</w:t>
      </w:r>
      <w:r w:rsidRPr="001B695D">
        <w:rPr>
          <w:color w:val="000000"/>
        </w:rPr>
        <w:t xml:space="preserve"> ideje alatt az Európai Parlament </w:t>
      </w:r>
      <w:r w:rsidRPr="001B695D" w:rsidR="00A83E79">
        <w:rPr>
          <w:color w:val="000000"/>
        </w:rPr>
        <w:t>tagjai</w:t>
      </w:r>
      <w:r w:rsidRPr="001B695D">
        <w:rPr>
          <w:color w:val="000000"/>
        </w:rPr>
        <w:t xml:space="preserve"> saját </w:t>
      </w:r>
      <w:r w:rsidRPr="001B695D" w:rsidR="00BE4D20">
        <w:rPr>
          <w:color w:val="000000"/>
        </w:rPr>
        <w:t>tag</w:t>
      </w:r>
      <w:r w:rsidRPr="001B695D">
        <w:rPr>
          <w:color w:val="000000"/>
        </w:rPr>
        <w:t>államuk területén a saját tagállamuk parlamentjének tagjaira vonatkozó mentességet élvezik;</w:t>
      </w:r>
    </w:p>
    <w:p w:rsidR="004D7BB1" w:rsidRPr="001B695D" w:rsidP="004D7BB1" w14:paraId="3715EC57" w14:textId="77777777">
      <w:pPr>
        <w:pStyle w:val="NormalHanging12a"/>
        <w:rPr>
          <w:color w:val="000000"/>
        </w:rPr>
      </w:pPr>
      <w:r w:rsidRPr="001B695D">
        <w:rPr>
          <w:color w:val="000000"/>
        </w:rPr>
        <w:t>O.</w:t>
      </w:r>
      <w:r w:rsidRPr="001B695D">
        <w:rPr>
          <w:color w:val="000000"/>
        </w:rPr>
        <w:tab/>
        <w:t>mivel a román alkotmány 72. cikkének (1) és (2) bekezdése a következőképpen rendelkezik:</w:t>
      </w:r>
    </w:p>
    <w:p w:rsidR="004D7BB1" w:rsidRPr="001B695D" w:rsidP="00BE4D20" w14:paraId="5F1898C6" w14:textId="77777777">
      <w:pPr>
        <w:pStyle w:val="NormalHanging12a"/>
        <w:ind w:left="1134"/>
        <w:rPr>
          <w:color w:val="000000"/>
        </w:rPr>
      </w:pPr>
      <w:r w:rsidRPr="001B695D">
        <w:rPr>
          <w:color w:val="000000"/>
        </w:rPr>
        <w:t>„(1)</w:t>
      </w:r>
      <w:r w:rsidRPr="001B695D">
        <w:rPr>
          <w:color w:val="000000"/>
        </w:rPr>
        <w:tab/>
        <w:t>A képviselők vagy szenátorok nem vonhatók felelősségre a hivataluk gyakorlása során leadott szavazatokért vagy kifejtett politikai véleményekért.</w:t>
      </w:r>
    </w:p>
    <w:p w:rsidR="004D7BB1" w:rsidRPr="001B695D" w:rsidP="00BE4D20" w14:paraId="4DA9D598" w14:textId="7ED086F0">
      <w:pPr>
        <w:pStyle w:val="NormalHanging12a"/>
        <w:ind w:left="1134"/>
        <w:rPr>
          <w:color w:val="000000"/>
        </w:rPr>
      </w:pPr>
      <w:r w:rsidRPr="001B695D">
        <w:rPr>
          <w:color w:val="000000"/>
        </w:rPr>
        <w:t>(</w:t>
      </w:r>
      <w:r w:rsidRPr="001B695D">
        <w:rPr>
          <w:color w:val="000000"/>
        </w:rPr>
        <w:t>2</w:t>
      </w:r>
      <w:r w:rsidRPr="001B695D">
        <w:rPr>
          <w:color w:val="000000"/>
        </w:rPr>
        <w:t>)</w:t>
      </w:r>
      <w:r w:rsidRPr="001B695D">
        <w:rPr>
          <w:color w:val="000000"/>
        </w:rPr>
        <w:tab/>
        <w:t xml:space="preserve">A képviselőkkel és szenátorokkal szemben indulhat </w:t>
      </w:r>
      <w:r w:rsidRPr="001B695D" w:rsidR="00883E05">
        <w:rPr>
          <w:color w:val="000000"/>
        </w:rPr>
        <w:t>nyomozás</w:t>
      </w:r>
      <w:r w:rsidRPr="001B695D">
        <w:rPr>
          <w:color w:val="000000"/>
        </w:rPr>
        <w:t xml:space="preserve"> és b</w:t>
      </w:r>
      <w:r w:rsidRPr="001B695D" w:rsidR="00883E05">
        <w:rPr>
          <w:color w:val="000000"/>
        </w:rPr>
        <w:t>üntetőeljárás alá vonhatók</w:t>
      </w:r>
      <w:r w:rsidRPr="001B695D">
        <w:rPr>
          <w:color w:val="000000"/>
        </w:rPr>
        <w:t xml:space="preserve"> olyan cselekmények miatt, melyek nem kapcsolódnak a mandátumuk gyakorlása keretében történő szavazáshoz vagy politikai véleménynyilvánításhoz, de a </w:t>
      </w:r>
      <w:r w:rsidRPr="001B695D" w:rsidR="00883E05">
        <w:rPr>
          <w:color w:val="000000"/>
        </w:rPr>
        <w:t xml:space="preserve">parlamenti </w:t>
      </w:r>
      <w:r w:rsidRPr="001B695D">
        <w:rPr>
          <w:color w:val="000000"/>
        </w:rPr>
        <w:t xml:space="preserve">kamarájuk – megfelelő meghallgatásukat követő – jóváhagyása nélkül náluk nem folytatható le házkutatás, nem </w:t>
      </w:r>
      <w:r w:rsidRPr="001B695D" w:rsidR="00883E05">
        <w:rPr>
          <w:color w:val="000000"/>
        </w:rPr>
        <w:t>vehetők őrizetbe</w:t>
      </w:r>
      <w:r w:rsidRPr="001B695D">
        <w:rPr>
          <w:color w:val="000000"/>
        </w:rPr>
        <w:t xml:space="preserve"> és nem </w:t>
      </w:r>
      <w:r w:rsidRPr="001B695D" w:rsidR="00883E05">
        <w:rPr>
          <w:color w:val="000000"/>
        </w:rPr>
        <w:t>tartoztathatók</w:t>
      </w:r>
      <w:r w:rsidRPr="001B695D" w:rsidR="00D32A28">
        <w:rPr>
          <w:color w:val="000000"/>
        </w:rPr>
        <w:t xml:space="preserve"> le</w:t>
      </w:r>
      <w:r w:rsidRPr="001B695D">
        <w:rPr>
          <w:color w:val="000000"/>
        </w:rPr>
        <w:t xml:space="preserve">. Velük szemben </w:t>
      </w:r>
      <w:r w:rsidRPr="001B695D" w:rsidR="00883E05">
        <w:rPr>
          <w:color w:val="000000"/>
        </w:rPr>
        <w:t>a nyomozás</w:t>
      </w:r>
      <w:r w:rsidRPr="001B695D">
        <w:rPr>
          <w:color w:val="000000"/>
        </w:rPr>
        <w:t xml:space="preserve"> </w:t>
      </w:r>
      <w:r w:rsidRPr="001B695D" w:rsidR="00883E05">
        <w:rPr>
          <w:color w:val="000000"/>
        </w:rPr>
        <w:t>meg</w:t>
      </w:r>
      <w:r w:rsidRPr="001B695D">
        <w:rPr>
          <w:color w:val="000000"/>
        </w:rPr>
        <w:t xml:space="preserve">indítására és </w:t>
      </w:r>
      <w:r w:rsidRPr="001B695D" w:rsidR="00D32A28">
        <w:rPr>
          <w:color w:val="000000"/>
        </w:rPr>
        <w:t xml:space="preserve">a </w:t>
      </w:r>
      <w:r w:rsidRPr="001B695D">
        <w:rPr>
          <w:color w:val="000000"/>
        </w:rPr>
        <w:t>vádemelésre kizárólag a Legfelsőbb Semmítő- és Ítélőszék</w:t>
      </w:r>
      <w:r w:rsidRPr="001B695D" w:rsidR="00D32A28">
        <w:rPr>
          <w:color w:val="000000"/>
        </w:rPr>
        <w:t>hez tartozó</w:t>
      </w:r>
      <w:r w:rsidRPr="001B695D">
        <w:rPr>
          <w:color w:val="000000"/>
        </w:rPr>
        <w:t xml:space="preserve"> Ügyészség jogosult. Minden ilyen ügyben a Legfelsőbb Semmítő- és Ítélőszék illetékes.”</w:t>
      </w:r>
    </w:p>
    <w:p w:rsidR="004D7BB1" w:rsidRPr="001B695D" w:rsidP="004D7BB1" w14:paraId="0774171E" w14:textId="77777777">
      <w:pPr>
        <w:pStyle w:val="NormalHanging12a"/>
        <w:rPr>
          <w:color w:val="000000"/>
        </w:rPr>
      </w:pPr>
      <w:r w:rsidRPr="001B695D">
        <w:rPr>
          <w:color w:val="000000"/>
        </w:rPr>
        <w:t>P.</w:t>
      </w:r>
      <w:r w:rsidRPr="001B695D">
        <w:rPr>
          <w:color w:val="000000"/>
        </w:rPr>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rsidR="004D7BB1" w:rsidRPr="001B695D" w:rsidP="004D7BB1" w14:paraId="0BA786C9" w14:textId="77777777">
      <w:pPr>
        <w:pStyle w:val="NormalHanging12a"/>
        <w:rPr>
          <w:color w:val="000000"/>
        </w:rPr>
      </w:pPr>
      <w:r w:rsidRPr="001B695D">
        <w:rPr>
          <w:color w:val="000000"/>
        </w:rPr>
        <w:t>Q.</w:t>
      </w:r>
      <w:r w:rsidRPr="001B695D">
        <w:rPr>
          <w:color w:val="000000"/>
        </w:rPr>
        <w:tab/>
        <w:t>mivel az Európai Parlament eljárási szabályzata 5. cikkének (2) bekezdésével összhangban a parlamenti mentelmi jog nem a képviselők személyes kiváltsága, hanem a teljes Parlament és az egyes képviselők függetlenségének biztosítéka;</w:t>
      </w:r>
    </w:p>
    <w:p w:rsidR="004D7BB1" w:rsidRPr="001B695D" w:rsidP="004D7BB1" w14:paraId="34EA78EE" w14:textId="75312E91">
      <w:pPr>
        <w:pStyle w:val="NormalHanging12a"/>
        <w:rPr>
          <w:color w:val="000000"/>
        </w:rPr>
      </w:pPr>
      <w:r w:rsidRPr="001B695D">
        <w:rPr>
          <w:color w:val="000000"/>
        </w:rPr>
        <w:t>R.</w:t>
      </w:r>
      <w:r w:rsidRPr="001B695D">
        <w:rPr>
          <w:color w:val="000000"/>
        </w:rPr>
        <w:tab/>
        <w:t xml:space="preserve">mivel a Parlament </w:t>
      </w:r>
      <w:r w:rsidRPr="001B695D" w:rsidR="008C5842">
        <w:t xml:space="preserve">ebben az esetben </w:t>
      </w:r>
      <w:r w:rsidRPr="001B695D">
        <w:rPr>
          <w:color w:val="000000"/>
        </w:rPr>
        <w:t xml:space="preserve">nem talált bizonyítékot </w:t>
      </w:r>
      <w:r w:rsidRPr="001B695D">
        <w:rPr>
          <w:i/>
          <w:iCs/>
          <w:color w:val="000000"/>
        </w:rPr>
        <w:t>fumus</w:t>
      </w:r>
      <w:r w:rsidRPr="001B695D">
        <w:rPr>
          <w:i/>
          <w:iCs/>
          <w:color w:val="000000"/>
        </w:rPr>
        <w:t xml:space="preserve"> </w:t>
      </w:r>
      <w:r w:rsidRPr="001B695D">
        <w:rPr>
          <w:i/>
          <w:iCs/>
          <w:color w:val="000000"/>
        </w:rPr>
        <w:t>persecutionis</w:t>
      </w:r>
      <w:r w:rsidRPr="001B695D">
        <w:rPr>
          <w:color w:val="000000"/>
        </w:rPr>
        <w:t xml:space="preserve"> fennállására, azaz olyan ténybeli elemekre, amelyek arra utalnának, hogy a szóban forgó bírósági eljárást azzal a szándékkal indították, hogy </w:t>
      </w:r>
      <w:r w:rsidRPr="001B695D" w:rsidR="00C2058C">
        <w:rPr>
          <w:color w:val="000000"/>
        </w:rPr>
        <w:t>ártsanak</w:t>
      </w:r>
      <w:r w:rsidRPr="001B695D">
        <w:rPr>
          <w:color w:val="000000"/>
        </w:rPr>
        <w:t xml:space="preserve"> Diana </w:t>
      </w:r>
      <w:r w:rsidRPr="001B695D">
        <w:rPr>
          <w:color w:val="000000"/>
        </w:rPr>
        <w:t>Iovanovici</w:t>
      </w:r>
      <w:r w:rsidRPr="001B695D">
        <w:rPr>
          <w:color w:val="000000"/>
        </w:rPr>
        <w:t xml:space="preserve"> </w:t>
      </w:r>
      <w:r w:rsidRPr="001B695D">
        <w:rPr>
          <w:color w:val="000000"/>
        </w:rPr>
        <w:t>Șoșoacă</w:t>
      </w:r>
      <w:r w:rsidRPr="001B695D">
        <w:rPr>
          <w:color w:val="000000"/>
        </w:rPr>
        <w:t xml:space="preserve"> Európai Parlament képviselőjeként folytatott politikai tevékenységé</w:t>
      </w:r>
      <w:r w:rsidRPr="001B695D" w:rsidR="00C2058C">
        <w:rPr>
          <w:color w:val="000000"/>
        </w:rPr>
        <w:t>nek</w:t>
      </w:r>
      <w:r w:rsidRPr="001B695D" w:rsidR="008C5842">
        <w:rPr>
          <w:color w:val="000000"/>
        </w:rPr>
        <w:t>, és ezáltal a Parlament függetlenség</w:t>
      </w:r>
      <w:r w:rsidRPr="001B695D" w:rsidR="00C2058C">
        <w:rPr>
          <w:color w:val="000000"/>
        </w:rPr>
        <w:t>ének</w:t>
      </w:r>
      <w:r w:rsidRPr="001B695D">
        <w:rPr>
          <w:color w:val="000000"/>
        </w:rPr>
        <w:t>;</w:t>
      </w:r>
    </w:p>
    <w:p w:rsidR="004D7BB1" w:rsidRPr="001B695D" w:rsidP="004D7BB1" w14:paraId="222E06DF" w14:textId="77777777">
      <w:pPr>
        <w:pStyle w:val="NormalHanging12a"/>
        <w:rPr>
          <w:color w:val="000000"/>
        </w:rPr>
      </w:pPr>
      <w:r w:rsidRPr="001B695D">
        <w:rPr>
          <w:color w:val="000000"/>
        </w:rPr>
        <w:t>S.</w:t>
      </w:r>
      <w:r w:rsidRPr="001B695D">
        <w:rPr>
          <w:color w:val="000000"/>
        </w:rPr>
        <w:tab/>
        <w:t>mivel egyrészről a Parlament nem töltheti be bíróság szerepét, másrészről pedig a mentelmi jog felfüggesztésére irányuló eljárásban az érintett képviselő nem tekinthető vádlottnak</w:t>
      </w:r>
      <w:r>
        <w:rPr>
          <w:color w:val="000000"/>
          <w:vertAlign w:val="superscript"/>
        </w:rPr>
        <w:footnoteReference w:id="3"/>
      </w:r>
      <w:r w:rsidRPr="001B695D">
        <w:rPr>
          <w:color w:val="000000"/>
        </w:rPr>
        <w:t>;</w:t>
      </w:r>
    </w:p>
    <w:p w:rsidR="004D7BB1" w:rsidRPr="001B695D" w:rsidP="004D7BB1" w14:paraId="5ACA6CA1" w14:textId="7AD45441">
      <w:pPr>
        <w:pStyle w:val="NormalHanging12a"/>
        <w:rPr>
          <w:color w:val="000000"/>
        </w:rPr>
      </w:pPr>
      <w:r w:rsidRPr="001B695D">
        <w:rPr>
          <w:color w:val="000000"/>
        </w:rPr>
        <w:t>1.</w:t>
      </w:r>
      <w:r w:rsidRPr="001B695D">
        <w:rPr>
          <w:color w:val="000000"/>
        </w:rPr>
        <w:tab/>
        <w:t>úgy határoz, hogy a B., C., D., E., F., G. és H. pontban említett</w:t>
      </w:r>
      <w:r w:rsidRPr="001B695D" w:rsidR="00BE4D20">
        <w:rPr>
          <w:color w:val="000000"/>
        </w:rPr>
        <w:t>,</w:t>
      </w:r>
      <w:r w:rsidRPr="001B695D">
        <w:rPr>
          <w:color w:val="000000"/>
        </w:rPr>
        <w:t xml:space="preserve"> állítólagos bűncselekmények tekintetében felfüggeszti Diana </w:t>
      </w:r>
      <w:r w:rsidRPr="001B695D">
        <w:rPr>
          <w:color w:val="000000"/>
        </w:rPr>
        <w:t>Iovanovici</w:t>
      </w:r>
      <w:r w:rsidRPr="001B695D">
        <w:rPr>
          <w:color w:val="000000"/>
        </w:rPr>
        <w:t xml:space="preserve"> </w:t>
      </w:r>
      <w:r w:rsidRPr="001B695D">
        <w:rPr>
          <w:color w:val="000000"/>
        </w:rPr>
        <w:t>Şoşoacă</w:t>
      </w:r>
      <w:r w:rsidRPr="001B695D">
        <w:rPr>
          <w:color w:val="000000"/>
        </w:rPr>
        <w:t xml:space="preserve"> mentelmi jogát;</w:t>
      </w:r>
    </w:p>
    <w:p w:rsidR="004D7BB1" w:rsidRPr="001B695D" w:rsidP="004D7BB1" w14:paraId="22B6519A" w14:textId="08BB90AD">
      <w:pPr>
        <w:pStyle w:val="NormalHanging12a"/>
        <w:rPr>
          <w:color w:val="000000"/>
        </w:rPr>
      </w:pPr>
      <w:r w:rsidRPr="001B695D">
        <w:rPr>
          <w:color w:val="000000"/>
        </w:rPr>
        <w:t>2.</w:t>
      </w:r>
      <w:r w:rsidRPr="001B695D">
        <w:rPr>
          <w:color w:val="000000"/>
        </w:rPr>
        <w:tab/>
        <w:t>úgy határoz, hogy az I. pontban említett</w:t>
      </w:r>
      <w:r w:rsidRPr="001B695D" w:rsidR="00BE4D20">
        <w:rPr>
          <w:color w:val="000000"/>
        </w:rPr>
        <w:t>,</w:t>
      </w:r>
      <w:r w:rsidRPr="001B695D">
        <w:rPr>
          <w:color w:val="000000"/>
        </w:rPr>
        <w:t xml:space="preserve"> állítólagos bűncselekmény tekintetében nem függeszti fel Diana </w:t>
      </w:r>
      <w:r w:rsidRPr="001B695D">
        <w:rPr>
          <w:color w:val="000000"/>
        </w:rPr>
        <w:t>Iovanovici</w:t>
      </w:r>
      <w:r w:rsidRPr="001B695D">
        <w:rPr>
          <w:color w:val="000000"/>
        </w:rPr>
        <w:t xml:space="preserve"> </w:t>
      </w:r>
      <w:r w:rsidRPr="001B695D">
        <w:rPr>
          <w:color w:val="000000"/>
        </w:rPr>
        <w:t>Şoşoacă</w:t>
      </w:r>
      <w:r w:rsidRPr="001B695D">
        <w:rPr>
          <w:color w:val="000000"/>
        </w:rPr>
        <w:t xml:space="preserve"> mentelmi jogát;</w:t>
      </w:r>
    </w:p>
    <w:p w:rsidR="00E365E1" w:rsidRPr="00554F54" w:rsidP="00BE4D20" w14:paraId="07F8B41F" w14:textId="6F2302E8">
      <w:pPr>
        <w:pStyle w:val="NormalHanging12a"/>
      </w:pPr>
      <w:r w:rsidRPr="001B695D">
        <w:t>3.</w:t>
      </w:r>
      <w:r w:rsidRPr="001B695D">
        <w:tab/>
        <w:t xml:space="preserve">utasítja elnökét, hogy haladéktalanul továbbítsa ezt a határozatot és illetékes bizottságának jelentését Románia illetékes hatóságainak és Diana </w:t>
      </w:r>
      <w:r w:rsidRPr="001B695D">
        <w:t>Iovanovici</w:t>
      </w:r>
      <w:r w:rsidRPr="001B695D">
        <w:t xml:space="preserve"> </w:t>
      </w:r>
      <w:r w:rsidRPr="001B695D">
        <w:t>Şoşoacănak</w:t>
      </w:r>
      <w:r w:rsidRPr="001B695D">
        <w:t>.</w:t>
      </w:r>
    </w:p>
    <w:sectPr w:rsidSect="00554F5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4F54" w14:paraId="63FEC15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4F54" w14:paraId="41749AC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4F54" w14:paraId="3A7CF56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A6A5D" w:rsidRPr="00554F54" w14:paraId="1E7E6C76" w14:textId="77777777">
      <w:r w:rsidRPr="00554F54">
        <w:separator/>
      </w:r>
    </w:p>
  </w:footnote>
  <w:footnote w:type="continuationSeparator" w:id="1">
    <w:p w:rsidR="003A6A5D" w:rsidRPr="00554F54" w14:paraId="5790CF62" w14:textId="77777777">
      <w:r w:rsidRPr="00554F54">
        <w:continuationSeparator/>
      </w:r>
    </w:p>
  </w:footnote>
  <w:footnote w:id="2">
    <w:p w:rsidR="004D7BB1" w:rsidRPr="00554F54" w:rsidP="00554F54" w14:paraId="45EBF50C" w14:textId="200C3BB8">
      <w:pPr>
        <w:pStyle w:val="FootnoteText"/>
        <w:ind w:left="567" w:hanging="567"/>
        <w:rPr>
          <w:sz w:val="24"/>
          <w:lang w:val="hu-HU"/>
        </w:rPr>
      </w:pPr>
      <w:r w:rsidRPr="00554F54">
        <w:rPr>
          <w:rStyle w:val="FootnoteReference"/>
          <w:sz w:val="24"/>
          <w:lang w:val="hu-HU"/>
        </w:rPr>
        <w:footnoteRef/>
      </w:r>
      <w:r w:rsidRPr="00554F54" w:rsidR="00554F54">
        <w:rPr>
          <w:sz w:val="24"/>
          <w:lang w:val="hu-HU"/>
        </w:rPr>
        <w:t xml:space="preserve"> </w:t>
      </w:r>
      <w:r w:rsidRPr="00554F54" w:rsidR="00554F54">
        <w:rPr>
          <w:sz w:val="24"/>
          <w:lang w:val="hu-HU"/>
        </w:rPr>
        <w:tab/>
      </w:r>
      <w:r w:rsidRPr="00554F54">
        <w:rPr>
          <w:sz w:val="24"/>
          <w:lang w:val="hu-HU"/>
        </w:rPr>
        <w:t xml:space="preserve">a Bíróság 2008. október 21-i ítélete, Marra kontra De </w:t>
      </w:r>
      <w:r w:rsidRPr="00554F54">
        <w:rPr>
          <w:sz w:val="24"/>
          <w:lang w:val="hu-HU"/>
        </w:rPr>
        <w:t>Gregorio</w:t>
      </w:r>
      <w:r w:rsidRPr="00554F54">
        <w:rPr>
          <w:sz w:val="24"/>
          <w:lang w:val="hu-HU"/>
        </w:rPr>
        <w:t xml:space="preserve"> és </w:t>
      </w:r>
      <w:r w:rsidRPr="00554F54">
        <w:rPr>
          <w:sz w:val="24"/>
          <w:lang w:val="hu-HU"/>
        </w:rPr>
        <w:t>Clemente</w:t>
      </w:r>
      <w:r w:rsidRPr="00554F54">
        <w:rPr>
          <w:sz w:val="24"/>
          <w:lang w:val="hu-HU"/>
        </w:rPr>
        <w:t xml:space="preserve">, C 200/07. és C-201/07., ECLI:EU:C:2008:579; a Törvényszék 2010. március 19-i ítélete, </w:t>
      </w:r>
      <w:r w:rsidRPr="00554F54">
        <w:rPr>
          <w:sz w:val="24"/>
          <w:lang w:val="hu-HU"/>
        </w:rPr>
        <w:t>Gollnisch</w:t>
      </w:r>
      <w:r w:rsidRPr="00554F54">
        <w:rPr>
          <w:sz w:val="24"/>
          <w:lang w:val="hu-HU"/>
        </w:rPr>
        <w:t xml:space="preserve"> kontra Európai Parlament, T-42/06, ECLI:EU:T:2010:102; a Bíróság 2011. szeptember 6-i ítélete, </w:t>
      </w:r>
      <w:r w:rsidRPr="00554F54">
        <w:rPr>
          <w:sz w:val="24"/>
          <w:lang w:val="hu-HU"/>
        </w:rPr>
        <w:t>Patriciello</w:t>
      </w:r>
      <w:r w:rsidRPr="00554F54">
        <w:rPr>
          <w:sz w:val="24"/>
          <w:lang w:val="hu-HU"/>
        </w:rPr>
        <w:t xml:space="preserve">, C-163/10, ECLI: EU:C:2011:543; a Törvényszék 2013. január 17-i ítélete, </w:t>
      </w:r>
      <w:r w:rsidRPr="00554F54">
        <w:rPr>
          <w:sz w:val="24"/>
          <w:lang w:val="hu-HU"/>
        </w:rPr>
        <w:t>Gollnisch</w:t>
      </w:r>
      <w:r w:rsidRPr="00554F54">
        <w:rPr>
          <w:sz w:val="24"/>
          <w:lang w:val="hu-HU"/>
        </w:rPr>
        <w:t xml:space="preserve"> kontra Európai Parlament, T-346/11 és T-347/11, ECLI:EU:T:2013:23; a Bíróság 2019. december 19-i ítélete, </w:t>
      </w:r>
      <w:r w:rsidRPr="00554F54">
        <w:rPr>
          <w:sz w:val="24"/>
          <w:lang w:val="hu-HU"/>
        </w:rPr>
        <w:t>Junqueras</w:t>
      </w:r>
      <w:r w:rsidRPr="00554F54">
        <w:rPr>
          <w:sz w:val="24"/>
          <w:lang w:val="hu-HU"/>
        </w:rPr>
        <w:t xml:space="preserve"> </w:t>
      </w:r>
      <w:r w:rsidRPr="00554F54">
        <w:rPr>
          <w:sz w:val="24"/>
          <w:lang w:val="hu-HU"/>
        </w:rPr>
        <w:t>Vies</w:t>
      </w:r>
      <w:r w:rsidRPr="00554F54">
        <w:rPr>
          <w:sz w:val="24"/>
          <w:lang w:val="hu-HU"/>
        </w:rPr>
        <w:t>, C-502/19, ECLI:EU:C:2019:1115.</w:t>
      </w:r>
    </w:p>
  </w:footnote>
  <w:footnote w:id="3">
    <w:p w:rsidR="004D7BB1" w:rsidRPr="00554F54" w:rsidP="00554F54" w14:paraId="0824AF98" w14:textId="2BC8EE02">
      <w:pPr>
        <w:pStyle w:val="FootnoteText"/>
        <w:ind w:left="567" w:hanging="567"/>
        <w:rPr>
          <w:sz w:val="24"/>
          <w:lang w:val="hu-HU"/>
        </w:rPr>
      </w:pPr>
      <w:r w:rsidRPr="00554F54">
        <w:rPr>
          <w:rStyle w:val="FootnoteReference"/>
          <w:sz w:val="24"/>
          <w:lang w:val="hu-HU"/>
        </w:rPr>
        <w:footnoteRef/>
      </w:r>
      <w:r w:rsidRPr="00554F54" w:rsidR="00554F54">
        <w:rPr>
          <w:sz w:val="24"/>
          <w:lang w:val="hu-HU"/>
        </w:rPr>
        <w:t xml:space="preserve"> </w:t>
      </w:r>
      <w:r w:rsidRPr="00554F54" w:rsidR="00554F54">
        <w:rPr>
          <w:sz w:val="24"/>
          <w:lang w:val="hu-HU"/>
        </w:rPr>
        <w:tab/>
      </w:r>
      <w:r w:rsidRPr="00554F54">
        <w:rPr>
          <w:sz w:val="24"/>
          <w:lang w:val="hu-HU"/>
        </w:rPr>
        <w:t xml:space="preserve">A Törvényszék 2019. április 30-i ítélete, </w:t>
      </w:r>
      <w:r w:rsidRPr="00554F54">
        <w:rPr>
          <w:sz w:val="24"/>
          <w:lang w:val="hu-HU"/>
        </w:rPr>
        <w:t>Briois</w:t>
      </w:r>
      <w:r w:rsidRPr="00554F54">
        <w:rPr>
          <w:sz w:val="24"/>
          <w:lang w:val="hu-HU"/>
        </w:rPr>
        <w:t xml:space="preserve"> kontra Európai Parlament, T-214/18, ECLI:</w:t>
      </w:r>
      <w:r w:rsidRPr="00554F54">
        <w:rPr>
          <w:sz w:val="24"/>
          <w:lang w:val="hu-HU"/>
        </w:rPr>
        <w:t>EU:T</w:t>
      </w:r>
      <w:r w:rsidRPr="00554F54">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4F54" w14:paraId="70726B1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4F54" w14:paraId="660B057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4F54" w14:paraId="223BE71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4745151">
    <w:abstractNumId w:val="9"/>
  </w:num>
  <w:num w:numId="2" w16cid:durableId="1042367789">
    <w:abstractNumId w:val="9"/>
  </w:num>
  <w:num w:numId="3" w16cid:durableId="287586895">
    <w:abstractNumId w:val="7"/>
  </w:num>
  <w:num w:numId="4" w16cid:durableId="1181089979">
    <w:abstractNumId w:val="7"/>
  </w:num>
  <w:num w:numId="5" w16cid:durableId="139810973">
    <w:abstractNumId w:val="6"/>
  </w:num>
  <w:num w:numId="6" w16cid:durableId="1912496134">
    <w:abstractNumId w:val="6"/>
  </w:num>
  <w:num w:numId="7" w16cid:durableId="1883207932">
    <w:abstractNumId w:val="5"/>
  </w:num>
  <w:num w:numId="8" w16cid:durableId="34890557">
    <w:abstractNumId w:val="5"/>
  </w:num>
  <w:num w:numId="9" w16cid:durableId="827525957">
    <w:abstractNumId w:val="4"/>
  </w:num>
  <w:num w:numId="10" w16cid:durableId="2096973957">
    <w:abstractNumId w:val="4"/>
  </w:num>
  <w:num w:numId="11" w16cid:durableId="322199661">
    <w:abstractNumId w:val="8"/>
  </w:num>
  <w:num w:numId="12" w16cid:durableId="367149471">
    <w:abstractNumId w:val="8"/>
  </w:num>
  <w:num w:numId="13" w16cid:durableId="1640845934">
    <w:abstractNumId w:val="3"/>
  </w:num>
  <w:num w:numId="14" w16cid:durableId="963729381">
    <w:abstractNumId w:val="3"/>
  </w:num>
  <w:num w:numId="15" w16cid:durableId="1241646314">
    <w:abstractNumId w:val="2"/>
  </w:num>
  <w:num w:numId="16" w16cid:durableId="1211501358">
    <w:abstractNumId w:val="2"/>
  </w:num>
  <w:num w:numId="17" w16cid:durableId="1660962864">
    <w:abstractNumId w:val="1"/>
  </w:num>
  <w:num w:numId="18" w16cid:durableId="531696692">
    <w:abstractNumId w:val="1"/>
  </w:num>
  <w:num w:numId="19" w16cid:durableId="617295529">
    <w:abstractNumId w:val="0"/>
  </w:num>
  <w:num w:numId="20" w16cid:durableId="86002471">
    <w:abstractNumId w:val="0"/>
  </w:num>
  <w:num w:numId="21" w16cid:durableId="1658993614">
    <w:abstractNumId w:val="9"/>
  </w:num>
  <w:num w:numId="22" w16cid:durableId="1651396946">
    <w:abstractNumId w:val="7"/>
  </w:num>
  <w:num w:numId="23" w16cid:durableId="30883484">
    <w:abstractNumId w:val="6"/>
  </w:num>
  <w:num w:numId="24" w16cid:durableId="221909913">
    <w:abstractNumId w:val="5"/>
  </w:num>
  <w:num w:numId="25" w16cid:durableId="482819809">
    <w:abstractNumId w:val="4"/>
  </w:num>
  <w:num w:numId="26" w16cid:durableId="1704211117">
    <w:abstractNumId w:val="8"/>
  </w:num>
  <w:num w:numId="27" w16cid:durableId="2109766181">
    <w:abstractNumId w:val="3"/>
  </w:num>
  <w:num w:numId="28" w16cid:durableId="501894916">
    <w:abstractNumId w:val="2"/>
  </w:num>
  <w:num w:numId="29" w16cid:durableId="1261528238">
    <w:abstractNumId w:val="1"/>
  </w:num>
  <w:num w:numId="30" w16cid:durableId="364523984">
    <w:abstractNumId w:val="0"/>
  </w:num>
  <w:num w:numId="31" w16cid:durableId="1012144889">
    <w:abstractNumId w:val="9"/>
  </w:num>
  <w:num w:numId="32" w16cid:durableId="356548435">
    <w:abstractNumId w:val="7"/>
  </w:num>
  <w:num w:numId="33" w16cid:durableId="1351948367">
    <w:abstractNumId w:val="6"/>
  </w:num>
  <w:num w:numId="34" w16cid:durableId="560022823">
    <w:abstractNumId w:val="5"/>
  </w:num>
  <w:num w:numId="35" w16cid:durableId="153029301">
    <w:abstractNumId w:val="4"/>
  </w:num>
  <w:num w:numId="36" w16cid:durableId="1310789489">
    <w:abstractNumId w:val="8"/>
  </w:num>
  <w:num w:numId="37" w16cid:durableId="208228536">
    <w:abstractNumId w:val="3"/>
  </w:num>
  <w:num w:numId="38" w16cid:durableId="1470131817">
    <w:abstractNumId w:val="2"/>
  </w:num>
  <w:num w:numId="39" w16cid:durableId="1552498565">
    <w:abstractNumId w:val="1"/>
  </w:num>
  <w:num w:numId="40" w16cid:durableId="1418288912">
    <w:abstractNumId w:val="0"/>
  </w:num>
  <w:num w:numId="41" w16cid:durableId="1721858673">
    <w:abstractNumId w:val="10"/>
  </w:num>
  <w:num w:numId="42" w16cid:durableId="1731270534">
    <w:abstractNumId w:val="10"/>
  </w:num>
  <w:num w:numId="43" w16cid:durableId="364066208">
    <w:abstractNumId w:val="10"/>
  </w:num>
  <w:num w:numId="44" w16cid:durableId="284043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A5D"/>
    <w:rsid w:val="00002272"/>
    <w:rsid w:val="00064002"/>
    <w:rsid w:val="000677B9"/>
    <w:rsid w:val="000831BA"/>
    <w:rsid w:val="000A42CC"/>
    <w:rsid w:val="000E7DD9"/>
    <w:rsid w:val="0010095E"/>
    <w:rsid w:val="00125B37"/>
    <w:rsid w:val="00130215"/>
    <w:rsid w:val="00162577"/>
    <w:rsid w:val="00187494"/>
    <w:rsid w:val="001B695D"/>
    <w:rsid w:val="001F32AE"/>
    <w:rsid w:val="00222A78"/>
    <w:rsid w:val="002767FF"/>
    <w:rsid w:val="0028133C"/>
    <w:rsid w:val="002B18FE"/>
    <w:rsid w:val="002B5493"/>
    <w:rsid w:val="00343214"/>
    <w:rsid w:val="00361C00"/>
    <w:rsid w:val="00395FA1"/>
    <w:rsid w:val="003A6A5D"/>
    <w:rsid w:val="003E15D4"/>
    <w:rsid w:val="00411CCE"/>
    <w:rsid w:val="0041666E"/>
    <w:rsid w:val="00421060"/>
    <w:rsid w:val="00471C19"/>
    <w:rsid w:val="004867E3"/>
    <w:rsid w:val="00494A28"/>
    <w:rsid w:val="004C0004"/>
    <w:rsid w:val="004C5D52"/>
    <w:rsid w:val="004D7BB1"/>
    <w:rsid w:val="004E1A8A"/>
    <w:rsid w:val="0050519A"/>
    <w:rsid w:val="005072A1"/>
    <w:rsid w:val="00514517"/>
    <w:rsid w:val="00545827"/>
    <w:rsid w:val="00554F54"/>
    <w:rsid w:val="00560270"/>
    <w:rsid w:val="005C2568"/>
    <w:rsid w:val="005F1B17"/>
    <w:rsid w:val="006037C0"/>
    <w:rsid w:val="00642B4A"/>
    <w:rsid w:val="006631B6"/>
    <w:rsid w:val="00680577"/>
    <w:rsid w:val="006F74FA"/>
    <w:rsid w:val="00731ADD"/>
    <w:rsid w:val="00734777"/>
    <w:rsid w:val="00747932"/>
    <w:rsid w:val="00751A4A"/>
    <w:rsid w:val="00756632"/>
    <w:rsid w:val="00762C74"/>
    <w:rsid w:val="00786EC0"/>
    <w:rsid w:val="007A0DAB"/>
    <w:rsid w:val="007D1690"/>
    <w:rsid w:val="007E22AD"/>
    <w:rsid w:val="00817416"/>
    <w:rsid w:val="00842779"/>
    <w:rsid w:val="00865F67"/>
    <w:rsid w:val="00881A7B"/>
    <w:rsid w:val="00883E05"/>
    <w:rsid w:val="008840E5"/>
    <w:rsid w:val="00887B3E"/>
    <w:rsid w:val="008C2AC6"/>
    <w:rsid w:val="008C5842"/>
    <w:rsid w:val="00923127"/>
    <w:rsid w:val="00930C23"/>
    <w:rsid w:val="0093193B"/>
    <w:rsid w:val="009509D8"/>
    <w:rsid w:val="00950B64"/>
    <w:rsid w:val="00981893"/>
    <w:rsid w:val="00992886"/>
    <w:rsid w:val="00A1687D"/>
    <w:rsid w:val="00A2018C"/>
    <w:rsid w:val="00A43E52"/>
    <w:rsid w:val="00A4678D"/>
    <w:rsid w:val="00A778C7"/>
    <w:rsid w:val="00A83E79"/>
    <w:rsid w:val="00AB441E"/>
    <w:rsid w:val="00AB6293"/>
    <w:rsid w:val="00AE0928"/>
    <w:rsid w:val="00AF3B82"/>
    <w:rsid w:val="00B12E95"/>
    <w:rsid w:val="00B22876"/>
    <w:rsid w:val="00B558F0"/>
    <w:rsid w:val="00BD48FE"/>
    <w:rsid w:val="00BD7BD8"/>
    <w:rsid w:val="00BE4D20"/>
    <w:rsid w:val="00BE6ADC"/>
    <w:rsid w:val="00C05BFE"/>
    <w:rsid w:val="00C067AF"/>
    <w:rsid w:val="00C2058C"/>
    <w:rsid w:val="00C23CD4"/>
    <w:rsid w:val="00C61C0C"/>
    <w:rsid w:val="00C941CB"/>
    <w:rsid w:val="00CC2357"/>
    <w:rsid w:val="00CF071A"/>
    <w:rsid w:val="00D058B8"/>
    <w:rsid w:val="00D32A2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7/2026"/>
    <w:docVar w:name="dvlangue" w:val="HU"/>
    <w:docVar w:name="dvnumam" w:val="0"/>
    <w:docVar w:name="dvpe" w:val="785.318"/>
    <w:docVar w:name="dvrapporteur" w:val="Előadó: "/>
    <w:docVar w:name="dvtitre" w:val="Az Európai Parlament 2026. április 28-i határozata a Diana Iovanovici Şoşoacă mentelmi jogának felfüggesztésére irányuló kérelemről(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7673F2"/>
  <w15:chartTrackingRefBased/>
  <w15:docId w15:val="{9BAF3F82-BF02-4C02-BA86-7A087BB32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7BB1"/>
    <w:pPr>
      <w:spacing w:after="240"/>
      <w:ind w:left="567" w:hanging="567"/>
    </w:pPr>
  </w:style>
  <w:style w:type="paragraph" w:customStyle="1" w:styleId="EPComma">
    <w:name w:val="EPComma"/>
    <w:basedOn w:val="Normal"/>
    <w:rsid w:val="004D7BB1"/>
    <w:pPr>
      <w:spacing w:before="480" w:after="240"/>
    </w:pPr>
  </w:style>
  <w:style w:type="paragraph" w:styleId="Revision">
    <w:name w:val="Revision"/>
    <w:hidden/>
    <w:uiPriority w:val="99"/>
    <w:semiHidden/>
    <w:rsid w:val="00BE4D2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9757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2026-04-28T11:37:00Z</dcterms:created>
  <dcterms:modified xsi:type="dcterms:W3CDTF">2026-04-28T11:37:00Z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A10-0117/2026</vt:lpwstr>
  </property>
  <property fmtid="{D5CDD505-2E9C-101B-9397-08002B2CF9AE}" pid="4" name="&lt;Type&gt;">
    <vt:lpwstr>RR</vt:lpwstr>
  </property>
</Properties>
</file>