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49BBB5" w14:textId="77777777" w:rsidTr="0010095E">
        <w:tblPrEx>
          <w:tblW w:w="9072" w:type="dxa"/>
          <w:tblLook w:val="01E0"/>
        </w:tblPrEx>
        <w:trPr>
          <w:trHeight w:hRule="exact" w:val="1418"/>
        </w:trPr>
        <w:tc>
          <w:tcPr>
            <w:tcW w:w="6804" w:type="dxa"/>
            <w:shd w:val="clear" w:color="auto" w:fill="auto"/>
            <w:vAlign w:val="center"/>
          </w:tcPr>
          <w:p w:rsidR="00751A4A" w:rsidRPr="00E23EDD" w:rsidP="0010095E" w14:paraId="46DDBCE4" w14:textId="77777777">
            <w:pPr>
              <w:pStyle w:val="EPName"/>
            </w:pPr>
            <w:r w:rsidRPr="00E23EDD">
              <w:t>Europos Parlamentas</w:t>
            </w:r>
          </w:p>
          <w:p w:rsidR="00751A4A" w:rsidRPr="00E23EDD" w:rsidP="005F1B17" w14:paraId="43A45A8F" w14:textId="77777777">
            <w:pPr>
              <w:pStyle w:val="EPTerm"/>
              <w:rPr>
                <w:rStyle w:val="HideTWBExt"/>
                <w:noProof w:val="0"/>
                <w:vanish w:val="0"/>
                <w:color w:val="auto"/>
              </w:rPr>
            </w:pPr>
            <w:r w:rsidRPr="00E23EDD">
              <w:t>2024</w:t>
            </w:r>
            <w:r w:rsidRPr="00E23EDD" w:rsidR="00817416">
              <w:t>-202</w:t>
            </w:r>
            <w:r w:rsidRPr="00E23EDD">
              <w:t>9</w:t>
            </w:r>
          </w:p>
        </w:tc>
        <w:tc>
          <w:tcPr>
            <w:tcW w:w="2268" w:type="dxa"/>
            <w:shd w:val="clear" w:color="auto" w:fill="auto"/>
          </w:tcPr>
          <w:p w:rsidR="00751A4A" w:rsidRPr="00E23EDD" w:rsidP="0010095E" w14:paraId="1332F0BA" w14:textId="77777777">
            <w:pPr>
              <w:pStyle w:val="EPLogo"/>
            </w:pPr>
            <w:r w:rsidRPr="00E23ED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3EDD" w:rsidP="004C5D52" w14:paraId="3BB2C1B5" w14:textId="77777777">
      <w:pPr>
        <w:pStyle w:val="LineTop"/>
      </w:pPr>
    </w:p>
    <w:p w:rsidR="00680577" w:rsidRPr="00E23EDD" w:rsidP="00680577" w14:paraId="53BE0403" w14:textId="77777777">
      <w:pPr>
        <w:pStyle w:val="EPBodyTA1"/>
      </w:pPr>
      <w:r w:rsidRPr="00E23EDD">
        <w:t>PRIIMTI TEKSTAI</w:t>
      </w:r>
    </w:p>
    <w:p w:rsidR="00D058B8" w:rsidRPr="00E23EDD" w:rsidP="00D058B8" w14:paraId="3BACB6F7" w14:textId="77777777">
      <w:pPr>
        <w:pStyle w:val="LineBottom"/>
      </w:pPr>
    </w:p>
    <w:p w:rsidR="00951E5D" w:rsidRPr="00E23EDD" w:rsidP="00951E5D" w14:paraId="6BF3ED55" w14:textId="105DA9B2">
      <w:pPr>
        <w:pStyle w:val="ATHeading1"/>
      </w:pPr>
      <w:bookmarkStart w:id="0" w:name="TANumber"/>
      <w:r w:rsidRPr="00E23EDD">
        <w:t>P10_TA(2026)0</w:t>
      </w:r>
      <w:r w:rsidR="003A67BC">
        <w:t>108</w:t>
      </w:r>
      <w:bookmarkEnd w:id="0"/>
    </w:p>
    <w:p w:rsidR="00951E5D" w:rsidRPr="00E23EDD" w:rsidP="00951E5D" w14:paraId="07E4BA49" w14:textId="3DE4DD74">
      <w:pPr>
        <w:pStyle w:val="ATHeading2"/>
      </w:pPr>
      <w:bookmarkStart w:id="1" w:name="title"/>
      <w:r w:rsidRPr="00E23EDD">
        <w:t xml:space="preserve">Prašymas atšaukti Dianos </w:t>
      </w:r>
      <w:r w:rsidRPr="00E23EDD">
        <w:t>Iovanovici</w:t>
      </w:r>
      <w:r w:rsidRPr="00E23EDD">
        <w:t xml:space="preserve"> </w:t>
      </w:r>
      <w:r w:rsidRPr="00E23EDD">
        <w:t>Şoşoac</w:t>
      </w:r>
      <w:r w:rsidR="00B17179">
        <w:t>os</w:t>
      </w:r>
      <w:r w:rsidRPr="00E23EDD">
        <w:t xml:space="preserve"> (Diana </w:t>
      </w:r>
      <w:r w:rsidRPr="00E23EDD">
        <w:t>Iovanovici</w:t>
      </w:r>
      <w:r w:rsidRPr="00E23EDD">
        <w:t xml:space="preserve"> </w:t>
      </w:r>
      <w:r w:rsidRPr="00E23EDD">
        <w:t>Şoşoac</w:t>
      </w:r>
      <w:r w:rsidRPr="00E23EDD" w:rsidR="00DA0C1A">
        <w:t>ă</w:t>
      </w:r>
      <w:r w:rsidRPr="00E23EDD">
        <w:t>) imunitetą</w:t>
      </w:r>
      <w:bookmarkEnd w:id="1"/>
    </w:p>
    <w:p w:rsidR="00951E5D" w:rsidRPr="00E23EDD" w:rsidP="00951E5D" w14:paraId="6CCB4547" w14:textId="77777777">
      <w:pPr>
        <w:rPr>
          <w:i/>
          <w:vanish/>
        </w:rPr>
      </w:pPr>
      <w:r>
        <w:rPr>
          <w:i/>
        </w:rPr>
        <w:fldChar w:fldCharType="begin"/>
      </w:r>
      <w:r w:rsidRPr="00E23EDD">
        <w:rPr>
          <w:i/>
        </w:rPr>
        <w:instrText xml:space="preserve"> TC"(</w:instrText>
      </w:r>
      <w:bookmarkStart w:id="2" w:name="DocNumber"/>
      <w:r w:rsidRPr="00E23EDD">
        <w:rPr>
          <w:i/>
        </w:rPr>
        <w:instrText>A10-0117/2026</w:instrText>
      </w:r>
      <w:bookmarkEnd w:id="2"/>
      <w:r w:rsidRPr="00E23EDD">
        <w:rPr>
          <w:i/>
        </w:rPr>
        <w:instrText xml:space="preserve"> - Pranešėjas: Dominik Tarczyński)"\l3 \n&gt; \* MERGEFORMAT </w:instrText>
      </w:r>
      <w:r>
        <w:rPr>
          <w:i/>
        </w:rPr>
        <w:fldChar w:fldCharType="end"/>
      </w:r>
    </w:p>
    <w:p w:rsidR="00951E5D" w:rsidRPr="00E23EDD" w:rsidP="00951E5D" w14:paraId="4D2DAEED" w14:textId="77777777">
      <w:pPr>
        <w:rPr>
          <w:vanish/>
        </w:rPr>
      </w:pPr>
      <w:bookmarkStart w:id="3" w:name="Commission"/>
      <w:r w:rsidRPr="00E23EDD">
        <w:rPr>
          <w:vanish/>
        </w:rPr>
        <w:t>Teisės reikalų komitetas</w:t>
      </w:r>
      <w:bookmarkEnd w:id="3"/>
    </w:p>
    <w:p w:rsidR="00951E5D" w:rsidRPr="00E23EDD" w:rsidP="00951E5D" w14:paraId="6C9C96EE" w14:textId="77777777">
      <w:pPr>
        <w:rPr>
          <w:vanish/>
        </w:rPr>
      </w:pPr>
      <w:bookmarkStart w:id="4" w:name="PE"/>
      <w:r w:rsidRPr="00E23EDD">
        <w:rPr>
          <w:vanish/>
        </w:rPr>
        <w:t>PE785.318</w:t>
      </w:r>
      <w:bookmarkEnd w:id="4"/>
    </w:p>
    <w:p w:rsidR="00951E5D" w:rsidRPr="00E23EDD" w:rsidP="00DF1696" w14:paraId="010D7018" w14:textId="1DE7A37E">
      <w:pPr>
        <w:pStyle w:val="ATHeading3"/>
      </w:pPr>
      <w:bookmarkStart w:id="5" w:name="Sujet"/>
      <w:r w:rsidRPr="00E23EDD">
        <w:t xml:space="preserve">2026 m. </w:t>
      </w:r>
      <w:r w:rsidR="00DF1696">
        <w:t>balandžio 28</w:t>
      </w:r>
      <w:r w:rsidRPr="00E23EDD">
        <w:t xml:space="preserve"> d. Europos Parlamento sprendimas dėl prašymo atšaukti Dianos </w:t>
      </w:r>
      <w:r w:rsidRPr="00E23EDD">
        <w:t>Iovanovici</w:t>
      </w:r>
      <w:r w:rsidRPr="00E23EDD">
        <w:t xml:space="preserve"> </w:t>
      </w:r>
      <w:r w:rsidRPr="00E23EDD">
        <w:t>Şoşoac</w:t>
      </w:r>
      <w:r w:rsidR="006E6210">
        <w:t>os</w:t>
      </w:r>
      <w:r w:rsidRPr="00E23EDD">
        <w:t xml:space="preserve"> (Diana </w:t>
      </w:r>
      <w:r w:rsidRPr="00E23EDD">
        <w:t>Iovanovici</w:t>
      </w:r>
      <w:r w:rsidRPr="00E23EDD">
        <w:t xml:space="preserve"> </w:t>
      </w:r>
      <w:r w:rsidRPr="00E23EDD">
        <w:t>Şoşoac</w:t>
      </w:r>
      <w:r w:rsidRPr="00E23EDD" w:rsidR="00DA0C1A">
        <w:t>ă</w:t>
      </w:r>
      <w:r w:rsidRPr="00E23EDD">
        <w:t>) imunitetą</w:t>
      </w:r>
      <w:bookmarkEnd w:id="5"/>
      <w:r w:rsidRPr="00E23EDD">
        <w:t xml:space="preserve"> </w:t>
      </w:r>
      <w:bookmarkStart w:id="6" w:name="References"/>
      <w:r w:rsidRPr="00E23EDD">
        <w:t>(2025/2196(IMM))</w:t>
      </w:r>
      <w:bookmarkEnd w:id="6"/>
    </w:p>
    <w:p w:rsidR="009E22D4" w:rsidRPr="00E23EDD" w:rsidP="009E22D4" w14:paraId="76426842" w14:textId="77777777">
      <w:pPr>
        <w:pStyle w:val="EPComma"/>
      </w:pPr>
      <w:bookmarkStart w:id="7" w:name="TextBodyBegin"/>
      <w:bookmarkEnd w:id="7"/>
      <w:r w:rsidRPr="00E23EDD">
        <w:rPr>
          <w:i/>
        </w:rPr>
        <w:t>Europos Parlamentas</w:t>
      </w:r>
      <w:r w:rsidRPr="00E23EDD">
        <w:t>,</w:t>
      </w:r>
    </w:p>
    <w:p w:rsidR="00615BC2" w:rsidRPr="00E23EDD" w:rsidP="009E22D4" w14:paraId="521F79D9" w14:textId="0E01CB80">
      <w:pPr>
        <w:pStyle w:val="NormalHanging12a"/>
      </w:pPr>
      <w:r w:rsidRPr="00E23EDD">
        <w:t>–</w:t>
      </w:r>
      <w:r w:rsidRPr="00E23EDD">
        <w:tab/>
        <w:t xml:space="preserve">atsižvelgdamas į prašymą atšaukti Dianos </w:t>
      </w:r>
      <w:r w:rsidRPr="00E23EDD">
        <w:t>Iovanovici</w:t>
      </w:r>
      <w:r w:rsidRPr="00E23EDD">
        <w:t xml:space="preserve"> </w:t>
      </w:r>
      <w:r w:rsidRPr="00E23EDD">
        <w:t>Şoşoac</w:t>
      </w:r>
      <w:r w:rsidR="006E6210">
        <w:t>os</w:t>
      </w:r>
      <w:r w:rsidRPr="00E23EDD">
        <w:t xml:space="preserve"> imunitetą, pateiktą 2025 m. rugsėjo 24 d. Rumunijos teisingumo ministro laišku, kuriuo perduodamas </w:t>
      </w:r>
      <w:r>
        <w:t xml:space="preserve">prokuratūros prie </w:t>
      </w:r>
      <w:r w:rsidRPr="00E23EDD">
        <w:t xml:space="preserve">Rumunijos Aukščiausiojo Kasacinio Teisingumo Teismo prašymas ryšium su Dianos </w:t>
      </w:r>
      <w:r w:rsidRPr="00E23EDD">
        <w:t>Iovanovici</w:t>
      </w:r>
      <w:r w:rsidRPr="00E23EDD">
        <w:t xml:space="preserve"> </w:t>
      </w:r>
      <w:r w:rsidRPr="00E23EDD">
        <w:t>Şoşoac</w:t>
      </w:r>
      <w:r w:rsidR="006E6210">
        <w:t>os</w:t>
      </w:r>
      <w:r w:rsidRPr="00E23EDD">
        <w:t xml:space="preserve"> atžvilgiu pradėtu baudžiamuoju procesu, kuris buvo paskelbtas Parlamente 2025 m. spalio 9 d.,</w:t>
      </w:r>
    </w:p>
    <w:p w:rsidR="009E22D4" w:rsidRPr="00E23EDD" w:rsidP="009E22D4" w14:paraId="50FD1452" w14:textId="61C0F300">
      <w:pPr>
        <w:pStyle w:val="NormalHanging12a"/>
      </w:pPr>
      <w:r w:rsidRPr="00E23EDD">
        <w:t>–</w:t>
      </w:r>
      <w:r w:rsidRPr="00E23EDD">
        <w:tab/>
        <w:t xml:space="preserve">2026 m. kovo 24 d. išklausęs Dianos </w:t>
      </w:r>
      <w:r w:rsidRPr="00E23EDD">
        <w:t>Iovanovici</w:t>
      </w:r>
      <w:r w:rsidRPr="00E23EDD">
        <w:t xml:space="preserve"> </w:t>
      </w:r>
      <w:r w:rsidRPr="00E23EDD">
        <w:t>Şoşoac</w:t>
      </w:r>
      <w:r w:rsidR="006E6210">
        <w:t>os</w:t>
      </w:r>
      <w:r w:rsidRPr="00E23EDD">
        <w:t xml:space="preserve"> paaiškinimų, kaip nurodyta Darbo tvarkos taisyklių 9 straipsnio 6 dalyje,</w:t>
      </w:r>
    </w:p>
    <w:p w:rsidR="009E22D4" w:rsidRPr="00E23EDD" w:rsidP="009E22D4" w14:paraId="18017EB5" w14:textId="77777777">
      <w:pPr>
        <w:pStyle w:val="NormalHanging12a"/>
      </w:pPr>
      <w:r w:rsidRPr="00E23EDD">
        <w:t>–</w:t>
      </w:r>
      <w:r w:rsidRPr="00E23EDD">
        <w:tab/>
        <w:t>atsižvelgdamas į Protokolo Nr. 7 dėl Europos Sąjungos privilegijų ir imunitetų 8 ir 9 straipsnius ir į 1976 m. rugsėjo 20 d. Akto dėl Europos Parlamento narių rinkimų remiantis tiesiogine visuotine rinkimų teise 6 straipsnio 2 dalį,</w:t>
      </w:r>
    </w:p>
    <w:p w:rsidR="009E22D4" w:rsidRPr="00E23EDD" w:rsidP="009E22D4" w14:paraId="0C66B555" w14:textId="77777777">
      <w:pPr>
        <w:pStyle w:val="NormalHanging12a"/>
      </w:pPr>
      <w:r w:rsidRPr="00E23EDD">
        <w:t>–</w:t>
      </w:r>
      <w:r w:rsidRPr="00E23EDD">
        <w:tab/>
        <w:t>atsižvelgdamas į Europos Sąjungos Teisingumo Teismo 2008 m. spalio 21 d., 2010 m. kovo 19 d., 2011 m. rugsėjo 6 d., 2013 m. sausio 17 d. ir 2019 m. gruodžio 19 d. sprendimus</w:t>
      </w:r>
      <w:r>
        <w:rPr>
          <w:vertAlign w:val="superscript"/>
        </w:rPr>
        <w:footnoteReference w:id="2"/>
      </w:r>
      <w:r w:rsidRPr="00E23EDD">
        <w:t>,</w:t>
      </w:r>
    </w:p>
    <w:p w:rsidR="009E22D4" w:rsidRPr="00E23EDD" w:rsidP="009E22D4" w14:paraId="5B472D9B" w14:textId="77777777">
      <w:pPr>
        <w:pStyle w:val="NormalHanging12a"/>
      </w:pPr>
      <w:r w:rsidRPr="00E23EDD">
        <w:t>–</w:t>
      </w:r>
      <w:r w:rsidRPr="00E23EDD">
        <w:tab/>
        <w:t>atsižvelgdamas į Rumunijos Konstitucijos 72 straipsnio 1 ir 2 dalis,</w:t>
      </w:r>
    </w:p>
    <w:p w:rsidR="009E22D4" w:rsidRPr="00E23EDD" w:rsidP="009E22D4" w14:paraId="54AD8832" w14:textId="77777777">
      <w:pPr>
        <w:pStyle w:val="NormalHanging12a"/>
      </w:pPr>
      <w:r w:rsidRPr="00E23EDD">
        <w:t>–</w:t>
      </w:r>
      <w:r w:rsidRPr="00E23EDD">
        <w:tab/>
        <w:t>atsižvelgdamas į Darbo tvarkos taisyklių 5 straipsnio 2 dalį, 6 straipsnio 1 dalį ir 9 straipsnį,</w:t>
      </w:r>
    </w:p>
    <w:p w:rsidR="009E22D4" w:rsidRPr="00E23EDD" w:rsidP="009E22D4" w14:paraId="204ECDCB" w14:textId="77777777">
      <w:pPr>
        <w:pStyle w:val="NormalHanging12a"/>
      </w:pPr>
      <w:r w:rsidRPr="00E23EDD">
        <w:t>–</w:t>
      </w:r>
      <w:r w:rsidRPr="00E23EDD">
        <w:tab/>
        <w:t>atsižvelgdamas į Teisės reikalų komiteto pranešimą (A10-0117/2026),</w:t>
      </w:r>
    </w:p>
    <w:p w:rsidR="009E22D4" w:rsidRPr="00E23EDD" w:rsidP="009E22D4" w14:paraId="0A39A03E" w14:textId="33177BA3">
      <w:pPr>
        <w:pStyle w:val="NormalHanging12a"/>
        <w:rPr>
          <w:color w:val="000000"/>
        </w:rPr>
      </w:pPr>
      <w:r w:rsidRPr="00E23EDD">
        <w:t>A.</w:t>
      </w:r>
      <w:r w:rsidRPr="00E23EDD">
        <w:tab/>
        <w:t xml:space="preserve">kadangi 2025 m. rugsėjo 24 d. laišku Rumunijos teisingumo ministras perdavė </w:t>
      </w:r>
      <w:r w:rsidR="00615BC2">
        <w:t xml:space="preserve">prokuratūros prie </w:t>
      </w:r>
      <w:r w:rsidRPr="00E23EDD">
        <w:t xml:space="preserve">Rumunijos Aukščiausiojo Kasacinio Teisingumo Teismo pateiktą prašymą atšaukti Rumunijoje išrinktos Europos Parlamento narės Dianos </w:t>
      </w:r>
      <w:r w:rsidRPr="00E23EDD">
        <w:t>Iovanovici</w:t>
      </w:r>
      <w:r w:rsidRPr="00E23EDD">
        <w:t xml:space="preserve"> </w:t>
      </w:r>
      <w:r w:rsidRPr="00E23EDD">
        <w:t>Şoşoac</w:t>
      </w:r>
      <w:r w:rsidR="006E6210">
        <w:t>os</w:t>
      </w:r>
      <w:r w:rsidRPr="00E23EDD">
        <w:t xml:space="preserve"> imunitetą ryšium su baudžiamuoju procesu dėl kelių įtariamų nusikalstamų veikų, įvykdytų skirtingomis dienomis nuo 2021 m. gruodžio 10 d. iki 2025 m. vasario 11 d.;</w:t>
      </w:r>
    </w:p>
    <w:p w:rsidR="009E22D4" w:rsidRPr="00E23EDD" w:rsidP="009E22D4" w14:paraId="5FC5268A" w14:textId="77777777">
      <w:pPr>
        <w:pStyle w:val="NormalHanging12a"/>
        <w:rPr>
          <w:color w:val="000000"/>
        </w:rPr>
      </w:pPr>
      <w:r w:rsidRPr="00E23EDD">
        <w:rPr>
          <w:color w:val="000000"/>
        </w:rPr>
        <w:t>B.</w:t>
      </w:r>
      <w:r w:rsidRPr="00E23EDD">
        <w:rPr>
          <w:color w:val="000000"/>
        </w:rPr>
        <w:tab/>
        <w:t xml:space="preserve">kadangi, remiantis prašymu, trys asmenys pateikė skundą dėl to, kad 2021 m. gruodžio 10 d. Bukarešte esančiame bute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ir kiti asmenys galimai maždaug 20 minučių nuo 15.40 val. iki 16.00 val. atėmė skundo pateikėjų ir ketvirtojo asmens laisvę; kadangi veiksmai, dėl kurių keliami įtarimai, yra Rumunijos baudžiamojo kodekso 205 straipsnio 1 dalyje numatyta nusikalstama veika;</w:t>
      </w:r>
    </w:p>
    <w:p w:rsidR="009E22D4" w:rsidRPr="00E23EDD" w:rsidP="009E22D4" w14:paraId="296468EE" w14:textId="53A4B55E">
      <w:pPr>
        <w:pStyle w:val="NormalHanging12a"/>
        <w:rPr>
          <w:color w:val="000000"/>
        </w:rPr>
      </w:pPr>
      <w:r w:rsidRPr="00E23EDD">
        <w:rPr>
          <w:color w:val="000000"/>
        </w:rPr>
        <w:t>C.</w:t>
      </w:r>
      <w:r w:rsidRPr="00E23EDD">
        <w:rPr>
          <w:color w:val="000000"/>
        </w:rPr>
        <w:tab/>
        <w:t>kadangi, remiantis prašymu, 2024 m. vasario 28 d. Rumunijos Vyriausybės nacionalinis Holokausto Rumunijoje tyrimo institutas „</w:t>
      </w:r>
      <w:r w:rsidRPr="00E23EDD">
        <w:rPr>
          <w:color w:val="000000"/>
        </w:rPr>
        <w:t>Elie</w:t>
      </w:r>
      <w:r w:rsidRPr="00E23EDD">
        <w:rPr>
          <w:color w:val="000000"/>
        </w:rPr>
        <w:t xml:space="preserve"> </w:t>
      </w:r>
      <w:r w:rsidRPr="00E23EDD">
        <w:rPr>
          <w:color w:val="000000"/>
        </w:rPr>
        <w:t>Wiesel</w:t>
      </w:r>
      <w:r w:rsidRPr="00E23EDD">
        <w:rPr>
          <w:color w:val="000000"/>
        </w:rPr>
        <w:t xml:space="preserve">“ pranešė teisminėms institucijoms, kad 2024 m. vasario 19 d. oficialioje partijos „SOS </w:t>
      </w:r>
      <w:r w:rsidRPr="00E23EDD">
        <w:rPr>
          <w:color w:val="000000"/>
        </w:rPr>
        <w:t>România</w:t>
      </w:r>
      <w:r w:rsidRPr="00E23EDD">
        <w:rPr>
          <w:color w:val="000000"/>
        </w:rPr>
        <w:t xml:space="preserve">“ interneto svetainėje buvo paskelbtas tos partijos pranešimas spaudai, kurį pasirašė tos partijos pirmininkė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ir kuriame ji, kaip teigiama, šlovino asmenį, kuris pagal Rumunijos įstatymą Nr. 312/1945 už asmenų, atsakingų už nacionalinę nelaimę ar karo nusikaltimus, baudžiamąjį persekiojimą ir baudimą buvo nuteistas kaip karo nusikaltėlis; kadangi veiksmai, dėl kurių keliami įtarimai, yra Rumunijos</w:t>
      </w:r>
      <w:r w:rsidR="00615BC2">
        <w:rPr>
          <w:color w:val="000000"/>
        </w:rPr>
        <w:t xml:space="preserve"> nepaprastojo v</w:t>
      </w:r>
      <w:r w:rsidRPr="00E23EDD">
        <w:rPr>
          <w:color w:val="000000"/>
        </w:rPr>
        <w:t xml:space="preserve">yriausybės </w:t>
      </w:r>
      <w:r w:rsidR="00615BC2">
        <w:rPr>
          <w:color w:val="000000"/>
        </w:rPr>
        <w:t>potvarkio</w:t>
      </w:r>
      <w:r w:rsidRPr="00E23EDD" w:rsidR="00615BC2">
        <w:rPr>
          <w:color w:val="000000"/>
        </w:rPr>
        <w:t xml:space="preserve"> </w:t>
      </w:r>
      <w:r w:rsidRPr="00E23EDD">
        <w:rPr>
          <w:color w:val="000000"/>
        </w:rPr>
        <w:t>Nr. 31/2002 5 straipsnyje numatyta veika;</w:t>
      </w:r>
      <w:r w:rsidR="00615BC2">
        <w:rPr>
          <w:color w:val="000000"/>
        </w:rPr>
        <w:t xml:space="preserve"> </w:t>
      </w:r>
    </w:p>
    <w:p w:rsidR="009E22D4" w:rsidRPr="00E23EDD" w:rsidP="009E22D4" w14:paraId="0C1A426A" w14:textId="77777777">
      <w:pPr>
        <w:pStyle w:val="NormalHanging12a"/>
        <w:rPr>
          <w:bCs/>
          <w:iCs/>
          <w:color w:val="000000"/>
        </w:rPr>
      </w:pPr>
      <w:r w:rsidRPr="00E23EDD">
        <w:rPr>
          <w:color w:val="000000"/>
        </w:rPr>
        <w:t>D.</w:t>
      </w:r>
      <w:r w:rsidRPr="00E23EDD">
        <w:rPr>
          <w:color w:val="000000"/>
        </w:rPr>
        <w:tab/>
        <w:t xml:space="preserve">kadangi, remiantis prašymu, 2024 m. gegužės 27 d. Rumunijos antisemitizmo stebėsenos ir kovos su juo centras pranešė, kad 2024 m. gegužės 13 ir 14 d. Diana </w:t>
      </w:r>
      <w:r w:rsidRPr="00E23EDD">
        <w:rPr>
          <w:color w:val="000000"/>
        </w:rPr>
        <w:t>Iovanovici</w:t>
      </w:r>
      <w:r w:rsidRPr="00E23EDD">
        <w:rPr>
          <w:color w:val="000000"/>
        </w:rPr>
        <w:t xml:space="preserve"> </w:t>
      </w:r>
      <w:r w:rsidRPr="00E23EDD">
        <w:rPr>
          <w:color w:val="000000"/>
        </w:rPr>
        <w:t>Șoșoacă</w:t>
      </w:r>
      <w:r w:rsidRPr="00E23EDD">
        <w:rPr>
          <w:color w:val="000000"/>
        </w:rPr>
        <w:t>, kaip teigiama, būdama Rumunijos Parlamento patalpose, padarė viešus pareiškimus, be kita ko, savo viešoje „Facebook“ paskyroje, kuriais bendrai apkaltino žydus dėl istorinių nusikaltimų prieš Rumunijos žmones; kadangi veiksmai, dėl kurių keliami įtarimai, yra Rumunijos įstatymo Nr. 157/2018 dėl antisemitizmo prevencijos ir kovos su juo priemonių 3 straipsnyje numatyta nusikalstama veika;</w:t>
      </w:r>
    </w:p>
    <w:p w:rsidR="009E22D4" w:rsidRPr="00E23EDD" w:rsidP="009E22D4" w14:paraId="667288B7" w14:textId="70CEB33C">
      <w:pPr>
        <w:pStyle w:val="NormalHanging12a"/>
        <w:rPr>
          <w:bCs/>
          <w:iCs/>
          <w:color w:val="000000"/>
        </w:rPr>
      </w:pPr>
      <w:r w:rsidRPr="00E23EDD">
        <w:rPr>
          <w:color w:val="000000"/>
        </w:rPr>
        <w:t>E.</w:t>
      </w:r>
      <w:r w:rsidRPr="00E23EDD">
        <w:rPr>
          <w:color w:val="000000"/>
        </w:rPr>
        <w:tab/>
        <w:t xml:space="preserve">kadangi, remiantis prašymu, 2024 m. gegužės 14 d.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Rumunijos Parlamento patalpose dalyvaudama bendrame Rumunijos Deputatų Rūmų ir Senato posėdyje, kaip teigiama, padarė pareiškimus, kuriais bendrai apkaltino žydus dėl istorinių nusikaltimų prieš Rumunijos žmones; kadangi veiksmai, dėl kurių keliami įtarimai, yra Rumunijos </w:t>
      </w:r>
      <w:r w:rsidR="00615BC2">
        <w:rPr>
          <w:color w:val="000000"/>
        </w:rPr>
        <w:t>nepaprastojo vyriausybės potvarkio</w:t>
      </w:r>
      <w:r w:rsidRPr="00E23EDD">
        <w:rPr>
          <w:color w:val="000000"/>
        </w:rPr>
        <w:t xml:space="preserve"> Nr. 31/2002 6 straipsnio 1 dalyje numatyta veika;</w:t>
      </w:r>
    </w:p>
    <w:p w:rsidR="009E22D4" w:rsidRPr="00E23EDD" w:rsidP="009E22D4" w14:paraId="52F3B4C3" w14:textId="6C4A1DC2">
      <w:pPr>
        <w:pStyle w:val="NormalHanging12a"/>
        <w:rPr>
          <w:bCs/>
          <w:iCs/>
          <w:color w:val="000000"/>
        </w:rPr>
      </w:pPr>
      <w:r w:rsidRPr="00E23EDD">
        <w:rPr>
          <w:color w:val="000000"/>
        </w:rPr>
        <w:t>F.</w:t>
      </w:r>
      <w:r w:rsidRPr="00E23EDD">
        <w:rPr>
          <w:color w:val="000000"/>
        </w:rPr>
        <w:tab/>
        <w:t xml:space="preserve">kadangi, remiantis prašymu, 2024 m. spalio 5–6 d. Diana </w:t>
      </w:r>
      <w:r w:rsidRPr="00E23EDD" w:rsidR="009B5837">
        <w:rPr>
          <w:color w:val="000000"/>
        </w:rPr>
        <w:t>Iovanovici</w:t>
      </w:r>
      <w:r w:rsidRPr="00E23EDD" w:rsidR="009B5837">
        <w:rPr>
          <w:color w:val="000000"/>
        </w:rPr>
        <w:t xml:space="preserve"> </w:t>
      </w:r>
      <w:r w:rsidRPr="00E23EDD">
        <w:rPr>
          <w:color w:val="000000"/>
        </w:rPr>
        <w:t>Șoșoacă</w:t>
      </w:r>
      <w:r w:rsidRPr="00E23EDD">
        <w:rPr>
          <w:color w:val="000000"/>
        </w:rPr>
        <w:t xml:space="preserve">, kaip teigiama, padarė keletą viešų pareiškimų internete, kuriuose šlovino tam tikrus asmenis ir judėjimus, kurie pagal Rumunijos nacionalinę teisę laikomi įvykdę karo nusikaltimus arba dalyvavę juos vykdant, ir bendrai apkaltino žydus dėl istorinių ir religinių nusikaltimų; kadangi veiksmai, dėl kurių keliami įtarimai, yra Rumunijos </w:t>
      </w:r>
      <w:r w:rsidR="00615BC2">
        <w:rPr>
          <w:color w:val="000000"/>
        </w:rPr>
        <w:t>nepaprastojo vyriausybės potvarkio</w:t>
      </w:r>
      <w:r w:rsidRPr="00E23EDD">
        <w:rPr>
          <w:color w:val="000000"/>
        </w:rPr>
        <w:t xml:space="preserve"> Nr. 31/2002 5 straipsnyje numatytos nusikalstamos veikos;</w:t>
      </w:r>
    </w:p>
    <w:p w:rsidR="009E22D4" w:rsidRPr="00E23EDD" w:rsidP="009E22D4" w14:paraId="6A6A8656" w14:textId="15BE561A">
      <w:pPr>
        <w:pStyle w:val="NormalHanging12a"/>
        <w:rPr>
          <w:color w:val="000000"/>
        </w:rPr>
      </w:pPr>
      <w:r w:rsidRPr="00E23EDD">
        <w:rPr>
          <w:color w:val="000000"/>
        </w:rPr>
        <w:t>G.</w:t>
      </w:r>
      <w:r w:rsidRPr="00E23EDD">
        <w:rPr>
          <w:color w:val="000000"/>
        </w:rPr>
        <w:tab/>
        <w:t xml:space="preserve">kadangi, remiantis prašymu, 2024 m. gruodžio 1 d. Diana </w:t>
      </w:r>
      <w:r w:rsidRPr="00E23EDD" w:rsidR="009B5837">
        <w:rPr>
          <w:color w:val="000000"/>
        </w:rPr>
        <w:t>Iovanovici</w:t>
      </w:r>
      <w:r w:rsidRPr="00E23EDD" w:rsidR="009B5837">
        <w:rPr>
          <w:color w:val="000000"/>
        </w:rPr>
        <w:t xml:space="preserve"> </w:t>
      </w:r>
      <w:r w:rsidRPr="00E23EDD">
        <w:rPr>
          <w:color w:val="000000"/>
        </w:rPr>
        <w:t>Șoșoacă</w:t>
      </w:r>
      <w:r w:rsidRPr="00E23EDD">
        <w:rPr>
          <w:color w:val="000000"/>
        </w:rPr>
        <w:t xml:space="preserve">, kaip teigiama, viešai šlovino asmenį, nuteistą už karo nusikaltimus pagal Rumunijos nacionalinę teisę, skelbdama pareiškimus internete ir viešai propaguodama legionierių judėjimo, rasistines ir ksenofobines idėjas ir koncepcijas, susijusias su žydų bendruomene; kadangi veiksmai, dėl kurių keliami įtarimai, yra Rumunijos </w:t>
      </w:r>
      <w:r w:rsidR="00615BC2">
        <w:rPr>
          <w:color w:val="000000"/>
        </w:rPr>
        <w:t>nepaprastojo vyriausybės potvarkio</w:t>
      </w:r>
      <w:r w:rsidRPr="00E23EDD">
        <w:rPr>
          <w:color w:val="000000"/>
        </w:rPr>
        <w:t xml:space="preserve"> Nr. 31/2002 5 straipsnyje numatytos nusikalstamos veikos;</w:t>
      </w:r>
    </w:p>
    <w:p w:rsidR="009E22D4" w:rsidRPr="00E23EDD" w:rsidP="009E22D4" w14:paraId="13B087DB" w14:textId="77777777">
      <w:pPr>
        <w:pStyle w:val="NormalHanging12a"/>
        <w:rPr>
          <w:bCs/>
          <w:iCs/>
          <w:color w:val="000000"/>
        </w:rPr>
      </w:pPr>
      <w:r w:rsidRPr="00E23EDD">
        <w:rPr>
          <w:color w:val="000000"/>
        </w:rPr>
        <w:t>H.</w:t>
      </w:r>
      <w:r w:rsidRPr="00E23EDD">
        <w:rPr>
          <w:color w:val="000000"/>
        </w:rPr>
        <w:tab/>
        <w:t xml:space="preserve">kadangi, remiantis prašymu, 2024 m. gruodžio 15 d. Diana </w:t>
      </w:r>
      <w:r w:rsidRPr="00E23EDD">
        <w:rPr>
          <w:color w:val="000000"/>
        </w:rPr>
        <w:t>Iovanovici</w:t>
      </w:r>
      <w:r w:rsidRPr="00E23EDD">
        <w:rPr>
          <w:color w:val="000000"/>
        </w:rPr>
        <w:t xml:space="preserve"> </w:t>
      </w:r>
      <w:r w:rsidRPr="00E23EDD">
        <w:rPr>
          <w:color w:val="000000"/>
        </w:rPr>
        <w:t>Șoșoacă</w:t>
      </w:r>
      <w:r w:rsidRPr="00E23EDD">
        <w:rPr>
          <w:color w:val="000000"/>
        </w:rPr>
        <w:t>, kaip teigiama, tiesiogiai grasino įvykdyti smurto veiksmus prieš du policijos pareigūnus, kurie vykdė savo pareigas, susijusias su anksčiau skirta administracine bauda; kadangi veiksmai, dėl kurių keliami įtarimai, yra Rumunijos baudžiamojo kodekso 257 straipsnio 1 dalyje numatyta nusikalstama veika;</w:t>
      </w:r>
    </w:p>
    <w:p w:rsidR="009E22D4" w:rsidRPr="00E23EDD" w:rsidP="009E22D4" w14:paraId="7658A4A3" w14:textId="1BA7322A">
      <w:pPr>
        <w:pStyle w:val="NormalHanging12a"/>
        <w:rPr>
          <w:bCs/>
          <w:iCs/>
          <w:color w:val="000000"/>
        </w:rPr>
      </w:pPr>
      <w:r w:rsidRPr="00E23EDD">
        <w:rPr>
          <w:color w:val="000000"/>
        </w:rPr>
        <w:t>I.</w:t>
      </w:r>
      <w:r w:rsidRPr="00E23EDD">
        <w:rPr>
          <w:color w:val="000000"/>
        </w:rPr>
        <w:tab/>
        <w:t xml:space="preserve">kadangi, remiantis prašymu, 2025 m. vasario 25 d. Komunistinių nusikaltimų tyrimo ir Rumunijos tremties atminimo institutas, t. y. vyriausybinė organizacija, pranešė teisminėms institucijoms, kad 2025 m. vasario 11 d.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pasakė kalbą Europos Parlamento plenariniame posėdyje, kurioje </w:t>
      </w:r>
      <w:r w:rsidR="00DA0C1A">
        <w:rPr>
          <w:color w:val="000000"/>
        </w:rPr>
        <w:t xml:space="preserve">galimai </w:t>
      </w:r>
      <w:r w:rsidRPr="00E23EDD">
        <w:rPr>
          <w:color w:val="000000"/>
        </w:rPr>
        <w:t xml:space="preserve">rekomendavo savo kolegoms parengti užsienio politikos strategijas, grindžiamas </w:t>
      </w:r>
      <w:r w:rsidRPr="00E23EDD">
        <w:rPr>
          <w:color w:val="000000"/>
        </w:rPr>
        <w:t>Nicolae</w:t>
      </w:r>
      <w:r w:rsidRPr="00E23EDD">
        <w:rPr>
          <w:color w:val="000000"/>
        </w:rPr>
        <w:t xml:space="preserve"> </w:t>
      </w:r>
      <w:r w:rsidRPr="00E23EDD">
        <w:rPr>
          <w:color w:val="000000"/>
        </w:rPr>
        <w:t>Ceaușescu</w:t>
      </w:r>
      <w:r w:rsidRPr="00E23EDD">
        <w:rPr>
          <w:color w:val="000000"/>
        </w:rPr>
        <w:t xml:space="preserve">, kuris 1989 m. gruodžio 25 d. Bukarešto teritorinio karo tribunolo sprendimu buvo nuteistas už genocidą, strategijos pavyzdžiu; kadangi veiksmai, dėl kurių keliami įtarimai, yra Rumunijos </w:t>
      </w:r>
      <w:r w:rsidRPr="00615BC2" w:rsidR="00615BC2">
        <w:rPr>
          <w:color w:val="000000"/>
        </w:rPr>
        <w:t xml:space="preserve">nepaprastojo vyriausybės potvarkio </w:t>
      </w:r>
      <w:r w:rsidRPr="00E23EDD">
        <w:rPr>
          <w:color w:val="000000"/>
        </w:rPr>
        <w:t>Nr. 31/2002 5 straipsnyje numatyta veika;</w:t>
      </w:r>
    </w:p>
    <w:p w:rsidR="009E22D4" w:rsidRPr="00E23EDD" w:rsidP="009E22D4" w14:paraId="41B0F761" w14:textId="1438ED81">
      <w:pPr>
        <w:pStyle w:val="NormalHanging12a"/>
        <w:rPr>
          <w:bCs/>
          <w:iCs/>
          <w:color w:val="000000"/>
        </w:rPr>
      </w:pPr>
      <w:r w:rsidRPr="00E23EDD">
        <w:rPr>
          <w:color w:val="000000"/>
        </w:rPr>
        <w:t>J.</w:t>
      </w:r>
      <w:r w:rsidRPr="00E23EDD">
        <w:rPr>
          <w:color w:val="000000"/>
        </w:rPr>
        <w:tab/>
        <w:t xml:space="preserve">kadangi 2024 m. birželio mėn. Europos Parlamento rinkimuose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buvo išrinkta į Europos Parlamentą, taigi nė vienos iš prašyme nurodytų įtariamų veikų, padarytų 2021 m. gruodžio 10 d., 2024 m. vasario 19 d. ir 2024 m. gegužės 14 d., įvykdymo metu ji nebuvo Europos Parlamento narė; kadangi Diana </w:t>
      </w:r>
      <w:r w:rsidRPr="00E23EDD">
        <w:rPr>
          <w:color w:val="000000"/>
        </w:rPr>
        <w:t>Iovanovici</w:t>
      </w:r>
      <w:r w:rsidRPr="00E23EDD">
        <w:rPr>
          <w:color w:val="000000"/>
        </w:rPr>
        <w:t xml:space="preserve"> </w:t>
      </w:r>
      <w:r w:rsidRPr="00E23EDD">
        <w:rPr>
          <w:color w:val="000000"/>
        </w:rPr>
        <w:t>Șoșoacă</w:t>
      </w:r>
      <w:r w:rsidRPr="00E23EDD">
        <w:rPr>
          <w:color w:val="000000"/>
        </w:rPr>
        <w:t xml:space="preserve"> buvo Europos Parlamento narė tuo metu, kai buvo įvykdytos prašyme nurodytos įtariamos veikos, padarytos 2024 m. spalio 5 ir 6 d., 2024 m. gruodžio 1 d., 2024 m. gruodžio 15 d. ir 2025 m. vasario 11 d.; kadangi, išskyrus skundus ar baudžiamuosius procesus Dianos </w:t>
      </w:r>
      <w:r w:rsidRPr="00E23EDD">
        <w:rPr>
          <w:color w:val="000000"/>
        </w:rPr>
        <w:t>Iovanovici</w:t>
      </w:r>
      <w:r w:rsidRPr="00E23EDD">
        <w:rPr>
          <w:color w:val="000000"/>
        </w:rPr>
        <w:t xml:space="preserve"> </w:t>
      </w:r>
      <w:r w:rsidRPr="00E23EDD">
        <w:rPr>
          <w:color w:val="000000"/>
        </w:rPr>
        <w:t>Șoșoac</w:t>
      </w:r>
      <w:r w:rsidR="006E6210">
        <w:rPr>
          <w:color w:val="000000"/>
        </w:rPr>
        <w:t>os</w:t>
      </w:r>
      <w:r w:rsidRPr="00E23EDD">
        <w:rPr>
          <w:color w:val="000000"/>
        </w:rPr>
        <w:t xml:space="preserve"> atžvilgiu dėl įtariamų 2021 m. gruodžio 10 d. ir 2024 m. vasario 19 d. įvykdytų veikų, visi kiti baudžiamieji procesai buvo pradėti po to, kai ji buvo išrinkta Europos Parlamento nare;</w:t>
      </w:r>
    </w:p>
    <w:p w:rsidR="009E22D4" w:rsidRPr="00E23EDD" w:rsidP="009E22D4" w14:paraId="3D0F08F3" w14:textId="77777777">
      <w:pPr>
        <w:pStyle w:val="NormalHanging12a"/>
        <w:rPr>
          <w:bCs/>
          <w:iCs/>
          <w:color w:val="000000"/>
        </w:rPr>
      </w:pPr>
      <w:r w:rsidRPr="00E23EDD">
        <w:rPr>
          <w:color w:val="000000"/>
        </w:rPr>
        <w:t>K.</w:t>
      </w:r>
      <w:r w:rsidRPr="00E23EDD">
        <w:rPr>
          <w:color w:val="000000"/>
        </w:rPr>
        <w:tab/>
        <w:t>kadangi Protokolo Nr. 7 dėl Europos Sąjungos privilegijų ir imunitetų 8 straipsnyje nustatyta, kad Europos Parlamento nariai negali būti apklausiami, sulaikomi ar traukiami atsakomybėn dėl einant pareigas pareikštos nuomonės ar balsavimo;</w:t>
      </w:r>
    </w:p>
    <w:p w:rsidR="009E22D4" w:rsidRPr="00E23EDD" w:rsidP="009E22D4" w14:paraId="04D71B69" w14:textId="3FACA858">
      <w:pPr>
        <w:pStyle w:val="NormalHanging12a"/>
        <w:rPr>
          <w:bCs/>
          <w:iCs/>
          <w:color w:val="000000"/>
        </w:rPr>
      </w:pPr>
      <w:r w:rsidRPr="00E23EDD">
        <w:rPr>
          <w:color w:val="000000"/>
        </w:rPr>
        <w:t>L.</w:t>
      </w:r>
      <w:r w:rsidRPr="00E23EDD">
        <w:rPr>
          <w:color w:val="000000"/>
        </w:rPr>
        <w:tab/>
        <w:t xml:space="preserve">kadangi įtariama 2025 m. vasario 11 d. padaryta nusikalstama veika, susijusi su galimu </w:t>
      </w:r>
      <w:r w:rsidRPr="00E23EDD">
        <w:rPr>
          <w:color w:val="000000"/>
        </w:rPr>
        <w:t>Nicolae</w:t>
      </w:r>
      <w:r w:rsidRPr="00E23EDD">
        <w:rPr>
          <w:color w:val="000000"/>
        </w:rPr>
        <w:t xml:space="preserve"> </w:t>
      </w:r>
      <w:r w:rsidRPr="00E23EDD">
        <w:rPr>
          <w:color w:val="000000"/>
        </w:rPr>
        <w:t>Ceaușescu</w:t>
      </w:r>
      <w:r w:rsidRPr="00E23EDD">
        <w:rPr>
          <w:color w:val="000000"/>
        </w:rPr>
        <w:t xml:space="preserve">, kuris pagal Rumunijos nacionalinę teisę nuteistas kaip karo nusikaltėlis, šlovinimu, yra jos pareiškimas Europos Parlamento plenariniame posėdyje Strasbūre vykstant diskusijoms dėl Platesnės visapusiškos ES ir Artimųjų Rytų strategijos; kadangi, atsižvelgiant į tai, šis pareiškimas yra Dianai </w:t>
      </w:r>
      <w:r w:rsidRPr="00E23EDD">
        <w:rPr>
          <w:color w:val="000000"/>
        </w:rPr>
        <w:t>Iovanovici</w:t>
      </w:r>
      <w:r w:rsidRPr="00E23EDD">
        <w:rPr>
          <w:color w:val="000000"/>
        </w:rPr>
        <w:t xml:space="preserve"> </w:t>
      </w:r>
      <w:r w:rsidRPr="00E23EDD">
        <w:rPr>
          <w:color w:val="000000"/>
        </w:rPr>
        <w:t>Șoșoac</w:t>
      </w:r>
      <w:r w:rsidR="006E6210">
        <w:rPr>
          <w:color w:val="000000"/>
        </w:rPr>
        <w:t>ai</w:t>
      </w:r>
      <w:r w:rsidRPr="00E23EDD">
        <w:rPr>
          <w:color w:val="000000"/>
        </w:rPr>
        <w:t xml:space="preserve"> einant pareigas pareikšta nuomonė ar balsavimas, kaip numatyta Protokolo Nr. 7 dėl Europos Sąjungos privilegijų ir imunitetų 8 straipsnyje;</w:t>
      </w:r>
    </w:p>
    <w:p w:rsidR="009E22D4" w:rsidRPr="00E23EDD" w:rsidP="009E22D4" w14:paraId="4B434969" w14:textId="4ED76D68">
      <w:pPr>
        <w:pStyle w:val="NormalHanging12a"/>
        <w:rPr>
          <w:bCs/>
          <w:iCs/>
          <w:color w:val="000000"/>
        </w:rPr>
      </w:pPr>
      <w:r w:rsidRPr="00E23EDD">
        <w:rPr>
          <w:color w:val="000000"/>
        </w:rPr>
        <w:t>M.</w:t>
      </w:r>
      <w:r w:rsidRPr="00E23EDD">
        <w:rPr>
          <w:color w:val="000000"/>
        </w:rPr>
        <w:tab/>
        <w:t xml:space="preserve">kadangi visos kitos įtariamos nusikalstamos veikos ir likusi prašymo atšaukti Dianos </w:t>
      </w:r>
      <w:r w:rsidRPr="00E23EDD">
        <w:rPr>
          <w:color w:val="000000"/>
        </w:rPr>
        <w:t>Iovanovici</w:t>
      </w:r>
      <w:r w:rsidRPr="00E23EDD">
        <w:rPr>
          <w:color w:val="000000"/>
        </w:rPr>
        <w:t xml:space="preserve"> </w:t>
      </w:r>
      <w:r w:rsidRPr="00E23EDD">
        <w:rPr>
          <w:color w:val="000000"/>
        </w:rPr>
        <w:t>Șoșoac</w:t>
      </w:r>
      <w:r w:rsidR="006E6210">
        <w:rPr>
          <w:color w:val="000000"/>
        </w:rPr>
        <w:t>os</w:t>
      </w:r>
      <w:r w:rsidRPr="00E23EDD">
        <w:rPr>
          <w:color w:val="000000"/>
        </w:rPr>
        <w:t xml:space="preserve"> imunitetą dalis nėra susijusios su jokia jai einant pareigas pareikšta nuomone ar balsavimu, kaip numatyta Protokolo Nr. 7 dėl Europos Sąjungos privilegijų ir imunitetų 8 straipsnyje;</w:t>
      </w:r>
    </w:p>
    <w:p w:rsidR="009E22D4" w:rsidRPr="00E23EDD" w:rsidP="009E22D4" w14:paraId="6F6418CF" w14:textId="77777777">
      <w:pPr>
        <w:pStyle w:val="NormalHanging12a"/>
        <w:rPr>
          <w:bCs/>
          <w:iCs/>
          <w:color w:val="000000"/>
        </w:rPr>
      </w:pPr>
      <w:r w:rsidRPr="00E23EDD">
        <w:rPr>
          <w:color w:val="000000"/>
        </w:rPr>
        <w:t>N.</w:t>
      </w:r>
      <w:r w:rsidRPr="00E23EDD">
        <w:rPr>
          <w:color w:val="000000"/>
        </w:rPr>
        <w:tab/>
        <w:t>kadangi Protokolo Nr. 7 dėl Europos Sąjungos privilegijų ir imunitetų 9 straipsnio pirmos pastraipos a punkte nustatyta, kad Europos Parlamento nariai Europos Parlamento sesijų metu savo valstybės narės teritorijoje naudojasi imunitetais, kurie toje valstybėje narėje yra suteikiami parlamento nariams;</w:t>
      </w:r>
    </w:p>
    <w:p w:rsidR="009E22D4" w:rsidRPr="00E23EDD" w:rsidP="009E22D4" w14:paraId="6E18AAF7" w14:textId="77777777">
      <w:pPr>
        <w:pStyle w:val="NormalHanging12a"/>
        <w:rPr>
          <w:color w:val="000000"/>
        </w:rPr>
      </w:pPr>
      <w:r w:rsidRPr="00E23EDD">
        <w:rPr>
          <w:color w:val="000000"/>
        </w:rPr>
        <w:t>O.</w:t>
      </w:r>
      <w:r w:rsidRPr="00E23EDD">
        <w:rPr>
          <w:color w:val="000000"/>
        </w:rPr>
        <w:tab/>
        <w:t>kadangi Rumunijos Konstitucijos 72 straipsnio 1 ir 2 dalyse nustatyta:</w:t>
      </w:r>
    </w:p>
    <w:p w:rsidR="009E22D4" w:rsidRPr="00E23EDD" w:rsidP="00615BC2" w14:paraId="4363C9FB" w14:textId="77777777">
      <w:pPr>
        <w:pStyle w:val="NormalHanging12a"/>
        <w:ind w:left="1276" w:hanging="709"/>
        <w:rPr>
          <w:color w:val="000000"/>
        </w:rPr>
      </w:pPr>
      <w:r w:rsidRPr="00E23EDD">
        <w:rPr>
          <w:color w:val="000000"/>
        </w:rPr>
        <w:t>„1.</w:t>
      </w:r>
      <w:r w:rsidRPr="00E23EDD">
        <w:rPr>
          <w:color w:val="000000"/>
        </w:rPr>
        <w:tab/>
        <w:t>Nė vienas Deputatų rūmų ar Senato narys negali būti patrauktas atsakomybėn už einant pareigas atiduotus balsus ar pareikštą politinę nuomonę.</w:t>
      </w:r>
    </w:p>
    <w:p w:rsidR="009E22D4" w:rsidRPr="00E23EDD" w:rsidP="00A528AC" w14:paraId="66486C96" w14:textId="77777777">
      <w:pPr>
        <w:pStyle w:val="NormalHanging12a"/>
        <w:ind w:left="1276" w:hanging="709"/>
        <w:rPr>
          <w:color w:val="000000"/>
        </w:rPr>
      </w:pPr>
      <w:r w:rsidRPr="00E23EDD">
        <w:rPr>
          <w:color w:val="000000"/>
        </w:rPr>
        <w:t>2.</w:t>
      </w:r>
      <w:r w:rsidRPr="00E23EDD">
        <w:rPr>
          <w:color w:val="000000"/>
        </w:rPr>
        <w:tab/>
        <w:t>Deputatų rūmų ir Senato nariams gali būti taikomas baudžiamasis persekiojamas arba jie gali būti teisiami už veiksmus, kurie nėra susiję su balsavimu ar vykdant savo pareigas išreikšta politine nuomone, bet jie negali būti apieškomi, sulaikomi ar suimami be rūmų, kurių nariai jie yra, sutikimo juos tinkamai išklausius. Tyrimą ir baudžiamąjį persekiojimą gali vykdyti tik Aukščiausiojo Kasacinio Teisingumo Teismo prokuratūra. Jurisdikcija priklauso Aukščiausiajam Kasaciniam Teisingumo Teismui.“;</w:t>
      </w:r>
    </w:p>
    <w:p w:rsidR="009E22D4" w:rsidRPr="00E23EDD" w:rsidP="009E22D4" w14:paraId="037A9E7F" w14:textId="77777777">
      <w:pPr>
        <w:pStyle w:val="NormalHanging12a"/>
        <w:rPr>
          <w:color w:val="000000"/>
        </w:rPr>
      </w:pPr>
      <w:r w:rsidRPr="00E23EDD">
        <w:rPr>
          <w:color w:val="000000"/>
        </w:rPr>
        <w:t>P.</w:t>
      </w:r>
      <w:r w:rsidRPr="00E23EDD">
        <w:rPr>
          <w:color w:val="000000"/>
        </w:rPr>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9E22D4" w:rsidRPr="00E23EDD" w:rsidP="009E22D4" w14:paraId="121F261C" w14:textId="77777777">
      <w:pPr>
        <w:pStyle w:val="NormalHanging12a"/>
        <w:rPr>
          <w:color w:val="000000"/>
        </w:rPr>
      </w:pPr>
      <w:r w:rsidRPr="00E23EDD">
        <w:rPr>
          <w:color w:val="000000"/>
        </w:rPr>
        <w:t>Q.</w:t>
      </w:r>
      <w:r w:rsidRPr="00E23EDD">
        <w:rPr>
          <w:color w:val="000000"/>
        </w:rPr>
        <w:tab/>
        <w:t>kadangi Parlamento darbo tvarkos taisyklių 5 straipsnio 2 dalyje numatyta, kad Parlamento nario imunitetas yra ne jo asmeninė privilegija, bet viso Parlamento ir jo narių nepriklausomumo garantija;</w:t>
      </w:r>
    </w:p>
    <w:p w:rsidR="00615BC2" w:rsidRPr="00E23EDD" w:rsidP="009E22D4" w14:paraId="0983EDDA" w14:textId="7273B3C8">
      <w:pPr>
        <w:pStyle w:val="NormalHanging12a"/>
        <w:rPr>
          <w:color w:val="000000"/>
        </w:rPr>
      </w:pPr>
      <w:r w:rsidRPr="00E23EDD">
        <w:rPr>
          <w:color w:val="000000"/>
        </w:rPr>
        <w:t>R.</w:t>
      </w:r>
      <w:r w:rsidRPr="00E23EDD">
        <w:rPr>
          <w:color w:val="000000"/>
        </w:rPr>
        <w:tab/>
        <w:t xml:space="preserve">kadangi šiuo atveju Parlamentas nenustatė esant </w:t>
      </w:r>
      <w:r w:rsidRPr="00E23EDD">
        <w:rPr>
          <w:i/>
          <w:color w:val="000000"/>
        </w:rPr>
        <w:t>fumus</w:t>
      </w:r>
      <w:r w:rsidRPr="00E23EDD">
        <w:rPr>
          <w:i/>
          <w:color w:val="000000"/>
        </w:rPr>
        <w:t xml:space="preserve"> </w:t>
      </w:r>
      <w:r w:rsidRPr="00E23EDD">
        <w:rPr>
          <w:i/>
          <w:color w:val="000000"/>
        </w:rPr>
        <w:t>persecutionis</w:t>
      </w:r>
      <w:r w:rsidRPr="00E23EDD">
        <w:rPr>
          <w:color w:val="000000"/>
        </w:rPr>
        <w:t>, t. y.</w:t>
      </w:r>
      <w:r w:rsidR="00DA0C1A">
        <w:rPr>
          <w:color w:val="000000"/>
        </w:rPr>
        <w:t>,</w:t>
      </w:r>
      <w:r w:rsidRPr="00E23EDD">
        <w:rPr>
          <w:color w:val="000000"/>
        </w:rPr>
        <w:t xml:space="preserve"> </w:t>
      </w:r>
      <w:r w:rsidRPr="00615BC2">
        <w:rPr>
          <w:color w:val="000000"/>
        </w:rPr>
        <w:t xml:space="preserve">neatrodo, kad nagrinėjamu teismo procesu </w:t>
      </w:r>
      <w:r w:rsidRPr="00E23EDD">
        <w:rPr>
          <w:color w:val="000000"/>
        </w:rPr>
        <w:t>siekia</w:t>
      </w:r>
      <w:r>
        <w:rPr>
          <w:color w:val="000000"/>
        </w:rPr>
        <w:t>ma</w:t>
      </w:r>
      <w:r w:rsidRPr="00E23EDD">
        <w:rPr>
          <w:color w:val="000000"/>
        </w:rPr>
        <w:t xml:space="preserve"> pakenkti Dianos </w:t>
      </w:r>
      <w:r w:rsidRPr="00E23EDD">
        <w:rPr>
          <w:color w:val="000000"/>
        </w:rPr>
        <w:t>Iovanovici</w:t>
      </w:r>
      <w:r w:rsidRPr="00E23EDD">
        <w:rPr>
          <w:color w:val="000000"/>
        </w:rPr>
        <w:t xml:space="preserve"> </w:t>
      </w:r>
      <w:r w:rsidRPr="00E23EDD">
        <w:rPr>
          <w:color w:val="000000"/>
        </w:rPr>
        <w:t>Șoșoac</w:t>
      </w:r>
      <w:r w:rsidR="006E6210">
        <w:rPr>
          <w:color w:val="000000"/>
        </w:rPr>
        <w:t>os</w:t>
      </w:r>
      <w:r w:rsidRPr="00615BC2">
        <w:rPr>
          <w:color w:val="000000"/>
        </w:rPr>
        <w:t xml:space="preserve">, kaip Europos Parlamento narės, </w:t>
      </w:r>
      <w:r w:rsidRPr="00E23EDD">
        <w:rPr>
          <w:color w:val="000000"/>
        </w:rPr>
        <w:t>politinei veiklai</w:t>
      </w:r>
      <w:r w:rsidRPr="00615BC2">
        <w:rPr>
          <w:color w:val="000000"/>
        </w:rPr>
        <w:t>, taigi ir Parlamento nepriklausomumui</w:t>
      </w:r>
      <w:r w:rsidRPr="00E23EDD">
        <w:rPr>
          <w:color w:val="000000"/>
        </w:rPr>
        <w:t>;</w:t>
      </w:r>
    </w:p>
    <w:p w:rsidR="009E22D4" w:rsidRPr="00E23EDD" w:rsidP="009E22D4" w14:paraId="09BAAB96" w14:textId="03E473D1">
      <w:pPr>
        <w:pStyle w:val="NormalHanging12a"/>
        <w:rPr>
          <w:color w:val="000000"/>
        </w:rPr>
      </w:pPr>
      <w:r w:rsidRPr="00E23EDD">
        <w:rPr>
          <w:color w:val="000000"/>
        </w:rPr>
        <w:t>S.</w:t>
      </w:r>
      <w:r w:rsidRPr="00E23EDD">
        <w:rPr>
          <w:color w:val="000000"/>
        </w:rPr>
        <w:tab/>
        <w:t>kadangi</w:t>
      </w:r>
      <w:r w:rsidR="00DA0C1A">
        <w:rPr>
          <w:color w:val="000000"/>
        </w:rPr>
        <w:t xml:space="preserve"> </w:t>
      </w:r>
      <w:r w:rsidRPr="00E23EDD">
        <w:rPr>
          <w:color w:val="000000"/>
        </w:rPr>
        <w:t>Parlamentas negali būti prilyginamas teismui ir vykstant imuniteto atšaukimo procedūrai Parlamento narys negali būti laikomas kaltinamuoju</w:t>
      </w:r>
      <w:r>
        <w:rPr>
          <w:color w:val="000000"/>
          <w:vertAlign w:val="superscript"/>
        </w:rPr>
        <w:footnoteReference w:id="3"/>
      </w:r>
      <w:r w:rsidRPr="00E23EDD">
        <w:rPr>
          <w:color w:val="000000"/>
        </w:rPr>
        <w:t>;</w:t>
      </w:r>
    </w:p>
    <w:p w:rsidR="009E22D4" w:rsidRPr="00E23EDD" w:rsidP="009E22D4" w14:paraId="595557D5" w14:textId="7F44A3E8">
      <w:pPr>
        <w:pStyle w:val="NormalHanging12a"/>
        <w:rPr>
          <w:color w:val="000000"/>
        </w:rPr>
      </w:pPr>
      <w:r w:rsidRPr="00E23EDD">
        <w:rPr>
          <w:color w:val="000000"/>
        </w:rPr>
        <w:t>1.</w:t>
      </w:r>
      <w:r w:rsidRPr="00E23EDD">
        <w:rPr>
          <w:color w:val="000000"/>
        </w:rPr>
        <w:tab/>
        <w:t xml:space="preserve">nusprendžia atšaukti Dianos </w:t>
      </w:r>
      <w:r w:rsidRPr="00E23EDD">
        <w:rPr>
          <w:color w:val="000000"/>
        </w:rPr>
        <w:t>Iovanovici</w:t>
      </w:r>
      <w:r w:rsidRPr="00E23EDD">
        <w:rPr>
          <w:color w:val="000000"/>
        </w:rPr>
        <w:t xml:space="preserve"> </w:t>
      </w:r>
      <w:r w:rsidRPr="00E23EDD">
        <w:rPr>
          <w:color w:val="000000"/>
        </w:rPr>
        <w:t>Şoşoac</w:t>
      </w:r>
      <w:r w:rsidR="006E6210">
        <w:rPr>
          <w:color w:val="000000"/>
        </w:rPr>
        <w:t>os</w:t>
      </w:r>
      <w:r w:rsidRPr="00E23EDD">
        <w:rPr>
          <w:color w:val="000000"/>
        </w:rPr>
        <w:t xml:space="preserve"> imunitetą dėl įtariamų B, C, D, E, F, G ir H punktuose nurodytų nusikalstamų veikų;</w:t>
      </w:r>
    </w:p>
    <w:p w:rsidR="009E22D4" w:rsidRPr="00E23EDD" w:rsidP="009E22D4" w14:paraId="3A176504" w14:textId="2476DA74">
      <w:pPr>
        <w:pStyle w:val="NormalHanging12a"/>
        <w:rPr>
          <w:color w:val="000000"/>
        </w:rPr>
      </w:pPr>
      <w:r w:rsidRPr="00E23EDD">
        <w:rPr>
          <w:color w:val="000000"/>
        </w:rPr>
        <w:t>2.</w:t>
      </w:r>
      <w:r w:rsidRPr="00E23EDD">
        <w:rPr>
          <w:color w:val="000000"/>
        </w:rPr>
        <w:tab/>
        <w:t xml:space="preserve">nusprendžia neatšaukti Dianos </w:t>
      </w:r>
      <w:r w:rsidRPr="00E23EDD">
        <w:rPr>
          <w:color w:val="000000"/>
        </w:rPr>
        <w:t>Iovanovici</w:t>
      </w:r>
      <w:r w:rsidRPr="00E23EDD">
        <w:rPr>
          <w:color w:val="000000"/>
        </w:rPr>
        <w:t xml:space="preserve"> </w:t>
      </w:r>
      <w:r w:rsidRPr="00E23EDD">
        <w:rPr>
          <w:color w:val="000000"/>
        </w:rPr>
        <w:t>Şoşoac</w:t>
      </w:r>
      <w:r w:rsidR="006E6210">
        <w:rPr>
          <w:color w:val="000000"/>
        </w:rPr>
        <w:t>os</w:t>
      </w:r>
      <w:r w:rsidRPr="00E23EDD">
        <w:rPr>
          <w:color w:val="000000"/>
        </w:rPr>
        <w:t xml:space="preserve"> imuniteto dėl I punkte nurodytos įtariamos nusikalstamos veikos;</w:t>
      </w:r>
    </w:p>
    <w:p w:rsidR="00E365E1" w:rsidRPr="00E23EDD" w:rsidP="00A528AC" w14:paraId="275D202E" w14:textId="192F6008">
      <w:pPr>
        <w:pStyle w:val="NormalHanging12a"/>
      </w:pPr>
      <w:r w:rsidRPr="00E23EDD">
        <w:t>3.</w:t>
      </w:r>
      <w:r w:rsidRPr="00E23EDD">
        <w:tab/>
        <w:t xml:space="preserve">paveda Pirmininkei nedelsiant perduoti šį sprendimą ir atsakingo komiteto pranešimą Rumunijos kompetentingoms institucijoms ir Dianai </w:t>
      </w:r>
      <w:r w:rsidRPr="00E23EDD">
        <w:t>Iovanovici</w:t>
      </w:r>
      <w:r w:rsidRPr="00E23EDD">
        <w:t xml:space="preserve"> </w:t>
      </w:r>
      <w:r w:rsidRPr="00E23EDD">
        <w:t>Şoşoac</w:t>
      </w:r>
      <w:r w:rsidR="006E6210">
        <w:t>ai</w:t>
      </w:r>
      <w:r w:rsidRPr="00E23EDD">
        <w:t>.</w:t>
      </w:r>
    </w:p>
    <w:sectPr w:rsidSect="00E23E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1E5D" w:rsidRPr="00E23EDD" w14:paraId="3FDB2AB5" w14:textId="77777777">
      <w:r w:rsidRPr="00E23EDD">
        <w:separator/>
      </w:r>
    </w:p>
  </w:footnote>
  <w:footnote w:type="continuationSeparator" w:id="1">
    <w:p w:rsidR="00951E5D" w:rsidRPr="00E23EDD" w14:paraId="31024D61" w14:textId="77777777">
      <w:r w:rsidRPr="00E23EDD">
        <w:continuationSeparator/>
      </w:r>
    </w:p>
  </w:footnote>
  <w:footnote w:id="2">
    <w:p w:rsidR="009E22D4" w:rsidRPr="00E23EDD" w:rsidP="00E23EDD" w14:paraId="7D09E9AB" w14:textId="25411ABD">
      <w:pPr>
        <w:pStyle w:val="FootnoteText"/>
        <w:ind w:left="567" w:hanging="567"/>
        <w:rPr>
          <w:sz w:val="24"/>
          <w:lang w:val="lt-LT"/>
        </w:rPr>
      </w:pPr>
      <w:r w:rsidRPr="00E23EDD">
        <w:rPr>
          <w:rStyle w:val="FootnoteReference"/>
          <w:sz w:val="24"/>
          <w:lang w:val="lt-LT"/>
        </w:rPr>
        <w:footnoteRef/>
      </w:r>
      <w:r w:rsidRPr="00E23EDD" w:rsidR="00E23EDD">
        <w:rPr>
          <w:sz w:val="24"/>
          <w:lang w:val="lt-LT"/>
        </w:rPr>
        <w:t xml:space="preserve"> </w:t>
      </w:r>
      <w:r w:rsidRPr="00E23EDD" w:rsidR="00E23EDD">
        <w:rPr>
          <w:sz w:val="24"/>
          <w:lang w:val="lt-LT"/>
        </w:rPr>
        <w:tab/>
      </w:r>
      <w:r w:rsidRPr="00E23EDD">
        <w:rPr>
          <w:sz w:val="24"/>
          <w:lang w:val="lt-LT"/>
        </w:rPr>
        <w:t xml:space="preserve">2008 m. spalio 21 d. Teisingumo Teismo sprendimas </w:t>
      </w:r>
      <w:r w:rsidRPr="00E23EDD">
        <w:rPr>
          <w:i/>
          <w:sz w:val="24"/>
          <w:lang w:val="lt-LT"/>
        </w:rPr>
        <w:t>Marra</w:t>
      </w:r>
      <w:r w:rsidRPr="00E23EDD">
        <w:rPr>
          <w:i/>
          <w:sz w:val="24"/>
          <w:lang w:val="lt-LT"/>
        </w:rPr>
        <w:t xml:space="preserve"> / De </w:t>
      </w:r>
      <w:r w:rsidRPr="00E23EDD">
        <w:rPr>
          <w:i/>
          <w:sz w:val="24"/>
          <w:lang w:val="lt-LT"/>
        </w:rPr>
        <w:t>Gregorio</w:t>
      </w:r>
      <w:r w:rsidRPr="00E23EDD">
        <w:rPr>
          <w:i/>
          <w:sz w:val="24"/>
          <w:lang w:val="lt-LT"/>
        </w:rPr>
        <w:t xml:space="preserve"> ir </w:t>
      </w:r>
      <w:r w:rsidRPr="00E23EDD">
        <w:rPr>
          <w:i/>
          <w:sz w:val="24"/>
          <w:lang w:val="lt-LT"/>
        </w:rPr>
        <w:t>Clemente</w:t>
      </w:r>
      <w:r w:rsidRPr="00E23EDD">
        <w:rPr>
          <w:sz w:val="24"/>
          <w:lang w:val="lt-LT"/>
        </w:rPr>
        <w:t xml:space="preserve">, C-200/07 ir C-201/07, ECLI:EU:C:2008:579; 2010 m. kovo 19 d. Bendrojo Teismo sprendimas </w:t>
      </w:r>
      <w:r w:rsidRPr="00E23EDD">
        <w:rPr>
          <w:i/>
          <w:sz w:val="24"/>
          <w:lang w:val="lt-LT"/>
        </w:rPr>
        <w:t>Gollnisch</w:t>
      </w:r>
      <w:r w:rsidRPr="00E23EDD">
        <w:rPr>
          <w:i/>
          <w:sz w:val="24"/>
          <w:lang w:val="lt-LT"/>
        </w:rPr>
        <w:t> / Parlamentas</w:t>
      </w:r>
      <w:r w:rsidRPr="00E23EDD">
        <w:rPr>
          <w:sz w:val="24"/>
          <w:lang w:val="lt-LT"/>
        </w:rPr>
        <w:t xml:space="preserve">, T-42/06, ECLI:EU:T:2010:102; 2011 m. rugsėjo 6 d. Teisingumo Teismo sprendimas </w:t>
      </w:r>
      <w:r w:rsidRPr="00E23EDD">
        <w:rPr>
          <w:i/>
          <w:sz w:val="24"/>
          <w:lang w:val="lt-LT"/>
        </w:rPr>
        <w:t>Patriciello</w:t>
      </w:r>
      <w:r w:rsidRPr="00E23EDD">
        <w:rPr>
          <w:sz w:val="24"/>
          <w:lang w:val="lt-LT"/>
        </w:rPr>
        <w:t xml:space="preserve">, C-163/10, ECLI: EU:C:2011:543; 2013 m. sausio 17 d. Bendrojo Teismo sprendimas </w:t>
      </w:r>
      <w:r w:rsidRPr="00E23EDD">
        <w:rPr>
          <w:i/>
          <w:sz w:val="24"/>
          <w:lang w:val="lt-LT"/>
        </w:rPr>
        <w:t>Gollnisch</w:t>
      </w:r>
      <w:r w:rsidRPr="00E23EDD">
        <w:rPr>
          <w:i/>
          <w:sz w:val="24"/>
          <w:lang w:val="lt-LT"/>
        </w:rPr>
        <w:t> / Parlamentas</w:t>
      </w:r>
      <w:r w:rsidRPr="00E23EDD">
        <w:rPr>
          <w:sz w:val="24"/>
          <w:lang w:val="lt-LT"/>
        </w:rPr>
        <w:t xml:space="preserve">, T-346/11 ir T-347/11, ECLI:EU:T:2013:23; 2019 m. gruodžio 19 d. Teisingumo Teismo sprendimas </w:t>
      </w:r>
      <w:r w:rsidRPr="00E23EDD">
        <w:rPr>
          <w:i/>
          <w:iCs/>
          <w:sz w:val="24"/>
          <w:lang w:val="lt-LT"/>
        </w:rPr>
        <w:t>Junqueras</w:t>
      </w:r>
      <w:r w:rsidRPr="00E23EDD">
        <w:rPr>
          <w:i/>
          <w:iCs/>
          <w:sz w:val="24"/>
          <w:lang w:val="lt-LT"/>
        </w:rPr>
        <w:t xml:space="preserve"> </w:t>
      </w:r>
      <w:r w:rsidRPr="00E23EDD">
        <w:rPr>
          <w:i/>
          <w:iCs/>
          <w:sz w:val="24"/>
          <w:lang w:val="lt-LT"/>
        </w:rPr>
        <w:t>Vies</w:t>
      </w:r>
      <w:r w:rsidRPr="00E23EDD">
        <w:rPr>
          <w:sz w:val="24"/>
          <w:lang w:val="lt-LT"/>
        </w:rPr>
        <w:t>, C-502/19, ECLI:EU:C:2019:1115.</w:t>
      </w:r>
    </w:p>
  </w:footnote>
  <w:footnote w:id="3">
    <w:p w:rsidR="009E22D4" w:rsidRPr="00E23EDD" w:rsidP="00E23EDD" w14:paraId="00563C09" w14:textId="4B0F1021">
      <w:pPr>
        <w:pStyle w:val="FootnoteText"/>
        <w:ind w:left="567" w:hanging="567"/>
        <w:rPr>
          <w:sz w:val="24"/>
          <w:lang w:val="lt-LT"/>
        </w:rPr>
      </w:pPr>
      <w:r w:rsidRPr="00E23EDD">
        <w:rPr>
          <w:rStyle w:val="FootnoteReference"/>
          <w:sz w:val="24"/>
          <w:lang w:val="lt-LT"/>
        </w:rPr>
        <w:footnoteRef/>
      </w:r>
      <w:r w:rsidRPr="00E23EDD" w:rsidR="00E23EDD">
        <w:rPr>
          <w:sz w:val="24"/>
          <w:lang w:val="lt-LT"/>
        </w:rPr>
        <w:t xml:space="preserve"> </w:t>
      </w:r>
      <w:r w:rsidRPr="00E23EDD" w:rsidR="00E23EDD">
        <w:rPr>
          <w:sz w:val="24"/>
          <w:lang w:val="lt-LT"/>
        </w:rPr>
        <w:tab/>
      </w:r>
      <w:r w:rsidRPr="00E23EDD">
        <w:rPr>
          <w:sz w:val="24"/>
          <w:lang w:val="lt-LT"/>
        </w:rPr>
        <w:t xml:space="preserve">2019 m. balandžio 30 d. Bendrojo Teismo sprendimas </w:t>
      </w:r>
      <w:r w:rsidRPr="00E23EDD">
        <w:rPr>
          <w:i/>
          <w:sz w:val="24"/>
          <w:lang w:val="lt-LT"/>
        </w:rPr>
        <w:t>Briois</w:t>
      </w:r>
      <w:r w:rsidRPr="00E23EDD">
        <w:rPr>
          <w:i/>
          <w:sz w:val="24"/>
          <w:lang w:val="lt-LT"/>
        </w:rPr>
        <w:t> / Parlamentas</w:t>
      </w:r>
      <w:r w:rsidRPr="00E23EDD">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2721167">
    <w:abstractNumId w:val="9"/>
  </w:num>
  <w:num w:numId="2" w16cid:durableId="70540729">
    <w:abstractNumId w:val="9"/>
  </w:num>
  <w:num w:numId="3" w16cid:durableId="2065137288">
    <w:abstractNumId w:val="7"/>
  </w:num>
  <w:num w:numId="4" w16cid:durableId="1955944897">
    <w:abstractNumId w:val="7"/>
  </w:num>
  <w:num w:numId="5" w16cid:durableId="337848079">
    <w:abstractNumId w:val="6"/>
  </w:num>
  <w:num w:numId="6" w16cid:durableId="644161944">
    <w:abstractNumId w:val="6"/>
  </w:num>
  <w:num w:numId="7" w16cid:durableId="1016808986">
    <w:abstractNumId w:val="5"/>
  </w:num>
  <w:num w:numId="8" w16cid:durableId="1168012795">
    <w:abstractNumId w:val="5"/>
  </w:num>
  <w:num w:numId="9" w16cid:durableId="59329422">
    <w:abstractNumId w:val="4"/>
  </w:num>
  <w:num w:numId="10" w16cid:durableId="1197309563">
    <w:abstractNumId w:val="4"/>
  </w:num>
  <w:num w:numId="11" w16cid:durableId="761797140">
    <w:abstractNumId w:val="8"/>
  </w:num>
  <w:num w:numId="12" w16cid:durableId="1569654888">
    <w:abstractNumId w:val="8"/>
  </w:num>
  <w:num w:numId="13" w16cid:durableId="200745646">
    <w:abstractNumId w:val="3"/>
  </w:num>
  <w:num w:numId="14" w16cid:durableId="1446149613">
    <w:abstractNumId w:val="3"/>
  </w:num>
  <w:num w:numId="15" w16cid:durableId="923340833">
    <w:abstractNumId w:val="2"/>
  </w:num>
  <w:num w:numId="16" w16cid:durableId="591934502">
    <w:abstractNumId w:val="2"/>
  </w:num>
  <w:num w:numId="17" w16cid:durableId="1293091931">
    <w:abstractNumId w:val="1"/>
  </w:num>
  <w:num w:numId="18" w16cid:durableId="217480217">
    <w:abstractNumId w:val="1"/>
  </w:num>
  <w:num w:numId="19" w16cid:durableId="91245012">
    <w:abstractNumId w:val="0"/>
  </w:num>
  <w:num w:numId="20" w16cid:durableId="829758198">
    <w:abstractNumId w:val="0"/>
  </w:num>
  <w:num w:numId="21" w16cid:durableId="2044137731">
    <w:abstractNumId w:val="9"/>
  </w:num>
  <w:num w:numId="22" w16cid:durableId="1615357500">
    <w:abstractNumId w:val="7"/>
  </w:num>
  <w:num w:numId="23" w16cid:durableId="1000503418">
    <w:abstractNumId w:val="6"/>
  </w:num>
  <w:num w:numId="24" w16cid:durableId="1172792289">
    <w:abstractNumId w:val="5"/>
  </w:num>
  <w:num w:numId="25" w16cid:durableId="622227258">
    <w:abstractNumId w:val="4"/>
  </w:num>
  <w:num w:numId="26" w16cid:durableId="126631169">
    <w:abstractNumId w:val="8"/>
  </w:num>
  <w:num w:numId="27" w16cid:durableId="1856963399">
    <w:abstractNumId w:val="3"/>
  </w:num>
  <w:num w:numId="28" w16cid:durableId="663356722">
    <w:abstractNumId w:val="2"/>
  </w:num>
  <w:num w:numId="29" w16cid:durableId="2028633197">
    <w:abstractNumId w:val="1"/>
  </w:num>
  <w:num w:numId="30" w16cid:durableId="947615569">
    <w:abstractNumId w:val="0"/>
  </w:num>
  <w:num w:numId="31" w16cid:durableId="13654821">
    <w:abstractNumId w:val="9"/>
  </w:num>
  <w:num w:numId="32" w16cid:durableId="536165600">
    <w:abstractNumId w:val="7"/>
  </w:num>
  <w:num w:numId="33" w16cid:durableId="20129977">
    <w:abstractNumId w:val="6"/>
  </w:num>
  <w:num w:numId="34" w16cid:durableId="1228808016">
    <w:abstractNumId w:val="5"/>
  </w:num>
  <w:num w:numId="35" w16cid:durableId="2082949410">
    <w:abstractNumId w:val="4"/>
  </w:num>
  <w:num w:numId="36" w16cid:durableId="323357519">
    <w:abstractNumId w:val="8"/>
  </w:num>
  <w:num w:numId="37" w16cid:durableId="1844511521">
    <w:abstractNumId w:val="3"/>
  </w:num>
  <w:num w:numId="38" w16cid:durableId="547568233">
    <w:abstractNumId w:val="2"/>
  </w:num>
  <w:num w:numId="39" w16cid:durableId="1723672689">
    <w:abstractNumId w:val="1"/>
  </w:num>
  <w:num w:numId="40" w16cid:durableId="617951881">
    <w:abstractNumId w:val="0"/>
  </w:num>
  <w:num w:numId="41" w16cid:durableId="17783892">
    <w:abstractNumId w:val="10"/>
  </w:num>
  <w:num w:numId="42" w16cid:durableId="341663669">
    <w:abstractNumId w:val="10"/>
  </w:num>
  <w:num w:numId="43" w16cid:durableId="1832791458">
    <w:abstractNumId w:val="10"/>
  </w:num>
  <w:num w:numId="44" w16cid:durableId="588344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E5D"/>
    <w:rsid w:val="00002272"/>
    <w:rsid w:val="0002663D"/>
    <w:rsid w:val="00064002"/>
    <w:rsid w:val="000677B9"/>
    <w:rsid w:val="000831BA"/>
    <w:rsid w:val="000A42CC"/>
    <w:rsid w:val="000E7DD9"/>
    <w:rsid w:val="0010095E"/>
    <w:rsid w:val="00100FEB"/>
    <w:rsid w:val="00125B37"/>
    <w:rsid w:val="00187494"/>
    <w:rsid w:val="001D068B"/>
    <w:rsid w:val="001F32AE"/>
    <w:rsid w:val="00265694"/>
    <w:rsid w:val="00274D46"/>
    <w:rsid w:val="002767FF"/>
    <w:rsid w:val="002B18FE"/>
    <w:rsid w:val="002B5493"/>
    <w:rsid w:val="00343214"/>
    <w:rsid w:val="00361C00"/>
    <w:rsid w:val="00395FA1"/>
    <w:rsid w:val="003A67BC"/>
    <w:rsid w:val="003E15D4"/>
    <w:rsid w:val="00411CCE"/>
    <w:rsid w:val="0041383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BC2"/>
    <w:rsid w:val="006631B6"/>
    <w:rsid w:val="00680577"/>
    <w:rsid w:val="006E621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439"/>
    <w:rsid w:val="00930C23"/>
    <w:rsid w:val="0093193B"/>
    <w:rsid w:val="009509D8"/>
    <w:rsid w:val="00950B64"/>
    <w:rsid w:val="00951E5D"/>
    <w:rsid w:val="00981893"/>
    <w:rsid w:val="009B5837"/>
    <w:rsid w:val="009E22D4"/>
    <w:rsid w:val="00A1687D"/>
    <w:rsid w:val="00A43E52"/>
    <w:rsid w:val="00A4678D"/>
    <w:rsid w:val="00A528AC"/>
    <w:rsid w:val="00A778C7"/>
    <w:rsid w:val="00AB441E"/>
    <w:rsid w:val="00AB6293"/>
    <w:rsid w:val="00AE0928"/>
    <w:rsid w:val="00AF3B82"/>
    <w:rsid w:val="00B12E95"/>
    <w:rsid w:val="00B17179"/>
    <w:rsid w:val="00B22876"/>
    <w:rsid w:val="00B558F0"/>
    <w:rsid w:val="00BD48FE"/>
    <w:rsid w:val="00BD7BD8"/>
    <w:rsid w:val="00BE6ADC"/>
    <w:rsid w:val="00C05BFE"/>
    <w:rsid w:val="00C23CD4"/>
    <w:rsid w:val="00C61C0C"/>
    <w:rsid w:val="00C941CB"/>
    <w:rsid w:val="00CC2357"/>
    <w:rsid w:val="00CF071A"/>
    <w:rsid w:val="00D058B8"/>
    <w:rsid w:val="00D132D7"/>
    <w:rsid w:val="00D56C11"/>
    <w:rsid w:val="00D834A0"/>
    <w:rsid w:val="00D872DF"/>
    <w:rsid w:val="00D91E21"/>
    <w:rsid w:val="00DA0C1A"/>
    <w:rsid w:val="00DA7FCD"/>
    <w:rsid w:val="00DF1696"/>
    <w:rsid w:val="00E23ED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7/2026"/>
    <w:docVar w:name="dvlangue" w:val="LT"/>
    <w:docVar w:name="dvnumam" w:val="0"/>
    <w:docVar w:name="dvpe" w:val="785.318"/>
    <w:docVar w:name="dvrapporteur" w:val="Pranešėjas: "/>
    <w:docVar w:name="dvtitre" w:val="2026 m. ... ... d. Europos Parlamento sprendimas dėl prašymo atšaukti Dianos Iovanovici Şoşoacă (Diana Iovanovici Şoşoac) imunitetą(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4049C6"/>
  <w15:chartTrackingRefBased/>
  <w15:docId w15:val="{F197DFE1-359E-4CF5-AE75-DB4978AE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22D4"/>
    <w:pPr>
      <w:spacing w:after="240"/>
      <w:ind w:left="567" w:hanging="567"/>
    </w:pPr>
  </w:style>
  <w:style w:type="paragraph" w:customStyle="1" w:styleId="EPComma">
    <w:name w:val="EPComma"/>
    <w:basedOn w:val="Normal"/>
    <w:rsid w:val="009E22D4"/>
    <w:pPr>
      <w:spacing w:before="480" w:after="240"/>
    </w:pPr>
  </w:style>
  <w:style w:type="paragraph" w:styleId="Revision">
    <w:name w:val="Revision"/>
    <w:hidden/>
    <w:uiPriority w:val="99"/>
    <w:semiHidden/>
    <w:rsid w:val="00DF169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1396</Words>
  <Characters>9072</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2026-04-28T14:25:00Z</dcterms:created>
  <dcterms:modified xsi:type="dcterms:W3CDTF">2026-04-28T14:25:00Z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P10_TA(2026)0108_</vt:lpwstr>
  </property>
  <property fmtid="{D5CDD505-2E9C-101B-9397-08002B2CF9AE}" pid="4" name="&lt;Type&gt;">
    <vt:lpwstr>RR</vt:lpwstr>
  </property>
</Properties>
</file>