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AF1B9D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E1986" w:rsidP="0010095E" w14:paraId="46AC84BF" w14:textId="77777777">
            <w:pPr>
              <w:pStyle w:val="EPName"/>
            </w:pPr>
            <w:r w:rsidRPr="006E1986">
              <w:t>Parlament Ewropew</w:t>
            </w:r>
          </w:p>
          <w:p w:rsidR="00751A4A" w:rsidRPr="006E1986" w:rsidP="005F1B17" w14:paraId="636D794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1986">
              <w:t>2024</w:t>
            </w:r>
            <w:r w:rsidRPr="006E1986" w:rsidR="00817416">
              <w:t>-202</w:t>
            </w:r>
            <w:r w:rsidRPr="006E198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E1986" w:rsidP="0010095E" w14:paraId="79D2E6EB" w14:textId="77777777">
            <w:pPr>
              <w:pStyle w:val="EPLogo"/>
            </w:pPr>
            <w:r w:rsidRPr="006E198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E1986" w:rsidP="004C5D52" w14:paraId="16721E88" w14:textId="77777777">
      <w:pPr>
        <w:pStyle w:val="LineTop"/>
      </w:pPr>
    </w:p>
    <w:p w:rsidR="00680577" w:rsidRPr="006E1986" w:rsidP="00680577" w14:paraId="330A0333" w14:textId="77777777">
      <w:pPr>
        <w:pStyle w:val="EPBodyTA1"/>
      </w:pPr>
      <w:r w:rsidRPr="006E1986">
        <w:t>TESTI ADOTTATI</w:t>
      </w:r>
    </w:p>
    <w:p w:rsidR="00D058B8" w:rsidRPr="006E1986" w:rsidP="00D058B8" w14:paraId="2229936C" w14:textId="77777777">
      <w:pPr>
        <w:pStyle w:val="LineBottom"/>
      </w:pPr>
    </w:p>
    <w:p w:rsidR="0086552E" w:rsidRPr="006E1986" w:rsidP="0086552E" w14:paraId="30094C2F" w14:textId="5C8404FB">
      <w:pPr>
        <w:pStyle w:val="ATHeading1"/>
      </w:pPr>
      <w:bookmarkStart w:id="0" w:name="TANumber"/>
      <w:r w:rsidRPr="006E1986">
        <w:t>P10_TA(2026)0</w:t>
      </w:r>
      <w:r w:rsidRPr="006E1986" w:rsidR="006E1986">
        <w:t>108</w:t>
      </w:r>
      <w:bookmarkEnd w:id="0"/>
    </w:p>
    <w:p w:rsidR="0086552E" w:rsidRPr="006E1986" w:rsidP="0086552E" w14:paraId="6FBC7885" w14:textId="6AF71644">
      <w:pPr>
        <w:pStyle w:val="ATHeading2"/>
      </w:pPr>
      <w:r w:rsidRPr="006E1986">
        <w:t xml:space="preserve">Talba għat-tneħħija tal-immunità ta’ Diana </w:t>
      </w:r>
      <w:r w:rsidRPr="006E1986">
        <w:t>Iovanovici</w:t>
      </w:r>
      <w:r w:rsidRPr="006E1986">
        <w:t xml:space="preserve"> </w:t>
      </w:r>
      <w:r w:rsidRPr="006E1986">
        <w:t>Şoşoacă</w:t>
      </w:r>
    </w:p>
    <w:p w:rsidR="0086552E" w:rsidRPr="006E1986" w:rsidP="0086552E" w14:paraId="2C68712A" w14:textId="77777777">
      <w:pPr>
        <w:rPr>
          <w:i/>
          <w:vanish/>
        </w:rPr>
      </w:pPr>
      <w:r>
        <w:rPr>
          <w:i/>
        </w:rPr>
        <w:fldChar w:fldCharType="begin"/>
      </w:r>
      <w:r w:rsidRPr="006E1986">
        <w:rPr>
          <w:i/>
        </w:rPr>
        <w:instrText xml:space="preserve"> TC"(</w:instrText>
      </w:r>
      <w:bookmarkStart w:id="1" w:name="DocNumber"/>
      <w:r w:rsidRPr="006E1986">
        <w:rPr>
          <w:i/>
        </w:rPr>
        <w:instrText>A10-0117/2026</w:instrText>
      </w:r>
      <w:bookmarkEnd w:id="1"/>
      <w:r w:rsidRPr="006E1986">
        <w:rPr>
          <w:i/>
        </w:rPr>
        <w:instrText xml:space="preserve"> - </w:instrText>
      </w:r>
      <w:r w:rsidRPr="006E1986">
        <w:rPr>
          <w:i/>
        </w:rPr>
        <w:instrText>Rapporteur</w:instrText>
      </w:r>
      <w:r w:rsidRPr="006E1986">
        <w:rPr>
          <w:i/>
        </w:rPr>
        <w:instrText xml:space="preserve">: </w:instrText>
      </w:r>
      <w:r w:rsidRPr="006E1986">
        <w:rPr>
          <w:i/>
        </w:rPr>
        <w:instrText>Dominik</w:instrText>
      </w:r>
      <w:r w:rsidRPr="006E1986">
        <w:rPr>
          <w:i/>
        </w:rPr>
        <w:instrText xml:space="preserve"> </w:instrText>
      </w:r>
      <w:r w:rsidRPr="006E1986">
        <w:rPr>
          <w:i/>
        </w:rPr>
        <w:instrText>Tarczyński</w:instrText>
      </w:r>
      <w:r w:rsidRPr="006E198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6552E" w:rsidRPr="006E1986" w:rsidP="0086552E" w14:paraId="3DCA32FF" w14:textId="77777777">
      <w:pPr>
        <w:rPr>
          <w:vanish/>
        </w:rPr>
      </w:pPr>
      <w:bookmarkStart w:id="2" w:name="Commission"/>
      <w:r w:rsidRPr="006E1986">
        <w:rPr>
          <w:vanish/>
        </w:rPr>
        <w:t>Kumitat għall-Affarijiet Legali</w:t>
      </w:r>
      <w:bookmarkEnd w:id="2"/>
    </w:p>
    <w:p w:rsidR="0086552E" w:rsidRPr="006E1986" w:rsidP="0086552E" w14:paraId="11133935" w14:textId="77777777">
      <w:pPr>
        <w:rPr>
          <w:vanish/>
        </w:rPr>
      </w:pPr>
      <w:bookmarkStart w:id="3" w:name="PE"/>
      <w:r w:rsidRPr="006E1986">
        <w:rPr>
          <w:vanish/>
        </w:rPr>
        <w:t>PE785.318</w:t>
      </w:r>
      <w:bookmarkEnd w:id="3"/>
    </w:p>
    <w:p w:rsidR="0086552E" w:rsidRPr="006E1986" w:rsidP="0086552E" w14:paraId="29864E31" w14:textId="16140A90">
      <w:pPr>
        <w:pStyle w:val="ATHeading3"/>
      </w:pPr>
      <w:bookmarkStart w:id="4" w:name="Sujet"/>
      <w:r w:rsidRPr="006E1986">
        <w:t>Deċiż</w:t>
      </w:r>
      <w:r w:rsidRPr="006E1986">
        <w:t xml:space="preserve">joni tal-Parlament Ewropew </w:t>
      </w:r>
      <w:r w:rsidRPr="006E1986">
        <w:t xml:space="preserve">tat-28 ta’ April </w:t>
      </w:r>
      <w:r w:rsidRPr="006E1986">
        <w:t xml:space="preserve">2026 dwar it-talba għat-tneħħija tal-immunità ta’ Diana </w:t>
      </w:r>
      <w:r w:rsidRPr="006E1986">
        <w:t>Iovanovici</w:t>
      </w:r>
      <w:r w:rsidRPr="006E1986">
        <w:t xml:space="preserve"> </w:t>
      </w:r>
      <w:r w:rsidRPr="006E1986">
        <w:t>Şoşoacă</w:t>
      </w:r>
      <w:bookmarkEnd w:id="4"/>
      <w:r w:rsidRPr="006E1986">
        <w:t xml:space="preserve"> </w:t>
      </w:r>
      <w:bookmarkStart w:id="5" w:name="References"/>
      <w:r w:rsidRPr="006E1986">
        <w:t>(2025/2196(IMM))</w:t>
      </w:r>
      <w:bookmarkEnd w:id="5"/>
    </w:p>
    <w:p w:rsidR="00D107C0" w:rsidRPr="006E1986" w:rsidP="00D107C0" w14:paraId="2A03E496" w14:textId="77777777">
      <w:pPr>
        <w:pStyle w:val="EPComma"/>
      </w:pPr>
      <w:bookmarkStart w:id="6" w:name="TextBodyBegin"/>
      <w:bookmarkEnd w:id="6"/>
      <w:r w:rsidRPr="006E1986">
        <w:rPr>
          <w:i/>
          <w:iCs/>
        </w:rPr>
        <w:t>Il-Parlament Ewropew,</w:t>
      </w:r>
    </w:p>
    <w:p w:rsidR="00D107C0" w:rsidRPr="006E1986" w:rsidP="00D107C0" w14:paraId="72650723" w14:textId="6FB2A9C3">
      <w:pPr>
        <w:pStyle w:val="NormalHanging12a"/>
      </w:pPr>
      <w:r w:rsidRPr="006E1986">
        <w:t>–</w:t>
      </w:r>
      <w:r w:rsidRPr="006E1986">
        <w:tab/>
        <w:t xml:space="preserve">wara li </w:t>
      </w:r>
      <w:r w:rsidRPr="006E1986">
        <w:t>kkunsidra</w:t>
      </w:r>
      <w:r w:rsidRPr="006E1986">
        <w:t xml:space="preserve"> t-talba għat-tneħħija tal-immunità ta’ Diana </w:t>
      </w:r>
      <w:r w:rsidRPr="006E1986">
        <w:t>Iovanovici</w:t>
      </w:r>
      <w:r w:rsidRPr="006E1986">
        <w:t xml:space="preserve"> </w:t>
      </w:r>
      <w:r w:rsidRPr="006E1986">
        <w:t>Şoşoacă</w:t>
      </w:r>
      <w:r w:rsidRPr="006E1986">
        <w:t xml:space="preserve">, li waslet permezz tal-ittra datata l-24 ta’ Settembru 2025 mill-Ministru tal-Ġustizzja tar-Rumanija, li </w:t>
      </w:r>
      <w:r w:rsidRPr="006E1986">
        <w:t>tittrażmetti</w:t>
      </w:r>
      <w:r w:rsidRPr="006E1986">
        <w:t xml:space="preserve"> talba mressqa mill-Uffiċċju tal-Prosekutur</w:t>
      </w:r>
      <w:r w:rsidRPr="006E1986" w:rsidR="00192655">
        <w:t xml:space="preserve"> Pubbliku </w:t>
      </w:r>
      <w:r w:rsidRPr="006E1986" w:rsidR="00192655">
        <w:t>affiljat</w:t>
      </w:r>
      <w:r w:rsidRPr="006E1986" w:rsidR="00192655">
        <w:t xml:space="preserve"> m</w:t>
      </w:r>
      <w:r w:rsidRPr="006E1986">
        <w:t>al-Qorti Għolja tal-</w:t>
      </w:r>
      <w:r w:rsidRPr="006E1986">
        <w:t>Kassazzjoni</w:t>
      </w:r>
      <w:r w:rsidRPr="006E1986">
        <w:t xml:space="preserve"> u tal-Ġustizzja tar-Rumanija b’rabta mal-proċedimenti kriminali </w:t>
      </w:r>
      <w:r w:rsidRPr="006E1986">
        <w:t>istitwiti</w:t>
      </w:r>
      <w:r w:rsidRPr="006E1986">
        <w:t xml:space="preserve"> kontra Diana </w:t>
      </w:r>
      <w:r w:rsidRPr="006E1986">
        <w:t>Iovanovici</w:t>
      </w:r>
      <w:r w:rsidRPr="006E1986">
        <w:t xml:space="preserve"> </w:t>
      </w:r>
      <w:r w:rsidRPr="006E1986">
        <w:t>Şoşoacă</w:t>
      </w:r>
      <w:r w:rsidRPr="006E1986">
        <w:t xml:space="preserve"> u mħabbra fil-Parlament fid-9 ta’ Ottubru 2025,</w:t>
      </w:r>
    </w:p>
    <w:p w:rsidR="00D107C0" w:rsidRPr="006E1986" w:rsidP="00D107C0" w14:paraId="28CFAFD8" w14:textId="77777777">
      <w:pPr>
        <w:pStyle w:val="NormalHanging12a"/>
      </w:pPr>
      <w:r w:rsidRPr="006E1986">
        <w:t>–</w:t>
      </w:r>
      <w:r w:rsidRPr="006E1986">
        <w:tab/>
        <w:t xml:space="preserve">wara li sema’ lil Diana </w:t>
      </w:r>
      <w:r w:rsidRPr="006E1986">
        <w:t>Iovanovici</w:t>
      </w:r>
      <w:r w:rsidRPr="006E1986">
        <w:t xml:space="preserve"> </w:t>
      </w:r>
      <w:r w:rsidRPr="006E1986">
        <w:t>Şoşoacă</w:t>
      </w:r>
      <w:r w:rsidRPr="006E1986">
        <w:t xml:space="preserve"> fl-24 ta’ Marzu 2026, skont l-Artikolu 9(6) tar-Regoli ta’ Proċedura tiegħu,</w:t>
      </w:r>
    </w:p>
    <w:p w:rsidR="00D107C0" w:rsidRPr="006E1986" w:rsidP="00D107C0" w14:paraId="4299BB20" w14:textId="77777777">
      <w:pPr>
        <w:pStyle w:val="NormalHanging12a"/>
      </w:pPr>
      <w:r w:rsidRPr="006E1986">
        <w:t>–</w:t>
      </w:r>
      <w:r w:rsidRPr="006E1986">
        <w:tab/>
        <w:t xml:space="preserve">wara li </w:t>
      </w:r>
      <w:r w:rsidRPr="006E1986">
        <w:t>kkunsidra</w:t>
      </w:r>
      <w:r w:rsidRPr="006E1986">
        <w:t xml:space="preserve"> l-Artikoli 8 u 9 tal-Protokoll Nru 7 dwar il-Privileġġi u l-</w:t>
      </w:r>
      <w:r w:rsidRPr="006E1986">
        <w:t>Immunitajiet</w:t>
      </w:r>
      <w:r w:rsidRPr="006E1986">
        <w:t xml:space="preserve"> tal-Unjoni Ewropea, kif ukoll l-Artikolu 6(2) tal-Att tal-20 ta’ Settembru 1976 dwar l-elezzjoni tal-Membri tal-Parlament Ewropew b’vot dirett universali,</w:t>
      </w:r>
    </w:p>
    <w:p w:rsidR="00D107C0" w:rsidRPr="006E1986" w:rsidP="00D107C0" w14:paraId="1EAC834F" w14:textId="77777777">
      <w:pPr>
        <w:pStyle w:val="NormalHanging12a"/>
      </w:pPr>
      <w:r w:rsidRPr="006E1986">
        <w:t>–</w:t>
      </w:r>
      <w:r w:rsidRPr="006E1986">
        <w:tab/>
        <w:t xml:space="preserve">wara li </w:t>
      </w:r>
      <w:r w:rsidRPr="006E1986">
        <w:t>kkunsidra</w:t>
      </w:r>
      <w:r w:rsidRPr="006E1986">
        <w:t xml:space="preserve"> s-sentenzi mogħtija mill-Qorti tal-Ġustizzja tal-Unjoni Ewropea fil-21 ta’ Ottubru 2008, fid-19 ta’ Marzu 2010, fis-6 ta’ Settembru 2011, fis-17 ta’ Jannar 2013 u fid-19 ta’ Diċembru 2019</w:t>
      </w:r>
      <w:r>
        <w:rPr>
          <w:vertAlign w:val="superscript"/>
        </w:rPr>
        <w:footnoteReference w:id="2"/>
      </w:r>
      <w:r w:rsidRPr="006E1986">
        <w:t>,</w:t>
      </w:r>
    </w:p>
    <w:p w:rsidR="00D107C0" w:rsidRPr="006E1986" w:rsidP="00D107C0" w14:paraId="5B362884" w14:textId="77777777">
      <w:pPr>
        <w:pStyle w:val="NormalHanging12a"/>
      </w:pPr>
      <w:r w:rsidRPr="006E1986">
        <w:t>–</w:t>
      </w:r>
      <w:r w:rsidRPr="006E1986">
        <w:tab/>
        <w:t xml:space="preserve">wara li </w:t>
      </w:r>
      <w:r w:rsidRPr="006E1986">
        <w:t>kkunsidra</w:t>
      </w:r>
      <w:r w:rsidRPr="006E1986">
        <w:t xml:space="preserve"> l-Artikolu 72(1) u (2) tal-Kostituzzjoni Rumena,</w:t>
      </w:r>
    </w:p>
    <w:p w:rsidR="00D107C0" w:rsidRPr="006E1986" w:rsidP="00D107C0" w14:paraId="47BD4058" w14:textId="77777777">
      <w:pPr>
        <w:pStyle w:val="NormalHanging12a"/>
      </w:pPr>
      <w:r w:rsidRPr="006E1986">
        <w:t>–</w:t>
      </w:r>
      <w:r w:rsidRPr="006E1986">
        <w:tab/>
        <w:t xml:space="preserve">wara li </w:t>
      </w:r>
      <w:r w:rsidRPr="006E1986">
        <w:t>kkunsidra</w:t>
      </w:r>
      <w:r w:rsidRPr="006E1986">
        <w:t xml:space="preserve"> l-Artikolu 5(2), l-Artikolu 6(1) u l-Artikolu 9 tar-Regoli ta’ Proċedura </w:t>
      </w:r>
      <w:r w:rsidRPr="006E1986">
        <w:t>tiegħu,</w:t>
      </w:r>
    </w:p>
    <w:p w:rsidR="00D107C0" w:rsidRPr="006E1986" w:rsidP="00D107C0" w14:paraId="425A5B7E" w14:textId="77777777">
      <w:pPr>
        <w:pStyle w:val="NormalHanging12a"/>
      </w:pPr>
      <w:r w:rsidRPr="006E1986">
        <w:t>–</w:t>
      </w:r>
      <w:r w:rsidRPr="006E1986">
        <w:tab/>
        <w:t xml:space="preserve">wara li </w:t>
      </w:r>
      <w:r w:rsidRPr="006E1986">
        <w:t>kkunsidra</w:t>
      </w:r>
      <w:r w:rsidRPr="006E1986">
        <w:t xml:space="preserve"> r-rapport tal-Kumitat għall-Affarijiet Legali (A10-0117/2026),</w:t>
      </w:r>
    </w:p>
    <w:p w:rsidR="00D107C0" w:rsidRPr="006E1986" w:rsidP="00D107C0" w14:paraId="1F74BD5A" w14:textId="1DB8A426">
      <w:pPr>
        <w:pStyle w:val="NormalHanging12a"/>
        <w:rPr>
          <w:color w:val="000000"/>
        </w:rPr>
      </w:pPr>
      <w:r w:rsidRPr="006E1986">
        <w:t>A.</w:t>
      </w:r>
      <w:r w:rsidRPr="006E1986">
        <w:tab/>
        <w:t xml:space="preserve">billi, permezz ta’ ittra datata l-24 ta’ Settembru 2025, il-Ministru tal-Ġustizzja tar-Rumanija bagħat talba ppreżentata mill-Uffiċċju tal-Prosekutur </w:t>
      </w:r>
      <w:r w:rsidRPr="006E1986" w:rsidR="00192655">
        <w:t>affiljat</w:t>
      </w:r>
      <w:r w:rsidRPr="006E1986" w:rsidR="00192655">
        <w:t xml:space="preserve"> m</w:t>
      </w:r>
      <w:r w:rsidRPr="006E1986">
        <w:t>al-Qorti Għolja tal-</w:t>
      </w:r>
      <w:r w:rsidRPr="006E1986">
        <w:t>Kassazzjoni</w:t>
      </w:r>
      <w:r w:rsidRPr="006E1986">
        <w:t xml:space="preserve"> u l-Ġustizzja tar-Rumanija għat-tneħħija tal-immunità ta’ Diana </w:t>
      </w:r>
      <w:r w:rsidRPr="006E1986">
        <w:t>Iovanovici</w:t>
      </w:r>
      <w:r w:rsidRPr="006E1986">
        <w:t xml:space="preserve"> </w:t>
      </w:r>
      <w:r w:rsidRPr="006E1986">
        <w:t>Şoşoacă</w:t>
      </w:r>
      <w:r w:rsidRPr="006E1986">
        <w:t>, Membru tal-Parlament Ewropew eletta fir-Rumanija, b’rabta ma’ proċedimenti kriminali li jikkonċernaw diversi reati allegatament imwettqa f’dati differenti bejn l-10 ta’ Diċembru 2021 u l-11 ta’ Frar 2025;</w:t>
      </w:r>
    </w:p>
    <w:p w:rsidR="00D107C0" w:rsidRPr="006E1986" w:rsidP="00D107C0" w14:paraId="5C90F199" w14:textId="4F7DF7B5">
      <w:pPr>
        <w:pStyle w:val="NormalHanging12a"/>
        <w:rPr>
          <w:color w:val="000000"/>
        </w:rPr>
      </w:pPr>
      <w:r w:rsidRPr="006E1986">
        <w:rPr>
          <w:color w:val="000000"/>
        </w:rPr>
        <w:t>B.</w:t>
      </w:r>
      <w:r w:rsidRPr="006E1986">
        <w:rPr>
          <w:color w:val="000000"/>
        </w:rPr>
        <w:tab/>
        <w:t xml:space="preserve">billi skont it-talba, kien sar ilment minn tliet persuni li Diana </w:t>
      </w:r>
      <w:r w:rsidRPr="006E1986">
        <w:rPr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Şoşoacă</w:t>
      </w:r>
      <w:r w:rsidRPr="006E1986">
        <w:rPr>
          <w:color w:val="000000"/>
        </w:rPr>
        <w:t xml:space="preserve"> u oħrajn allegatament ċaħħdu lit-tliet </w:t>
      </w:r>
      <w:r w:rsidRPr="006E1986">
        <w:rPr>
          <w:color w:val="000000"/>
        </w:rPr>
        <w:t>kwerelanti</w:t>
      </w:r>
      <w:r w:rsidRPr="006E1986">
        <w:rPr>
          <w:color w:val="000000"/>
        </w:rPr>
        <w:t xml:space="preserve"> u persuna oħra mil-libertà tagħhom għal madwar 20 minuta bejn l-15:40 u l-16:00 fl-10 ta’ Diċembru 2021, f’appartament f’</w:t>
      </w:r>
      <w:r w:rsidRPr="006E1986">
        <w:rPr>
          <w:color w:val="000000"/>
        </w:rPr>
        <w:t>Bucharest</w:t>
      </w:r>
      <w:r w:rsidRPr="006E1986">
        <w:rPr>
          <w:color w:val="000000"/>
        </w:rPr>
        <w:t>; billi l-allegata azzjoni tikkostitwixxi reat skont l-Artikolu 205(1) tal-Kodiċi Kriminali Rumen;</w:t>
      </w:r>
    </w:p>
    <w:p w:rsidR="00D107C0" w:rsidRPr="006E1986" w:rsidP="00D107C0" w14:paraId="3F91547F" w14:textId="135F1D09">
      <w:pPr>
        <w:pStyle w:val="NormalHanging12a"/>
        <w:rPr>
          <w:color w:val="000000"/>
        </w:rPr>
      </w:pPr>
      <w:r w:rsidRPr="006E1986">
        <w:rPr>
          <w:color w:val="000000"/>
        </w:rPr>
        <w:t>C.</w:t>
      </w:r>
      <w:r w:rsidRPr="006E1986">
        <w:rPr>
          <w:color w:val="000000"/>
        </w:rPr>
        <w:tab/>
        <w:t>billi skont it-talba, fit-28 ta’ Frar 2024 l-Istitut Nazzjonali tal-Gvern Rumen għall-Istudju tal-Olokawst fir-Rumanija “</w:t>
      </w:r>
      <w:r w:rsidRPr="006E1986">
        <w:rPr>
          <w:color w:val="000000"/>
        </w:rPr>
        <w:t>Elie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Wiesel</w:t>
      </w:r>
      <w:r w:rsidRPr="006E1986">
        <w:rPr>
          <w:color w:val="000000"/>
        </w:rPr>
        <w:t xml:space="preserve">” innotifika lill-awtoritajiet ġudizzjarji li, fid-19 ta’ Frar 2024 fuq is-sit web uffiċjali tal-partit SOS </w:t>
      </w:r>
      <w:r w:rsidRPr="006E1986">
        <w:rPr>
          <w:color w:val="000000"/>
        </w:rPr>
        <w:t>România</w:t>
      </w:r>
      <w:r w:rsidRPr="006E1986">
        <w:rPr>
          <w:color w:val="000000"/>
        </w:rPr>
        <w:t xml:space="preserve">, allegatament ġiet ippubblikata stqarrija għall-istampa ta’ dak il-partit iffirmata minn Diana </w:t>
      </w:r>
      <w:r w:rsidRPr="006E1986">
        <w:rPr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 bħala president tal-istess partit li fiha allegatament </w:t>
      </w:r>
      <w:r w:rsidRPr="006E1986">
        <w:rPr>
          <w:color w:val="000000"/>
        </w:rPr>
        <w:t>igglorifikat</w:t>
      </w:r>
      <w:r w:rsidRPr="006E1986">
        <w:rPr>
          <w:color w:val="000000"/>
        </w:rPr>
        <w:t xml:space="preserve"> persuna </w:t>
      </w:r>
      <w:r w:rsidRPr="006E1986">
        <w:rPr>
          <w:color w:val="000000"/>
        </w:rPr>
        <w:t>kkundannata</w:t>
      </w:r>
      <w:r w:rsidRPr="006E1986">
        <w:rPr>
          <w:color w:val="000000"/>
        </w:rPr>
        <w:t xml:space="preserve"> bħala kriminal tal-gwerra skont il-Liġi Rumena Nru 312/1945 </w:t>
      </w:r>
      <w:r w:rsidRPr="006E1986" w:rsidR="006E6153">
        <w:rPr>
          <w:color w:val="000000"/>
        </w:rPr>
        <w:t>dwar il-</w:t>
      </w:r>
      <w:r w:rsidRPr="006E1986">
        <w:rPr>
          <w:color w:val="000000"/>
        </w:rPr>
        <w:t>prosekuzzjoni u l-</w:t>
      </w:r>
      <w:r w:rsidRPr="006E1986">
        <w:rPr>
          <w:color w:val="000000"/>
        </w:rPr>
        <w:t>ikkastigar</w:t>
      </w:r>
      <w:r w:rsidRPr="006E1986">
        <w:rPr>
          <w:color w:val="000000"/>
        </w:rPr>
        <w:t xml:space="preserve"> ta’ </w:t>
      </w:r>
      <w:r w:rsidRPr="006E1986" w:rsidR="00192655">
        <w:rPr>
          <w:color w:val="000000"/>
        </w:rPr>
        <w:t>dawk il-</w:t>
      </w:r>
      <w:r w:rsidRPr="006E1986">
        <w:rPr>
          <w:color w:val="000000"/>
        </w:rPr>
        <w:t xml:space="preserve">persuni ħatja </w:t>
      </w:r>
      <w:r w:rsidRPr="006E1986" w:rsidR="006E6153">
        <w:rPr>
          <w:color w:val="000000"/>
        </w:rPr>
        <w:t>li ġabu l-pajjiż f’</w:t>
      </w:r>
      <w:r w:rsidRPr="006E1986">
        <w:rPr>
          <w:color w:val="000000"/>
        </w:rPr>
        <w:t>diżastru jew delitti tal-gwerra; billi l-allegata azzjoni tikkostitwixxi reat skont l-Artikolu 5(1) tal-Ord</w:t>
      </w:r>
      <w:r w:rsidRPr="006E1986" w:rsidR="006E6153">
        <w:rPr>
          <w:color w:val="000000"/>
        </w:rPr>
        <w:t>inanza</w:t>
      </w:r>
      <w:r w:rsidRPr="006E1986">
        <w:rPr>
          <w:color w:val="000000"/>
        </w:rPr>
        <w:t xml:space="preserve"> ta’ Emerġenza tal-Gvern Nru 31/2002 tar-Rumanija;</w:t>
      </w:r>
    </w:p>
    <w:p w:rsidR="00D107C0" w:rsidRPr="006E1986" w:rsidP="00D107C0" w14:paraId="456364C7" w14:textId="42E9A8ED">
      <w:pPr>
        <w:pStyle w:val="NormalHanging12a"/>
        <w:rPr>
          <w:bCs/>
          <w:iCs/>
          <w:color w:val="000000"/>
        </w:rPr>
      </w:pPr>
      <w:r w:rsidRPr="006E1986">
        <w:rPr>
          <w:color w:val="000000"/>
        </w:rPr>
        <w:t>D.</w:t>
      </w:r>
      <w:r w:rsidRPr="006E1986">
        <w:rPr>
          <w:color w:val="000000"/>
        </w:rPr>
        <w:tab/>
        <w:t xml:space="preserve">billi skont it-talba, fis-27 ta’ Mejju 2024 iċ-Ċentru </w:t>
      </w:r>
      <w:r w:rsidRPr="006E1986">
        <w:rPr>
          <w:color w:val="000000"/>
        </w:rPr>
        <w:t>għall-Monitoraġġ</w:t>
      </w:r>
      <w:r w:rsidRPr="006E1986">
        <w:rPr>
          <w:color w:val="000000"/>
        </w:rPr>
        <w:t xml:space="preserve"> u l-Ġlieda kontra l-</w:t>
      </w:r>
      <w:r w:rsidRPr="006E1986">
        <w:rPr>
          <w:color w:val="000000"/>
        </w:rPr>
        <w:t>Antisemitiżmu</w:t>
      </w:r>
      <w:r w:rsidRPr="006E1986">
        <w:rPr>
          <w:color w:val="000000"/>
        </w:rPr>
        <w:t xml:space="preserve"> fir-Rumanija rrapporta li, fit-13 ta’ Mejju u fl-14 ta’ Mejju 2024, Diana </w:t>
      </w:r>
      <w:r w:rsidRPr="006E1986">
        <w:rPr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 allegatament għamlet dikjarazzjonijiet pubbliċi, inkluż permezz tal-kont pubbliku tagħha fuq </w:t>
      </w:r>
      <w:r w:rsidRPr="006E1986">
        <w:rPr>
          <w:color w:val="000000"/>
        </w:rPr>
        <w:t>Facebook</w:t>
      </w:r>
      <w:r w:rsidRPr="006E1986">
        <w:rPr>
          <w:color w:val="000000"/>
        </w:rPr>
        <w:t>, waqt li kienet fil-bini tal-Parlament Rumen, li permezz tagħhom akkużat lil-Lhud b’mod kollettiv b’delitti storiċi kontra l-poplu Rumen; billi l-allegata azzjoni tikkostitwixxi reat skont l-Artikolu 3 tal-Liġi Nru 157/2018 tar-Rumanija dwar miżuri għall-prevenzjoni u l-ġlieda kontra l-</w:t>
      </w:r>
      <w:r w:rsidRPr="006E1986">
        <w:rPr>
          <w:color w:val="000000"/>
        </w:rPr>
        <w:t>antisemitiżmu</w:t>
      </w:r>
      <w:r w:rsidRPr="006E1986">
        <w:rPr>
          <w:color w:val="000000"/>
        </w:rPr>
        <w:t>;</w:t>
      </w:r>
    </w:p>
    <w:p w:rsidR="00D107C0" w:rsidRPr="006E1986" w:rsidP="00D107C0" w14:paraId="111DFB91" w14:textId="4E77943D">
      <w:pPr>
        <w:pStyle w:val="NormalHanging12a"/>
        <w:rPr>
          <w:bCs/>
          <w:iCs/>
          <w:color w:val="000000"/>
        </w:rPr>
      </w:pPr>
      <w:r w:rsidRPr="006E1986">
        <w:rPr>
          <w:color w:val="000000"/>
        </w:rPr>
        <w:t>E.</w:t>
      </w:r>
      <w:r w:rsidRPr="006E1986">
        <w:rPr>
          <w:color w:val="000000"/>
        </w:rPr>
        <w:tab/>
        <w:t xml:space="preserve">billi skont it-talba, fl-14 ta’ Mejju 2024 Diana </w:t>
      </w:r>
      <w:r w:rsidRPr="006E1986">
        <w:rPr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, waqt li kienet fil-bini tal-Parlament Rumen biex tattendi seduta konġunta tal-Kamra tad-Deputati </w:t>
      </w:r>
      <w:r w:rsidRPr="006E1986" w:rsidR="006E6153">
        <w:rPr>
          <w:color w:val="000000"/>
        </w:rPr>
        <w:t xml:space="preserve">tar-Rumanija </w:t>
      </w:r>
      <w:r w:rsidRPr="006E1986">
        <w:rPr>
          <w:color w:val="000000"/>
        </w:rPr>
        <w:t xml:space="preserve">u tas-Senat, allegatament għamlet dikjarazzjonijiet li </w:t>
      </w:r>
      <w:r w:rsidRPr="006E1986">
        <w:rPr>
          <w:color w:val="000000"/>
        </w:rPr>
        <w:t>jakkużaw</w:t>
      </w:r>
      <w:r w:rsidRPr="006E1986">
        <w:rPr>
          <w:color w:val="000000"/>
        </w:rPr>
        <w:t xml:space="preserve"> lil-Lhud kollettivament b’delitti storiċi kontra l-poplu Rumen; billi l-allegata azzjoni tikkostitwixxi reat skont l-Artikolu 6(1) tal-Ord</w:t>
      </w:r>
      <w:r w:rsidRPr="006E1986" w:rsidR="006E6153">
        <w:rPr>
          <w:color w:val="000000"/>
        </w:rPr>
        <w:t>inanza</w:t>
      </w:r>
      <w:r w:rsidRPr="006E1986">
        <w:rPr>
          <w:color w:val="000000"/>
        </w:rPr>
        <w:t xml:space="preserve"> ta’ Emerġenza tal-Gvern Nru 31/2002 tar-Rumanija;</w:t>
      </w:r>
    </w:p>
    <w:p w:rsidR="00D107C0" w:rsidRPr="006E1986" w:rsidP="00D107C0" w14:paraId="464891EA" w14:textId="30AB8981">
      <w:pPr>
        <w:pStyle w:val="NormalHanging12a"/>
        <w:rPr>
          <w:bCs/>
          <w:iCs/>
          <w:color w:val="000000"/>
        </w:rPr>
      </w:pPr>
      <w:r w:rsidRPr="006E1986">
        <w:rPr>
          <w:color w:val="000000"/>
        </w:rPr>
        <w:t>F.</w:t>
      </w:r>
      <w:r w:rsidRPr="006E1986">
        <w:rPr>
          <w:color w:val="000000"/>
        </w:rPr>
        <w:tab/>
        <w:t xml:space="preserve">billi skont it-talba, fil-5 u s-6 ta’ Ottubru 2024, Diana </w:t>
      </w:r>
      <w:r w:rsidRPr="006E1986" w:rsidR="006E1986">
        <w:rPr>
          <w:bCs/>
          <w:iCs/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 allegatament għamlet diversi dikjarazzjonijiet pubbliċi online li </w:t>
      </w:r>
      <w:r w:rsidRPr="006E1986">
        <w:rPr>
          <w:color w:val="000000"/>
        </w:rPr>
        <w:t>jigglorifikaw</w:t>
      </w:r>
      <w:r w:rsidRPr="006E1986">
        <w:rPr>
          <w:color w:val="000000"/>
        </w:rPr>
        <w:t xml:space="preserve"> ċerti persuni u movimenti meqjusa li wettqu jew ipparteċipaw f’delitti tal-gwerra skont il-liġi nazzjonali Rumena, u akkużat lil-Lhud b’mod kollettiv b’delitti storiċi u reliġjużi; billi l-allegati azzjonijiet jikkostitwixxu reati skont l-Artikolu 5 tal-Ord</w:t>
      </w:r>
      <w:r w:rsidRPr="006E1986" w:rsidR="006E6153">
        <w:rPr>
          <w:color w:val="000000"/>
        </w:rPr>
        <w:t>inanza</w:t>
      </w:r>
      <w:r w:rsidRPr="006E1986">
        <w:rPr>
          <w:color w:val="000000"/>
        </w:rPr>
        <w:t xml:space="preserve"> ta’ Emerġenza tal-Gvern Nru 31/2002 tar-Rumanija;</w:t>
      </w:r>
    </w:p>
    <w:p w:rsidR="00D107C0" w:rsidRPr="006E1986" w:rsidP="00D107C0" w14:paraId="6912863D" w14:textId="5072D7BA">
      <w:pPr>
        <w:pStyle w:val="NormalHanging12a"/>
        <w:rPr>
          <w:color w:val="000000"/>
        </w:rPr>
      </w:pPr>
      <w:r w:rsidRPr="006E1986">
        <w:rPr>
          <w:color w:val="000000"/>
        </w:rPr>
        <w:t>G.</w:t>
      </w:r>
      <w:r w:rsidRPr="006E1986">
        <w:rPr>
          <w:color w:val="000000"/>
        </w:rPr>
        <w:tab/>
        <w:t xml:space="preserve">billi skont it-talba, fl-1 ta’ Diċembru 2024 Diana </w:t>
      </w:r>
      <w:r w:rsidRPr="006E1986" w:rsidR="006E1986">
        <w:rPr>
          <w:bCs/>
          <w:iCs/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 allegatament </w:t>
      </w:r>
      <w:r w:rsidRPr="006E1986">
        <w:rPr>
          <w:color w:val="000000"/>
        </w:rPr>
        <w:t>igglorifikat</w:t>
      </w:r>
      <w:r w:rsidRPr="006E1986">
        <w:rPr>
          <w:color w:val="000000"/>
        </w:rPr>
        <w:t xml:space="preserve"> pubblikament persuna </w:t>
      </w:r>
      <w:r w:rsidRPr="006E1986">
        <w:rPr>
          <w:color w:val="000000"/>
        </w:rPr>
        <w:t>kkundannata</w:t>
      </w:r>
      <w:r w:rsidRPr="006E1986">
        <w:rPr>
          <w:color w:val="000000"/>
        </w:rPr>
        <w:t xml:space="preserve"> għal delitti tal-gwerra skont il-liġi </w:t>
      </w:r>
      <w:r w:rsidRPr="006E1986">
        <w:rPr>
          <w:color w:val="000000"/>
        </w:rPr>
        <w:t xml:space="preserve">nazzjonali Rumena, permezz ta’ dikjarazzjonijiet li saru online u f’atti ta’ promozzjoni pubblika ta’ ideat u kunċetti </w:t>
      </w:r>
      <w:r w:rsidRPr="006E1986">
        <w:rPr>
          <w:color w:val="000000"/>
        </w:rPr>
        <w:t>leġjonarji</w:t>
      </w:r>
      <w:r w:rsidRPr="006E1986">
        <w:rPr>
          <w:color w:val="000000"/>
        </w:rPr>
        <w:t xml:space="preserve">, razzisti u </w:t>
      </w:r>
      <w:r w:rsidRPr="006E1986">
        <w:rPr>
          <w:color w:val="000000"/>
        </w:rPr>
        <w:t>ksenofobiċi</w:t>
      </w:r>
      <w:r w:rsidRPr="006E1986">
        <w:rPr>
          <w:color w:val="000000"/>
        </w:rPr>
        <w:t xml:space="preserve"> fir-rigward tal-komunità Lhudija; billi l-allegati azzjonijiet jikkostitwixxu reati skont l-Artikolu 5 tal-Ord</w:t>
      </w:r>
      <w:r w:rsidRPr="006E1986" w:rsidR="006E6153">
        <w:rPr>
          <w:color w:val="000000"/>
        </w:rPr>
        <w:t>inanza</w:t>
      </w:r>
      <w:r w:rsidRPr="006E1986">
        <w:rPr>
          <w:color w:val="000000"/>
        </w:rPr>
        <w:t xml:space="preserve"> ta’ Emerġenza tal-Gvern Nru 31/2002 tar-Rumanija;</w:t>
      </w:r>
    </w:p>
    <w:p w:rsidR="00D107C0" w:rsidRPr="006E1986" w:rsidP="00D107C0" w14:paraId="06B4AFE6" w14:textId="77777777">
      <w:pPr>
        <w:pStyle w:val="NormalHanging12a"/>
        <w:rPr>
          <w:bCs/>
          <w:iCs/>
          <w:color w:val="000000"/>
        </w:rPr>
      </w:pPr>
      <w:r w:rsidRPr="006E1986">
        <w:rPr>
          <w:color w:val="000000"/>
        </w:rPr>
        <w:t>H.</w:t>
      </w:r>
      <w:r w:rsidRPr="006E1986">
        <w:rPr>
          <w:color w:val="000000"/>
        </w:rPr>
        <w:tab/>
        <w:t xml:space="preserve">billi skont it-talba, fil-15 ta’ Diċembru 2024, Diana </w:t>
      </w:r>
      <w:r w:rsidRPr="006E1986">
        <w:rPr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 allegatament heddet direttament li twettaq atti ta’ vjolenza kontra żewġ uffiċjali tal-pulizija fil-qadi ta’ dmirijiethom relatati ma’ multa amministrattiva imposta qabel; billi l-allegata azzjoni tikkostitwixxi reat skont l-Artikolu 257(1) u (4) tal-Kodiċi Kriminali Rumen;</w:t>
      </w:r>
    </w:p>
    <w:p w:rsidR="00D107C0" w:rsidRPr="006E1986" w:rsidP="00D107C0" w14:paraId="5CCCC6F2" w14:textId="727C5363">
      <w:pPr>
        <w:pStyle w:val="NormalHanging12a"/>
        <w:rPr>
          <w:bCs/>
          <w:iCs/>
          <w:color w:val="000000"/>
        </w:rPr>
      </w:pPr>
      <w:r w:rsidRPr="006E1986">
        <w:rPr>
          <w:color w:val="000000"/>
        </w:rPr>
        <w:t>I.</w:t>
      </w:r>
      <w:r w:rsidRPr="006E1986">
        <w:rPr>
          <w:color w:val="000000"/>
        </w:rPr>
        <w:tab/>
        <w:t xml:space="preserve">billi skont it-talba, fil-25 ta’ Frar 2025, l-Istitut għall-Investigazzjoni tad-Delitti Komunisti u l-Memorja tal-Eżilju Rumen, organizzazzjoni governattiva, innotifika lill-awtoritajiet ġudizzjarji li, fil-11 ta’ Frar 2025, Diana </w:t>
      </w:r>
      <w:r w:rsidRPr="006E1986">
        <w:rPr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 għamlet diskors fis-seduta plenarja tal-Parlament Ewropew li matulu </w:t>
      </w:r>
      <w:r w:rsidRPr="006E1986" w:rsidR="006E6153">
        <w:rPr>
          <w:color w:val="000000"/>
        </w:rPr>
        <w:t xml:space="preserve">allegatament </w:t>
      </w:r>
      <w:r w:rsidRPr="006E1986">
        <w:rPr>
          <w:color w:val="000000"/>
        </w:rPr>
        <w:t xml:space="preserve">rrakkomandat lill-kollegi tagħha jiżviluppaw strateġiji ta’ politika barranija </w:t>
      </w:r>
      <w:r w:rsidRPr="006E1986">
        <w:rPr>
          <w:color w:val="000000"/>
        </w:rPr>
        <w:t>bbażati</w:t>
      </w:r>
      <w:r w:rsidRPr="006E1986">
        <w:rPr>
          <w:color w:val="000000"/>
        </w:rPr>
        <w:t xml:space="preserve"> fuq dik ta’ </w:t>
      </w:r>
      <w:r w:rsidRPr="006E1986">
        <w:rPr>
          <w:color w:val="000000"/>
        </w:rPr>
        <w:t>Nicolae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Ceaușescu</w:t>
      </w:r>
      <w:r w:rsidRPr="006E1986">
        <w:rPr>
          <w:color w:val="000000"/>
        </w:rPr>
        <w:t xml:space="preserve">, li nstab ħati ta’ ġenoċidju skont sentenza tal-25 ta’ Diċembru 1989 tat-Tribunal Militari Territorjali ta’ </w:t>
      </w:r>
      <w:r w:rsidRPr="006E1986">
        <w:rPr>
          <w:color w:val="000000"/>
        </w:rPr>
        <w:t>Bucharest</w:t>
      </w:r>
      <w:r w:rsidRPr="006E1986">
        <w:rPr>
          <w:color w:val="000000"/>
        </w:rPr>
        <w:t>; billi l-allegata azzjoni tikkostitwixxi reat skont l-Artikolu 5 tal-Ord</w:t>
      </w:r>
      <w:r w:rsidRPr="006E1986" w:rsidR="006E6153">
        <w:rPr>
          <w:color w:val="000000"/>
        </w:rPr>
        <w:t>inanza</w:t>
      </w:r>
      <w:r w:rsidRPr="006E1986">
        <w:rPr>
          <w:color w:val="000000"/>
        </w:rPr>
        <w:t xml:space="preserve"> ta’ Emerġenza tal-Gvern Nru 31/2002 tar-Rumanija;</w:t>
      </w:r>
    </w:p>
    <w:p w:rsidR="00D107C0" w:rsidRPr="006E1986" w:rsidP="00D107C0" w14:paraId="36F91B30" w14:textId="507D96EA">
      <w:pPr>
        <w:pStyle w:val="NormalHanging12a"/>
        <w:rPr>
          <w:bCs/>
          <w:iCs/>
          <w:color w:val="000000"/>
        </w:rPr>
      </w:pPr>
      <w:r w:rsidRPr="006E1986">
        <w:rPr>
          <w:color w:val="000000"/>
        </w:rPr>
        <w:t>J.</w:t>
      </w:r>
      <w:r w:rsidRPr="006E1986">
        <w:rPr>
          <w:color w:val="000000"/>
        </w:rPr>
        <w:tab/>
        <w:t xml:space="preserve">billi Diana </w:t>
      </w:r>
      <w:r w:rsidRPr="006E1986">
        <w:rPr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 ġiet eletta fil-Parlament Ewropew fl-elezzjonijiet Ewropej ta’ Ġunju 2024, u għalhekk</w:t>
      </w:r>
      <w:r w:rsidRPr="006E1986" w:rsidR="006E6153">
        <w:rPr>
          <w:color w:val="000000"/>
        </w:rPr>
        <w:t>,</w:t>
      </w:r>
      <w:r w:rsidRPr="006E1986">
        <w:rPr>
          <w:color w:val="000000"/>
        </w:rPr>
        <w:t xml:space="preserve"> ma kienet</w:t>
      </w:r>
      <w:r w:rsidRPr="006E1986" w:rsidR="006E6153">
        <w:rPr>
          <w:color w:val="000000"/>
        </w:rPr>
        <w:t>,</w:t>
      </w:r>
      <w:r w:rsidRPr="006E1986">
        <w:rPr>
          <w:color w:val="000000"/>
        </w:rPr>
        <w:t xml:space="preserve"> Membru tal-Parlament Ewropew fi żmien l-ebda waħda mill-allegati azzjonijiet imsemmija fit-talba mwettqa fl-10 ta’ Diċembru 2021, fid-19 ta’ Frar 2024, u fit-13 u l-14 ta’ Mejju 2024; billi Diana </w:t>
      </w:r>
      <w:r w:rsidRPr="006E1986">
        <w:rPr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 kienet Membru tal-Parlament Ewropew fi żmien l-allegati azzjonijiet imsemmija fit-talba mwettqa fil-5 u s-6 ta’ Ottubru 2024, fl-1 ta’ Diċembru 2024, fil-15 ta’ Diċembru 2024 u fil-11 ta’ Frar 2025; billi minbarra l-ilmenti jew il-proċedimenti kriminali kontra Diana </w:t>
      </w:r>
      <w:r w:rsidRPr="006E1986">
        <w:rPr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 rigward l-allegati azzjonijiet tal-10 ta’ Diċembru 2021 u d-19 ta’ Frar 2024, il-proċedimenti kriminali l-oħra kollha nfetħu wara l-elezzjoni tagħha bħala Membru tal-Parlament Ewropew;</w:t>
      </w:r>
    </w:p>
    <w:p w:rsidR="00D107C0" w:rsidRPr="006E1986" w:rsidP="00D107C0" w14:paraId="0D94E226" w14:textId="77777777">
      <w:pPr>
        <w:pStyle w:val="NormalHanging12a"/>
        <w:rPr>
          <w:bCs/>
          <w:iCs/>
          <w:color w:val="000000"/>
        </w:rPr>
      </w:pPr>
      <w:r w:rsidRPr="006E1986">
        <w:rPr>
          <w:color w:val="000000"/>
        </w:rPr>
        <w:t>K.</w:t>
      </w:r>
      <w:r w:rsidRPr="006E1986">
        <w:rPr>
          <w:color w:val="000000"/>
        </w:rPr>
        <w:tab/>
        <w:t>billi l-Artikolu 8 tal-Protokoll Nru 7 dwar il-Privileġġi u l-</w:t>
      </w:r>
      <w:r w:rsidRPr="006E1986">
        <w:rPr>
          <w:color w:val="000000"/>
        </w:rPr>
        <w:t>Immunitajiet</w:t>
      </w:r>
      <w:r w:rsidRPr="006E1986">
        <w:rPr>
          <w:color w:val="000000"/>
        </w:rPr>
        <w:t xml:space="preserve"> tal-Unjoni Ewropea jipprevedi li “Membri tal-Parlament Ewropew m’għandhom ikunu suġġetti għal ebda forma ta’ investigazzjoni, detenzjoni jew proċeduri legali, fir-rigward ta’ opinjonijiet espressi jew voti mogħtija minnhom fil-qadi ta’ dmirijiethom”;</w:t>
      </w:r>
    </w:p>
    <w:p w:rsidR="00D107C0" w:rsidRPr="006E1986" w:rsidP="00D107C0" w14:paraId="23B479E3" w14:textId="77777777">
      <w:pPr>
        <w:pStyle w:val="NormalHanging12a"/>
        <w:rPr>
          <w:bCs/>
          <w:iCs/>
          <w:color w:val="000000"/>
        </w:rPr>
      </w:pPr>
      <w:r w:rsidRPr="006E1986">
        <w:rPr>
          <w:color w:val="000000"/>
        </w:rPr>
        <w:t>L.</w:t>
      </w:r>
      <w:r w:rsidRPr="006E1986">
        <w:rPr>
          <w:color w:val="000000"/>
        </w:rPr>
        <w:tab/>
        <w:t xml:space="preserve">billi l-allegat reat imwettaq fil-11 ta’ Frar 2025 rigward l-allegata </w:t>
      </w:r>
      <w:r w:rsidRPr="006E1986">
        <w:rPr>
          <w:color w:val="000000"/>
        </w:rPr>
        <w:t>glorifikazzjoni</w:t>
      </w:r>
      <w:r w:rsidRPr="006E1986">
        <w:rPr>
          <w:color w:val="000000"/>
        </w:rPr>
        <w:t xml:space="preserve"> ta’ </w:t>
      </w:r>
      <w:r w:rsidRPr="006E1986">
        <w:rPr>
          <w:color w:val="000000"/>
        </w:rPr>
        <w:t>Nicolae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Ceaușescu</w:t>
      </w:r>
      <w:r w:rsidRPr="006E1986">
        <w:rPr>
          <w:color w:val="000000"/>
        </w:rPr>
        <w:t xml:space="preserve">, ikkundannat bħala kriminal tal-gwerra skont il-liġi nazzjonali Rumena, jinvolvi dikjarazzjoni li għamlet matul is-seduta plenarja tal-Parlament Ewropew fi </w:t>
      </w:r>
      <w:r w:rsidRPr="006E1986">
        <w:rPr>
          <w:color w:val="000000"/>
        </w:rPr>
        <w:t>Strażburgu</w:t>
      </w:r>
      <w:r w:rsidRPr="006E1986">
        <w:rPr>
          <w:color w:val="000000"/>
        </w:rPr>
        <w:t xml:space="preserve"> matul dibattitu dwar “Strateġija globali </w:t>
      </w:r>
      <w:r w:rsidRPr="006E1986">
        <w:rPr>
          <w:color w:val="000000"/>
        </w:rPr>
        <w:t>usa</w:t>
      </w:r>
      <w:r w:rsidRPr="006E1986">
        <w:rPr>
          <w:color w:val="000000"/>
        </w:rPr>
        <w:t xml:space="preserve">’ għall-UE u l-Lvant Nofsani”; billi din id-dikjarazzjoni għalhekk tikkostitwixxi opinjoni espressa jew vot mogħti minn Diana </w:t>
      </w:r>
      <w:r w:rsidRPr="006E1986">
        <w:rPr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 fil-qadi ta’ dmirijietha fis-sens tal-Artikolu 8 tal-Protokoll Nru 7 dwar il-Privileġġi u l-</w:t>
      </w:r>
      <w:r w:rsidRPr="006E1986">
        <w:rPr>
          <w:color w:val="000000"/>
        </w:rPr>
        <w:t>Immunitajiet</w:t>
      </w:r>
      <w:r w:rsidRPr="006E1986">
        <w:rPr>
          <w:color w:val="000000"/>
        </w:rPr>
        <w:t xml:space="preserve"> tal-Unjoni Ewropea;</w:t>
      </w:r>
    </w:p>
    <w:p w:rsidR="00D107C0" w:rsidRPr="006E1986" w:rsidP="00D107C0" w14:paraId="5DB4C823" w14:textId="2697E5CB">
      <w:pPr>
        <w:pStyle w:val="NormalHanging12a"/>
        <w:rPr>
          <w:bCs/>
          <w:iCs/>
          <w:color w:val="000000"/>
        </w:rPr>
      </w:pPr>
      <w:r w:rsidRPr="006E1986">
        <w:rPr>
          <w:color w:val="000000"/>
        </w:rPr>
        <w:t>M.</w:t>
      </w:r>
      <w:r w:rsidRPr="006E1986">
        <w:rPr>
          <w:color w:val="000000"/>
        </w:rPr>
        <w:tab/>
        <w:t xml:space="preserve">billi l-allegati reati l-oħra kollha </w:t>
      </w:r>
      <w:r w:rsidRPr="006E1986" w:rsidR="006E6153">
        <w:rPr>
          <w:color w:val="000000"/>
        </w:rPr>
        <w:t xml:space="preserve">ma </w:t>
      </w:r>
      <w:r w:rsidRPr="006E1986" w:rsidR="006E6153">
        <w:rPr>
          <w:color w:val="000000"/>
        </w:rPr>
        <w:t>jikkostitwixxux</w:t>
      </w:r>
      <w:r w:rsidRPr="006E1986" w:rsidR="006E6153">
        <w:rPr>
          <w:color w:val="000000"/>
        </w:rPr>
        <w:t xml:space="preserve"> </w:t>
      </w:r>
      <w:r w:rsidRPr="006E1986">
        <w:rPr>
          <w:color w:val="000000"/>
        </w:rPr>
        <w:t xml:space="preserve">u t-talba </w:t>
      </w:r>
      <w:r w:rsidRPr="006E1986">
        <w:rPr>
          <w:color w:val="000000"/>
        </w:rPr>
        <w:t>rimanenti</w:t>
      </w:r>
      <w:r w:rsidRPr="006E1986">
        <w:rPr>
          <w:color w:val="000000"/>
        </w:rPr>
        <w:t xml:space="preserve"> għat-tneħħija tal-immunità ta’ Diana </w:t>
      </w:r>
      <w:r w:rsidRPr="006E1986">
        <w:rPr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 </w:t>
      </w:r>
      <w:r w:rsidRPr="006E1986" w:rsidR="006E6153">
        <w:rPr>
          <w:color w:val="000000"/>
        </w:rPr>
        <w:t>mhijiex relatata mal-</w:t>
      </w:r>
      <w:r w:rsidRPr="006E1986">
        <w:rPr>
          <w:color w:val="000000"/>
        </w:rPr>
        <w:t>opinjoni espressa jew vot mogħti minnha fil-qadi ta’ dmirijietha skont it-tifsira tal-Artikolu 8 tal-Protokoll Nru 7 dwar il-Privileġġi u l-</w:t>
      </w:r>
      <w:r w:rsidRPr="006E1986">
        <w:rPr>
          <w:color w:val="000000"/>
        </w:rPr>
        <w:t>Immunitajiet</w:t>
      </w:r>
      <w:r w:rsidRPr="006E1986">
        <w:rPr>
          <w:color w:val="000000"/>
        </w:rPr>
        <w:t xml:space="preserve"> tal-Unjoni Ewropea;</w:t>
      </w:r>
    </w:p>
    <w:p w:rsidR="00D107C0" w:rsidRPr="006E1986" w:rsidP="00D107C0" w14:paraId="7B6EDC46" w14:textId="69349EB2">
      <w:pPr>
        <w:pStyle w:val="NormalHanging12a"/>
        <w:rPr>
          <w:bCs/>
          <w:iCs/>
          <w:color w:val="000000"/>
        </w:rPr>
      </w:pPr>
      <w:r w:rsidRPr="006E1986">
        <w:rPr>
          <w:color w:val="000000"/>
        </w:rPr>
        <w:t>N.</w:t>
      </w:r>
      <w:r w:rsidRPr="006E1986">
        <w:rPr>
          <w:color w:val="000000"/>
        </w:rPr>
        <w:tab/>
        <w:t>billi l-Artikolu 9, l-ewwel paragrafu, il-punt (a), tal-Protokoll Nru 7 dwar il-Privileġġi u l-</w:t>
      </w:r>
      <w:r w:rsidRPr="006E1986">
        <w:rPr>
          <w:color w:val="000000"/>
        </w:rPr>
        <w:t>Immunitajiet</w:t>
      </w:r>
      <w:r w:rsidRPr="006E1986">
        <w:rPr>
          <w:color w:val="000000"/>
        </w:rPr>
        <w:t xml:space="preserve"> tal-Unjoni Ewropea jipprevedi li, waqt is-sessjonijiet tal-Parlament Ewropew, il-Membri tal-Parlament Ewropew għandhom igawdu, fit-territorju tal-Istat </w:t>
      </w:r>
      <w:r w:rsidRPr="006E1986" w:rsidR="00AB0847">
        <w:rPr>
          <w:color w:val="000000"/>
        </w:rPr>
        <w:t xml:space="preserve">Membru </w:t>
      </w:r>
      <w:r w:rsidRPr="006E1986">
        <w:rPr>
          <w:color w:val="000000"/>
        </w:rPr>
        <w:t>tagħhom stess, l-</w:t>
      </w:r>
      <w:r w:rsidRPr="006E1986">
        <w:rPr>
          <w:color w:val="000000"/>
        </w:rPr>
        <w:t>immunitajiet</w:t>
      </w:r>
      <w:r w:rsidRPr="006E1986">
        <w:rPr>
          <w:color w:val="000000"/>
        </w:rPr>
        <w:t xml:space="preserve"> mogħtija lil membri tal-parlament tal-Istat Membru tagħhom;</w:t>
      </w:r>
    </w:p>
    <w:p w:rsidR="00D107C0" w:rsidRPr="006E1986" w:rsidP="00D107C0" w14:paraId="67056968" w14:textId="77777777">
      <w:pPr>
        <w:pStyle w:val="NormalHanging12a"/>
        <w:rPr>
          <w:color w:val="000000"/>
        </w:rPr>
      </w:pPr>
      <w:r w:rsidRPr="006E1986">
        <w:rPr>
          <w:color w:val="000000"/>
        </w:rPr>
        <w:t>O.</w:t>
      </w:r>
      <w:r w:rsidRPr="006E1986">
        <w:rPr>
          <w:color w:val="000000"/>
        </w:rPr>
        <w:tab/>
        <w:t>billi l-Artikolu 72(1) u (2) tal-Kostituzzjoni Rumena jipprevedi li:</w:t>
      </w:r>
    </w:p>
    <w:p w:rsidR="00D107C0" w:rsidRPr="006E1986" w:rsidP="00D107C0" w14:paraId="55A99DE9" w14:textId="77777777">
      <w:pPr>
        <w:pStyle w:val="NormalHanging12a"/>
        <w:rPr>
          <w:color w:val="000000"/>
        </w:rPr>
      </w:pPr>
      <w:r w:rsidRPr="006E1986">
        <w:rPr>
          <w:color w:val="000000"/>
        </w:rPr>
        <w:t>‘1.</w:t>
      </w:r>
      <w:r w:rsidRPr="006E1986">
        <w:rPr>
          <w:color w:val="000000"/>
        </w:rPr>
        <w:tab/>
        <w:t xml:space="preserve">l-ebda Deputat jew Senatur ma għandu jinżamm responsabbli </w:t>
      </w:r>
      <w:r w:rsidRPr="006E1986">
        <w:rPr>
          <w:color w:val="000000"/>
        </w:rPr>
        <w:t>ġudizzjarjament</w:t>
      </w:r>
      <w:r w:rsidRPr="006E1986">
        <w:rPr>
          <w:color w:val="000000"/>
        </w:rPr>
        <w:t xml:space="preserve"> għall-voti mogħtija jew għall-opinjonijiet politiċi espressi waqt l-eżerċizzju tal-kariga tiegħu;</w:t>
      </w:r>
    </w:p>
    <w:p w:rsidR="00D107C0" w:rsidRPr="006E1986" w:rsidP="00D107C0" w14:paraId="671BD965" w14:textId="77777777">
      <w:pPr>
        <w:pStyle w:val="NormalHanging12a"/>
        <w:rPr>
          <w:color w:val="000000"/>
        </w:rPr>
      </w:pPr>
      <w:r w:rsidRPr="006E1986">
        <w:rPr>
          <w:color w:val="000000"/>
        </w:rPr>
        <w:t>2.</w:t>
      </w:r>
      <w:r w:rsidRPr="006E1986">
        <w:rPr>
          <w:color w:val="000000"/>
        </w:rPr>
        <w:tab/>
        <w:t xml:space="preserve">id-Deputati u s-Senaturi jistgħu jkunu soġġetti għal investigazzjoni kriminali, jew jitressqu quddiem qorti kriminali għal atti li mhumiex marbuta ma’ voti mogħtija jew ma’ opinjonijiet politiċi espressi fil-qadi tal-mandat tagħhom, iżda ma jistgħux ikunu </w:t>
      </w:r>
      <w:r w:rsidRPr="006E1986">
        <w:rPr>
          <w:color w:val="000000"/>
        </w:rPr>
        <w:t>perkwiżiti</w:t>
      </w:r>
      <w:r w:rsidRPr="006E1986">
        <w:rPr>
          <w:color w:val="000000"/>
        </w:rPr>
        <w:t xml:space="preserve">, miżmuma jew arrestati mingħajr il-kunsens tal-Kamra li tagħha jkunu membri, wara li jkunu nstemgħu. L-Uffiċċju tal-Prosekutur Pubbliku tal-Qorti Għolja ta’ </w:t>
      </w:r>
      <w:r w:rsidRPr="006E1986">
        <w:rPr>
          <w:color w:val="000000"/>
        </w:rPr>
        <w:t>Kassazzjoni</w:t>
      </w:r>
      <w:r w:rsidRPr="006E1986">
        <w:rPr>
          <w:color w:val="000000"/>
        </w:rPr>
        <w:t xml:space="preserve"> u Ġustizzja biss jista’ jwettaq l-investigazzjoni u l-prosekuzzjoni. Il-Qorti Għolja ta’ </w:t>
      </w:r>
      <w:r w:rsidRPr="006E1986">
        <w:rPr>
          <w:color w:val="000000"/>
        </w:rPr>
        <w:t>Kassazzjoni</w:t>
      </w:r>
      <w:r w:rsidRPr="006E1986">
        <w:rPr>
          <w:color w:val="000000"/>
        </w:rPr>
        <w:t xml:space="preserve"> u Ġustizzja għandu jkollha l-</w:t>
      </w:r>
      <w:r w:rsidRPr="006E1986">
        <w:rPr>
          <w:color w:val="000000"/>
        </w:rPr>
        <w:t>ġuriżdizzjoni</w:t>
      </w:r>
      <w:r w:rsidRPr="006E1986">
        <w:rPr>
          <w:color w:val="000000"/>
        </w:rPr>
        <w:t xml:space="preserve"> fuq dan il-każ”;</w:t>
      </w:r>
    </w:p>
    <w:p w:rsidR="00D107C0" w:rsidRPr="006E1986" w:rsidP="00D107C0" w14:paraId="326FEB28" w14:textId="77777777">
      <w:pPr>
        <w:pStyle w:val="NormalHanging12a"/>
        <w:rPr>
          <w:color w:val="000000"/>
        </w:rPr>
      </w:pPr>
      <w:r w:rsidRPr="006E1986">
        <w:rPr>
          <w:color w:val="000000"/>
        </w:rPr>
        <w:t>P.</w:t>
      </w:r>
      <w:r w:rsidRPr="006E1986">
        <w:rPr>
          <w:color w:val="000000"/>
        </w:rPr>
        <w:tab/>
        <w:t>billi l-għan tal-immunità prevista fil-Protokoll Nru 7 dwar il-Privileġġi u l-</w:t>
      </w:r>
      <w:r w:rsidRPr="006E1986">
        <w:rPr>
          <w:color w:val="000000"/>
        </w:rPr>
        <w:t>Immunitajiet</w:t>
      </w:r>
      <w:r w:rsidRPr="006E1986">
        <w:rPr>
          <w:color w:val="000000"/>
        </w:rPr>
        <w:t xml:space="preserve"> tal-Unjoni Ewropea huwa li tipproteġi lill-Parlament u lill-Membri tiegħu minn proċedimenti ġudizzjarji fir-rigward ta’ attivitajiet imwettqa fil-qadi tad-dmirijiet parlamentari u li huma </w:t>
      </w:r>
      <w:r w:rsidRPr="006E1986">
        <w:rPr>
          <w:color w:val="000000"/>
        </w:rPr>
        <w:t>inseparabbli</w:t>
      </w:r>
      <w:r w:rsidRPr="006E1986">
        <w:rPr>
          <w:color w:val="000000"/>
        </w:rPr>
        <w:t xml:space="preserve"> minn dawk id-dmirijiet;</w:t>
      </w:r>
    </w:p>
    <w:p w:rsidR="00D107C0" w:rsidRPr="006E1986" w:rsidP="00D107C0" w14:paraId="0A9D33DA" w14:textId="77777777">
      <w:pPr>
        <w:pStyle w:val="NormalHanging12a"/>
        <w:rPr>
          <w:color w:val="000000"/>
        </w:rPr>
      </w:pPr>
      <w:r w:rsidRPr="006E1986">
        <w:rPr>
          <w:color w:val="000000"/>
        </w:rPr>
        <w:t>Q.</w:t>
      </w:r>
      <w:r w:rsidRPr="006E1986">
        <w:rPr>
          <w:color w:val="000000"/>
        </w:rPr>
        <w:tab/>
        <w:t>billi, skont l-Artikolu 5(2) tar-Regoli ta’ Proċedura tiegħu, l-immunità parlamentari mhix privileġġ personali tal-Membru iżda garanzija tal-indipendenza tal-Parlament kollu kemm hu u tal-Membri tiegħu;</w:t>
      </w:r>
    </w:p>
    <w:p w:rsidR="00D107C0" w:rsidRPr="006E1986" w:rsidP="00D107C0" w14:paraId="4BDAEF43" w14:textId="2C5754B8">
      <w:pPr>
        <w:pStyle w:val="NormalHanging12a"/>
        <w:rPr>
          <w:color w:val="000000"/>
        </w:rPr>
      </w:pPr>
      <w:r w:rsidRPr="006E1986">
        <w:rPr>
          <w:color w:val="000000"/>
        </w:rPr>
        <w:t>R.</w:t>
      </w:r>
      <w:r w:rsidRPr="006E1986">
        <w:rPr>
          <w:color w:val="000000"/>
        </w:rPr>
        <w:tab/>
        <w:t xml:space="preserve">billi, f’dan il-każ, il-Parlament ma sab l-ebda evidenza ta’ </w:t>
      </w:r>
      <w:r w:rsidRPr="006E1986">
        <w:rPr>
          <w:i/>
          <w:iCs/>
          <w:color w:val="000000"/>
        </w:rPr>
        <w:t>fumus</w:t>
      </w:r>
      <w:r w:rsidRPr="006E1986">
        <w:rPr>
          <w:i/>
          <w:iCs/>
          <w:color w:val="000000"/>
        </w:rPr>
        <w:t xml:space="preserve"> </w:t>
      </w:r>
      <w:r w:rsidRPr="006E1986">
        <w:rPr>
          <w:i/>
          <w:iCs/>
          <w:color w:val="000000"/>
        </w:rPr>
        <w:t>persecutionis</w:t>
      </w:r>
      <w:r w:rsidRPr="006E1986">
        <w:rPr>
          <w:color w:val="000000"/>
        </w:rPr>
        <w:t xml:space="preserve">, jiġifieri </w:t>
      </w:r>
      <w:r w:rsidRPr="006E1986" w:rsidR="00AB0847">
        <w:rPr>
          <w:color w:val="000000"/>
        </w:rPr>
        <w:t xml:space="preserve">ma jidhirx li l-intenzjoni li </w:t>
      </w:r>
      <w:r w:rsidRPr="006E1986" w:rsidR="00AB0847">
        <w:rPr>
          <w:color w:val="000000"/>
        </w:rPr>
        <w:t>jimminaw</w:t>
      </w:r>
      <w:r w:rsidRPr="006E1986" w:rsidR="00AB0847">
        <w:rPr>
          <w:color w:val="000000"/>
        </w:rPr>
        <w:t xml:space="preserve"> il-proċedimenti legali inkwistjoni hija li ssir ħsara lill-attività politika ta' Diana </w:t>
      </w:r>
      <w:r w:rsidRPr="006E1986" w:rsidR="00AB0847">
        <w:rPr>
          <w:color w:val="000000"/>
        </w:rPr>
        <w:t>Iovanovici</w:t>
      </w:r>
      <w:r w:rsidRPr="006E1986" w:rsidR="00AB0847">
        <w:rPr>
          <w:color w:val="000000"/>
        </w:rPr>
        <w:t xml:space="preserve"> </w:t>
      </w:r>
      <w:r w:rsidRPr="006E1986" w:rsidR="00AB0847">
        <w:rPr>
          <w:color w:val="000000"/>
        </w:rPr>
        <w:t>Şoşoacă</w:t>
      </w:r>
      <w:r w:rsidRPr="006E1986" w:rsidR="00AB0847">
        <w:rPr>
          <w:color w:val="000000"/>
        </w:rPr>
        <w:t xml:space="preserve"> bħala Membru tal-Parlament Ewropew u b'hekk lill-indipendenza tal-Parlament;</w:t>
      </w:r>
    </w:p>
    <w:p w:rsidR="00D107C0" w:rsidRPr="006E1986" w:rsidP="00D107C0" w14:paraId="2919B89B" w14:textId="2D59E49F">
      <w:pPr>
        <w:pStyle w:val="NormalHanging12a"/>
        <w:rPr>
          <w:color w:val="000000"/>
        </w:rPr>
      </w:pPr>
      <w:r w:rsidRPr="006E1986">
        <w:rPr>
          <w:color w:val="000000"/>
        </w:rPr>
        <w:t>S.</w:t>
      </w:r>
      <w:r w:rsidRPr="006E1986">
        <w:rPr>
          <w:color w:val="000000"/>
        </w:rPr>
        <w:tab/>
        <w:t>billi l-Parlament ma jistax jitqies bħala qorti u, l-Membru ma jistax, fi proċedura għat-tneħħija tal-immunità, jitqies bħala “akkużat”</w:t>
      </w:r>
      <w:r>
        <w:rPr>
          <w:color w:val="000000"/>
          <w:vertAlign w:val="superscript"/>
        </w:rPr>
        <w:footnoteReference w:id="3"/>
      </w:r>
      <w:r w:rsidRPr="006E1986">
        <w:rPr>
          <w:color w:val="000000"/>
        </w:rPr>
        <w:t>;</w:t>
      </w:r>
    </w:p>
    <w:p w:rsidR="00D107C0" w:rsidRPr="006E1986" w:rsidP="00D107C0" w14:paraId="5ACBCEED" w14:textId="77777777">
      <w:pPr>
        <w:pStyle w:val="NormalHanging12a"/>
        <w:rPr>
          <w:color w:val="000000"/>
        </w:rPr>
      </w:pPr>
      <w:r w:rsidRPr="006E1986">
        <w:rPr>
          <w:color w:val="000000"/>
        </w:rPr>
        <w:t>1.</w:t>
      </w:r>
      <w:r w:rsidRPr="006E1986">
        <w:rPr>
          <w:color w:val="000000"/>
        </w:rPr>
        <w:tab/>
        <w:t xml:space="preserve">Jiddeċiedi li jneħħi l-immunità ta’ Diana </w:t>
      </w:r>
      <w:r w:rsidRPr="006E1986">
        <w:rPr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 fir-rigward tal-allegati reati msemmija fil-punti B, C, D, E, F, G u H;</w:t>
      </w:r>
    </w:p>
    <w:p w:rsidR="00D107C0" w:rsidRPr="006E1986" w:rsidP="00D107C0" w14:paraId="57CE31EA" w14:textId="77777777">
      <w:pPr>
        <w:pStyle w:val="NormalHanging12a"/>
        <w:rPr>
          <w:color w:val="000000"/>
        </w:rPr>
      </w:pPr>
      <w:r w:rsidRPr="006E1986">
        <w:rPr>
          <w:color w:val="000000"/>
        </w:rPr>
        <w:t>2.</w:t>
      </w:r>
      <w:r w:rsidRPr="006E1986">
        <w:rPr>
          <w:color w:val="000000"/>
        </w:rPr>
        <w:tab/>
        <w:t xml:space="preserve">Jiddeċiedi li ma jneħħix l-immunità ta’ Diana </w:t>
      </w:r>
      <w:r w:rsidRPr="006E1986">
        <w:rPr>
          <w:color w:val="000000"/>
        </w:rPr>
        <w:t>Iovanovici</w:t>
      </w:r>
      <w:r w:rsidRPr="006E1986">
        <w:rPr>
          <w:color w:val="000000"/>
        </w:rPr>
        <w:t xml:space="preserve"> </w:t>
      </w:r>
      <w:r w:rsidRPr="006E1986">
        <w:rPr>
          <w:color w:val="000000"/>
        </w:rPr>
        <w:t>Șoșoacă</w:t>
      </w:r>
      <w:r w:rsidRPr="006E1986">
        <w:rPr>
          <w:color w:val="000000"/>
        </w:rPr>
        <w:t xml:space="preserve"> fir-rigward tal-allegat reat imsemmi fil-punt I;</w:t>
      </w:r>
    </w:p>
    <w:p w:rsidR="00DC6B07" w:rsidRPr="00DC6B07" w:rsidP="00DC6B07" w14:paraId="1C5DB35B" w14:textId="40FDD404">
      <w:pPr>
        <w:pStyle w:val="NormalHanging12a"/>
      </w:pPr>
      <w:r w:rsidRPr="006E1986">
        <w:t>3.</w:t>
      </w:r>
      <w:r w:rsidRPr="006E1986">
        <w:tab/>
        <w:t xml:space="preserve">Jagħti istruzzjonijiet lill-President tiegħu biex tgħaddi minnufih din id-deċiżjoni u r-rapport tal-kumitat responsabbli tiegħu lill-awtoritajiet kompetenti tar-Rumanija u lil Diana </w:t>
      </w:r>
      <w:r w:rsidRPr="006E1986">
        <w:t>Iovanovici</w:t>
      </w:r>
      <w:r w:rsidRPr="006E1986">
        <w:t xml:space="preserve"> </w:t>
      </w:r>
      <w:r w:rsidRPr="006E1986">
        <w:t>Șoșoacă</w:t>
      </w:r>
      <w:r w:rsidRPr="006E1986">
        <w:t>.</w:t>
      </w:r>
    </w:p>
    <w:p w:rsidR="00E365E1" w:rsidRPr="00DC6B07" w:rsidP="0086552E" w14:paraId="591FD506" w14:textId="02235D7B"/>
    <w:sectPr w:rsidSect="00DC6B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C6B07" w14:paraId="021DDD4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C6B07" w14:paraId="7DD5D9C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C6B07" w14:paraId="68D48B7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6552E" w:rsidRPr="00DC6B07" w14:paraId="1238357E" w14:textId="77777777">
      <w:r w:rsidRPr="00DC6B07">
        <w:separator/>
      </w:r>
    </w:p>
  </w:footnote>
  <w:footnote w:type="continuationSeparator" w:id="1">
    <w:p w:rsidR="0086552E" w:rsidRPr="00DC6B07" w14:paraId="7E7460F8" w14:textId="77777777">
      <w:r w:rsidRPr="00DC6B07">
        <w:continuationSeparator/>
      </w:r>
    </w:p>
  </w:footnote>
  <w:footnote w:id="2">
    <w:p w:rsidR="00D107C0" w:rsidRPr="00DC6B07" w:rsidP="00DC6B07" w14:paraId="5B8B49D0" w14:textId="0CEEDA63">
      <w:pPr>
        <w:pStyle w:val="FootnoteText"/>
        <w:ind w:left="567" w:hanging="567"/>
        <w:rPr>
          <w:sz w:val="24"/>
          <w:lang w:val="mt-MT"/>
        </w:rPr>
      </w:pPr>
      <w:r w:rsidRPr="00DC6B07">
        <w:rPr>
          <w:rStyle w:val="FootnoteReference"/>
          <w:sz w:val="24"/>
          <w:lang w:val="mt-MT"/>
        </w:rPr>
        <w:footnoteRef/>
      </w:r>
      <w:r w:rsidRPr="00DC6B07" w:rsidR="00DC6B07">
        <w:rPr>
          <w:sz w:val="24"/>
          <w:lang w:val="mt-MT"/>
        </w:rPr>
        <w:t xml:space="preserve"> </w:t>
      </w:r>
      <w:r w:rsidRPr="00DC6B07" w:rsidR="00DC6B07">
        <w:rPr>
          <w:sz w:val="24"/>
          <w:lang w:val="mt-MT"/>
        </w:rPr>
        <w:tab/>
      </w:r>
      <w:r w:rsidRPr="00DC6B07">
        <w:rPr>
          <w:sz w:val="24"/>
          <w:lang w:val="mt-MT"/>
        </w:rPr>
        <w:t xml:space="preserve">Is-sentenza tal-Qorti tal-Ġustizzja tal-21 ta’ Ottubru 2008, </w:t>
      </w:r>
      <w:r w:rsidRPr="00C10002">
        <w:rPr>
          <w:i/>
          <w:iCs/>
          <w:sz w:val="24"/>
          <w:lang w:val="mt-MT"/>
        </w:rPr>
        <w:t>Marra</w:t>
      </w:r>
      <w:r w:rsidRPr="00C10002">
        <w:rPr>
          <w:i/>
          <w:iCs/>
          <w:sz w:val="24"/>
          <w:lang w:val="mt-MT"/>
        </w:rPr>
        <w:t xml:space="preserve"> </w:t>
      </w:r>
      <w:r w:rsidRPr="00C10002">
        <w:rPr>
          <w:i/>
          <w:iCs/>
          <w:sz w:val="24"/>
          <w:lang w:val="mt-MT"/>
        </w:rPr>
        <w:t>vs</w:t>
      </w:r>
      <w:r w:rsidRPr="00C10002">
        <w:rPr>
          <w:i/>
          <w:iCs/>
          <w:sz w:val="24"/>
          <w:lang w:val="mt-MT"/>
        </w:rPr>
        <w:t xml:space="preserve"> De </w:t>
      </w:r>
      <w:r w:rsidRPr="00C10002">
        <w:rPr>
          <w:i/>
          <w:iCs/>
          <w:sz w:val="24"/>
          <w:lang w:val="mt-MT"/>
        </w:rPr>
        <w:t>Gregorio</w:t>
      </w:r>
      <w:r w:rsidRPr="00DC6B07">
        <w:rPr>
          <w:sz w:val="24"/>
          <w:lang w:val="mt-MT"/>
        </w:rPr>
        <w:t xml:space="preserve"> u </w:t>
      </w:r>
      <w:r w:rsidRPr="00C10002">
        <w:rPr>
          <w:i/>
          <w:iCs/>
          <w:sz w:val="24"/>
          <w:lang w:val="mt-MT"/>
        </w:rPr>
        <w:t>Clemente</w:t>
      </w:r>
      <w:r w:rsidRPr="00DC6B07">
        <w:rPr>
          <w:sz w:val="24"/>
          <w:lang w:val="mt-MT"/>
        </w:rPr>
        <w:t xml:space="preserve">, C-200/07 u C-201/07, ECLI:EU:C:2008:579; is-sentenza tal-Qorti Ġenerali tad-19 ta’ Marzu 2010, </w:t>
      </w:r>
      <w:r w:rsidRPr="00C10002">
        <w:rPr>
          <w:i/>
          <w:iCs/>
          <w:sz w:val="24"/>
          <w:lang w:val="mt-MT"/>
        </w:rPr>
        <w:t>Gollnisch</w:t>
      </w:r>
      <w:r w:rsidRPr="00C10002">
        <w:rPr>
          <w:i/>
          <w:iCs/>
          <w:sz w:val="24"/>
          <w:lang w:val="mt-MT"/>
        </w:rPr>
        <w:t xml:space="preserve"> </w:t>
      </w:r>
      <w:r w:rsidRPr="00C10002">
        <w:rPr>
          <w:i/>
          <w:iCs/>
          <w:sz w:val="24"/>
          <w:lang w:val="mt-MT"/>
        </w:rPr>
        <w:t>vs</w:t>
      </w:r>
      <w:r w:rsidRPr="00C10002">
        <w:rPr>
          <w:i/>
          <w:iCs/>
          <w:sz w:val="24"/>
          <w:lang w:val="mt-MT"/>
        </w:rPr>
        <w:t xml:space="preserve"> Il-Parlament</w:t>
      </w:r>
      <w:r w:rsidRPr="00DC6B07">
        <w:rPr>
          <w:sz w:val="24"/>
          <w:lang w:val="mt-MT"/>
        </w:rPr>
        <w:t xml:space="preserve">, T-42/06, ECLI:EU:T:2010:102; is-sentenza tal-Qorti tal-Ġustizzja tas-6 ta’ Settembru 2011, </w:t>
      </w:r>
      <w:r w:rsidRPr="00C10002">
        <w:rPr>
          <w:i/>
          <w:iCs/>
          <w:sz w:val="24"/>
          <w:lang w:val="mt-MT"/>
        </w:rPr>
        <w:t>Patriciello</w:t>
      </w:r>
      <w:r w:rsidRPr="00DC6B07">
        <w:rPr>
          <w:sz w:val="24"/>
          <w:lang w:val="mt-MT"/>
        </w:rPr>
        <w:t xml:space="preserve">, C 163/10, ECLI: EU:C:2011:543; is-sentenza tal-Qorti Ġenerali tas-17 ta’ Jannar 2013, </w:t>
      </w:r>
      <w:r w:rsidRPr="00C10002">
        <w:rPr>
          <w:i/>
          <w:iCs/>
          <w:sz w:val="24"/>
          <w:lang w:val="mt-MT"/>
        </w:rPr>
        <w:t>Gollnisch</w:t>
      </w:r>
      <w:r w:rsidRPr="00C10002">
        <w:rPr>
          <w:i/>
          <w:iCs/>
          <w:sz w:val="24"/>
          <w:lang w:val="mt-MT"/>
        </w:rPr>
        <w:t xml:space="preserve"> </w:t>
      </w:r>
      <w:r w:rsidRPr="00C10002">
        <w:rPr>
          <w:i/>
          <w:iCs/>
          <w:sz w:val="24"/>
          <w:lang w:val="mt-MT"/>
        </w:rPr>
        <w:t>vs</w:t>
      </w:r>
      <w:r w:rsidRPr="00C10002">
        <w:rPr>
          <w:i/>
          <w:iCs/>
          <w:sz w:val="24"/>
          <w:lang w:val="mt-MT"/>
        </w:rPr>
        <w:t xml:space="preserve"> Il-Parlament</w:t>
      </w:r>
      <w:r w:rsidRPr="00DC6B07">
        <w:rPr>
          <w:sz w:val="24"/>
          <w:lang w:val="mt-MT"/>
        </w:rPr>
        <w:t xml:space="preserve">, T-346/11 u T-347/11, ECLI:EU:T:2013:23; is-sentenza tal-Qorti tal-Ġustizzja tad-19 ta’ Diċembru 2019, </w:t>
      </w:r>
      <w:r w:rsidRPr="00C10002">
        <w:rPr>
          <w:i/>
          <w:iCs/>
          <w:sz w:val="24"/>
          <w:lang w:val="mt-MT"/>
        </w:rPr>
        <w:t>Junqueras</w:t>
      </w:r>
      <w:r w:rsidRPr="00C10002">
        <w:rPr>
          <w:i/>
          <w:iCs/>
          <w:sz w:val="24"/>
          <w:lang w:val="mt-MT"/>
        </w:rPr>
        <w:t xml:space="preserve"> </w:t>
      </w:r>
      <w:r w:rsidRPr="00C10002">
        <w:rPr>
          <w:i/>
          <w:iCs/>
          <w:sz w:val="24"/>
          <w:lang w:val="mt-MT"/>
        </w:rPr>
        <w:t>Vies</w:t>
      </w:r>
      <w:r w:rsidRPr="00DC6B07">
        <w:rPr>
          <w:sz w:val="24"/>
          <w:lang w:val="mt-MT"/>
        </w:rPr>
        <w:t>, C-502/19, ECLI:EU:C:2019:1115.</w:t>
      </w:r>
    </w:p>
  </w:footnote>
  <w:footnote w:id="3">
    <w:p w:rsidR="00D107C0" w:rsidRPr="00DC6B07" w:rsidP="00DC6B07" w14:paraId="099B8EAD" w14:textId="2E4BD718">
      <w:pPr>
        <w:pStyle w:val="FootnoteText"/>
        <w:ind w:left="567" w:hanging="567"/>
        <w:rPr>
          <w:sz w:val="24"/>
          <w:lang w:val="mt-MT"/>
        </w:rPr>
      </w:pPr>
      <w:r w:rsidRPr="00DC6B07">
        <w:rPr>
          <w:rStyle w:val="FootnoteReference"/>
          <w:sz w:val="24"/>
          <w:lang w:val="mt-MT"/>
        </w:rPr>
        <w:footnoteRef/>
      </w:r>
      <w:r w:rsidRPr="00DC6B07" w:rsidR="00DC6B07">
        <w:rPr>
          <w:sz w:val="24"/>
          <w:lang w:val="mt-MT"/>
        </w:rPr>
        <w:t xml:space="preserve"> </w:t>
      </w:r>
      <w:r w:rsidRPr="00DC6B07" w:rsidR="00DC6B07">
        <w:rPr>
          <w:sz w:val="24"/>
          <w:lang w:val="mt-MT"/>
        </w:rPr>
        <w:tab/>
      </w:r>
      <w:r w:rsidRPr="00DC6B07">
        <w:rPr>
          <w:sz w:val="24"/>
          <w:lang w:val="mt-MT"/>
        </w:rPr>
        <w:t xml:space="preserve">Is-sentenza tal-Qorti Ġenerali tat-30 ta’ April 2019, </w:t>
      </w:r>
      <w:r w:rsidRPr="00C10002">
        <w:rPr>
          <w:i/>
          <w:iCs/>
          <w:sz w:val="24"/>
          <w:lang w:val="mt-MT"/>
        </w:rPr>
        <w:t>Briois</w:t>
      </w:r>
      <w:r w:rsidRPr="00C10002">
        <w:rPr>
          <w:i/>
          <w:iCs/>
          <w:sz w:val="24"/>
          <w:lang w:val="mt-MT"/>
        </w:rPr>
        <w:t xml:space="preserve"> </w:t>
      </w:r>
      <w:r w:rsidRPr="00C10002">
        <w:rPr>
          <w:i/>
          <w:iCs/>
          <w:sz w:val="24"/>
          <w:lang w:val="mt-MT"/>
        </w:rPr>
        <w:t>vs</w:t>
      </w:r>
      <w:r w:rsidRPr="00C10002">
        <w:rPr>
          <w:i/>
          <w:iCs/>
          <w:sz w:val="24"/>
          <w:lang w:val="mt-MT"/>
        </w:rPr>
        <w:t xml:space="preserve"> Il-Parlament</w:t>
      </w:r>
      <w:r w:rsidRPr="00DC6B07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C6B07" w14:paraId="05196A7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C6B07" w14:paraId="7EDB4FD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C6B07" w14:paraId="4373007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4636260">
    <w:abstractNumId w:val="9"/>
  </w:num>
  <w:num w:numId="2" w16cid:durableId="427895524">
    <w:abstractNumId w:val="9"/>
  </w:num>
  <w:num w:numId="3" w16cid:durableId="307784932">
    <w:abstractNumId w:val="7"/>
  </w:num>
  <w:num w:numId="4" w16cid:durableId="461465226">
    <w:abstractNumId w:val="7"/>
  </w:num>
  <w:num w:numId="5" w16cid:durableId="1932621688">
    <w:abstractNumId w:val="6"/>
  </w:num>
  <w:num w:numId="6" w16cid:durableId="1104613100">
    <w:abstractNumId w:val="6"/>
  </w:num>
  <w:num w:numId="7" w16cid:durableId="1163355932">
    <w:abstractNumId w:val="5"/>
  </w:num>
  <w:num w:numId="8" w16cid:durableId="1082683399">
    <w:abstractNumId w:val="5"/>
  </w:num>
  <w:num w:numId="9" w16cid:durableId="1887522461">
    <w:abstractNumId w:val="4"/>
  </w:num>
  <w:num w:numId="10" w16cid:durableId="1208764706">
    <w:abstractNumId w:val="4"/>
  </w:num>
  <w:num w:numId="11" w16cid:durableId="1364211895">
    <w:abstractNumId w:val="8"/>
  </w:num>
  <w:num w:numId="12" w16cid:durableId="1805388791">
    <w:abstractNumId w:val="8"/>
  </w:num>
  <w:num w:numId="13" w16cid:durableId="1252273383">
    <w:abstractNumId w:val="3"/>
  </w:num>
  <w:num w:numId="14" w16cid:durableId="1574394042">
    <w:abstractNumId w:val="3"/>
  </w:num>
  <w:num w:numId="15" w16cid:durableId="1536698922">
    <w:abstractNumId w:val="2"/>
  </w:num>
  <w:num w:numId="16" w16cid:durableId="1558469046">
    <w:abstractNumId w:val="2"/>
  </w:num>
  <w:num w:numId="17" w16cid:durableId="1821995473">
    <w:abstractNumId w:val="1"/>
  </w:num>
  <w:num w:numId="18" w16cid:durableId="1765343565">
    <w:abstractNumId w:val="1"/>
  </w:num>
  <w:num w:numId="19" w16cid:durableId="1866021278">
    <w:abstractNumId w:val="0"/>
  </w:num>
  <w:num w:numId="20" w16cid:durableId="952442372">
    <w:abstractNumId w:val="0"/>
  </w:num>
  <w:num w:numId="21" w16cid:durableId="129447028">
    <w:abstractNumId w:val="9"/>
  </w:num>
  <w:num w:numId="22" w16cid:durableId="900409387">
    <w:abstractNumId w:val="7"/>
  </w:num>
  <w:num w:numId="23" w16cid:durableId="1870872891">
    <w:abstractNumId w:val="6"/>
  </w:num>
  <w:num w:numId="24" w16cid:durableId="960260288">
    <w:abstractNumId w:val="5"/>
  </w:num>
  <w:num w:numId="25" w16cid:durableId="232594539">
    <w:abstractNumId w:val="4"/>
  </w:num>
  <w:num w:numId="26" w16cid:durableId="1666932918">
    <w:abstractNumId w:val="8"/>
  </w:num>
  <w:num w:numId="27" w16cid:durableId="1619146640">
    <w:abstractNumId w:val="3"/>
  </w:num>
  <w:num w:numId="28" w16cid:durableId="621502008">
    <w:abstractNumId w:val="2"/>
  </w:num>
  <w:num w:numId="29" w16cid:durableId="1937865601">
    <w:abstractNumId w:val="1"/>
  </w:num>
  <w:num w:numId="30" w16cid:durableId="419569316">
    <w:abstractNumId w:val="0"/>
  </w:num>
  <w:num w:numId="31" w16cid:durableId="267741887">
    <w:abstractNumId w:val="9"/>
  </w:num>
  <w:num w:numId="32" w16cid:durableId="876702268">
    <w:abstractNumId w:val="7"/>
  </w:num>
  <w:num w:numId="33" w16cid:durableId="1894849531">
    <w:abstractNumId w:val="6"/>
  </w:num>
  <w:num w:numId="34" w16cid:durableId="2015455084">
    <w:abstractNumId w:val="5"/>
  </w:num>
  <w:num w:numId="35" w16cid:durableId="1590502812">
    <w:abstractNumId w:val="4"/>
  </w:num>
  <w:num w:numId="36" w16cid:durableId="373582416">
    <w:abstractNumId w:val="8"/>
  </w:num>
  <w:num w:numId="37" w16cid:durableId="1151098562">
    <w:abstractNumId w:val="3"/>
  </w:num>
  <w:num w:numId="38" w16cid:durableId="368339543">
    <w:abstractNumId w:val="2"/>
  </w:num>
  <w:num w:numId="39" w16cid:durableId="294916739">
    <w:abstractNumId w:val="1"/>
  </w:num>
  <w:num w:numId="40" w16cid:durableId="902519669">
    <w:abstractNumId w:val="0"/>
  </w:num>
  <w:num w:numId="41" w16cid:durableId="1374845489">
    <w:abstractNumId w:val="10"/>
  </w:num>
  <w:num w:numId="42" w16cid:durableId="1244298555">
    <w:abstractNumId w:val="10"/>
  </w:num>
  <w:num w:numId="43" w16cid:durableId="1164510859">
    <w:abstractNumId w:val="10"/>
  </w:num>
  <w:num w:numId="44" w16cid:durableId="17015902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52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655"/>
    <w:rsid w:val="001F32AE"/>
    <w:rsid w:val="0021674D"/>
    <w:rsid w:val="002767FF"/>
    <w:rsid w:val="002B18FE"/>
    <w:rsid w:val="002B5493"/>
    <w:rsid w:val="00343214"/>
    <w:rsid w:val="00361C00"/>
    <w:rsid w:val="00395FA1"/>
    <w:rsid w:val="003E15D4"/>
    <w:rsid w:val="004000E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1986"/>
    <w:rsid w:val="006E615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52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5FF"/>
    <w:rsid w:val="00A778C7"/>
    <w:rsid w:val="00AB0847"/>
    <w:rsid w:val="00AB441E"/>
    <w:rsid w:val="00AB6293"/>
    <w:rsid w:val="00AE0928"/>
    <w:rsid w:val="00AF3B82"/>
    <w:rsid w:val="00B12E95"/>
    <w:rsid w:val="00B22876"/>
    <w:rsid w:val="00B558F0"/>
    <w:rsid w:val="00B9537B"/>
    <w:rsid w:val="00BD48FE"/>
    <w:rsid w:val="00BD7BD8"/>
    <w:rsid w:val="00BE6ADC"/>
    <w:rsid w:val="00C05BFE"/>
    <w:rsid w:val="00C10002"/>
    <w:rsid w:val="00C23CD4"/>
    <w:rsid w:val="00C61C0C"/>
    <w:rsid w:val="00C941CB"/>
    <w:rsid w:val="00CC2357"/>
    <w:rsid w:val="00CF071A"/>
    <w:rsid w:val="00D058B8"/>
    <w:rsid w:val="00D107C0"/>
    <w:rsid w:val="00D56C11"/>
    <w:rsid w:val="00D834A0"/>
    <w:rsid w:val="00D872DF"/>
    <w:rsid w:val="00D91E21"/>
    <w:rsid w:val="00DA7FCD"/>
    <w:rsid w:val="00DC6B0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7/2026"/>
    <w:docVar w:name="dvlangue" w:val="MT"/>
    <w:docVar w:name="dvnumam" w:val="0"/>
    <w:docVar w:name="dvpe" w:val="785.318"/>
    <w:docVar w:name="dvrapporteur" w:val="Rapporteur: "/>
    <w:docVar w:name="dvtitre" w:val="Riżoluzzjoni tal-Parlament Ewropew xx xx xxxx 2026 dwar it-talba għat-tneħħija tal-immunità ta’ Diana Iovanovici Şoşoacă(2025/2196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5F01AB"/>
  <w15:chartTrackingRefBased/>
  <w15:docId w15:val="{6591A567-048C-4957-AD2C-AD491B96F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107C0"/>
    <w:pPr>
      <w:spacing w:after="240"/>
      <w:ind w:left="567" w:hanging="567"/>
    </w:pPr>
  </w:style>
  <w:style w:type="paragraph" w:customStyle="1" w:styleId="EPComma">
    <w:name w:val="EPComma"/>
    <w:basedOn w:val="Normal"/>
    <w:rsid w:val="00D107C0"/>
    <w:pPr>
      <w:spacing w:before="480" w:after="240"/>
    </w:pPr>
  </w:style>
  <w:style w:type="paragraph" w:styleId="Revision">
    <w:name w:val="Revision"/>
    <w:hidden/>
    <w:uiPriority w:val="99"/>
    <w:semiHidden/>
    <w:rsid w:val="00A515FF"/>
    <w:rPr>
      <w:sz w:val="24"/>
      <w:lang w:val="mt-MT"/>
    </w:rPr>
  </w:style>
  <w:style w:type="paragraph" w:styleId="HTMLPreformatted">
    <w:name w:val="HTML Preformatted"/>
    <w:basedOn w:val="Normal"/>
    <w:link w:val="HTMLPreformattedChar"/>
    <w:rsid w:val="00A515FF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A515FF"/>
    <w:rPr>
      <w:rFonts w:ascii="Consolas" w:hAnsi="Consolas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1373</Words>
  <Characters>9709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6</cp:revision>
  <cp:lastPrinted>2004-11-19T15:42:00Z</cp:lastPrinted>
  <dcterms:created xsi:type="dcterms:W3CDTF">2026-04-27T08:31:00Z</dcterms:created>
  <dcterms:modified xsi:type="dcterms:W3CDTF">2026-04-28T11:22:00Z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A10-0117/2026</vt:lpwstr>
  </property>
  <property fmtid="{D5CDD505-2E9C-101B-9397-08002B2CF9AE}" pid="4" name="&lt;Type&gt;">
    <vt:lpwstr>RR</vt:lpwstr>
  </property>
</Properties>
</file>