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8F3AFB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3E19" w:rsidP="0010095E" w14:paraId="0B94BD44" w14:textId="77777777">
            <w:pPr>
              <w:pStyle w:val="EPName"/>
            </w:pPr>
            <w:r w:rsidRPr="00473E19">
              <w:t>Parlament Europejski</w:t>
            </w:r>
          </w:p>
          <w:p w:rsidR="00751A4A" w:rsidRPr="00473E19" w:rsidP="005F1B17" w14:paraId="642D959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3E19">
              <w:t>2024</w:t>
            </w:r>
            <w:r w:rsidRPr="00473E19" w:rsidR="00817416">
              <w:t>-202</w:t>
            </w:r>
            <w:r w:rsidRPr="00473E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3E19" w:rsidP="0010095E" w14:paraId="43CFE0E6" w14:textId="77777777">
            <w:pPr>
              <w:pStyle w:val="EPLogo"/>
            </w:pPr>
            <w:r w:rsidRPr="00473E1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3E19" w:rsidP="004C5D52" w14:paraId="57AA0435" w14:textId="77777777">
      <w:pPr>
        <w:pStyle w:val="LineTop"/>
      </w:pPr>
    </w:p>
    <w:p w:rsidR="00680577" w:rsidRPr="00473E19" w:rsidP="00680577" w14:paraId="30704C95" w14:textId="77777777">
      <w:pPr>
        <w:pStyle w:val="EPBodyTA1"/>
      </w:pPr>
      <w:r w:rsidRPr="00473E19">
        <w:t>TEKSTY PRZYJĘTE</w:t>
      </w:r>
    </w:p>
    <w:p w:rsidR="00D058B8" w:rsidRPr="00473E19" w:rsidP="00D058B8" w14:paraId="5F36B61C" w14:textId="77777777">
      <w:pPr>
        <w:pStyle w:val="LineBottom"/>
      </w:pPr>
    </w:p>
    <w:p w:rsidR="007757D0" w:rsidRPr="00473E19" w:rsidP="007757D0" w14:paraId="50F54309" w14:textId="4305777A">
      <w:pPr>
        <w:pStyle w:val="ATHeading1"/>
      </w:pPr>
      <w:bookmarkStart w:id="0" w:name="TANumber"/>
      <w:r w:rsidRPr="00473E19">
        <w:t>P10_TA(2026)0</w:t>
      </w:r>
      <w:bookmarkEnd w:id="0"/>
      <w:r w:rsidR="00DD1DBE">
        <w:t>108</w:t>
      </w:r>
    </w:p>
    <w:p w:rsidR="007757D0" w:rsidRPr="00473E19" w:rsidP="007757D0" w14:paraId="6C199B91" w14:textId="77777777">
      <w:pPr>
        <w:pStyle w:val="ATHeading2"/>
      </w:pPr>
      <w:bookmarkStart w:id="1" w:name="title"/>
      <w:r w:rsidRPr="00473E19">
        <w:t xml:space="preserve">Wniosek o uchylenie immunitetu Diany </w:t>
      </w:r>
      <w:r w:rsidRPr="00473E19">
        <w:t>Iovanovici</w:t>
      </w:r>
      <w:r w:rsidRPr="00473E19">
        <w:t xml:space="preserve"> </w:t>
      </w:r>
      <w:r w:rsidRPr="00473E19">
        <w:t>Şoşoacă</w:t>
      </w:r>
      <w:bookmarkEnd w:id="1"/>
    </w:p>
    <w:p w:rsidR="007757D0" w:rsidRPr="00473E19" w:rsidP="007757D0" w14:paraId="2D71E7B6" w14:textId="77777777">
      <w:pPr>
        <w:rPr>
          <w:i/>
          <w:vanish/>
        </w:rPr>
      </w:pPr>
      <w:r>
        <w:rPr>
          <w:i/>
        </w:rPr>
        <w:fldChar w:fldCharType="begin"/>
      </w:r>
      <w:r w:rsidRPr="00473E19">
        <w:rPr>
          <w:i/>
        </w:rPr>
        <w:instrText xml:space="preserve"> TC"(</w:instrText>
      </w:r>
      <w:bookmarkStart w:id="2" w:name="DocNumber"/>
      <w:r w:rsidRPr="00473E19">
        <w:rPr>
          <w:i/>
        </w:rPr>
        <w:instrText>A10-0117/2026</w:instrText>
      </w:r>
      <w:bookmarkEnd w:id="2"/>
      <w:r w:rsidRPr="00473E19">
        <w:rPr>
          <w:i/>
        </w:rPr>
        <w:instrText xml:space="preserve"> - Sprawozdawca: Dominik Tarczyński)"\l3 \n&gt; \* MERGEFORMAT </w:instrText>
      </w:r>
      <w:r>
        <w:rPr>
          <w:i/>
        </w:rPr>
        <w:fldChar w:fldCharType="end"/>
      </w:r>
    </w:p>
    <w:p w:rsidR="007757D0" w:rsidRPr="00473E19" w:rsidP="007757D0" w14:paraId="05D30976" w14:textId="77777777">
      <w:pPr>
        <w:rPr>
          <w:vanish/>
        </w:rPr>
      </w:pPr>
      <w:bookmarkStart w:id="3" w:name="Commission"/>
      <w:r w:rsidRPr="00473E19">
        <w:rPr>
          <w:vanish/>
        </w:rPr>
        <w:t>Komisja Prawna</w:t>
      </w:r>
      <w:bookmarkEnd w:id="3"/>
    </w:p>
    <w:p w:rsidR="007757D0" w:rsidRPr="00473E19" w:rsidP="007757D0" w14:paraId="0C1EAD44" w14:textId="77777777">
      <w:pPr>
        <w:rPr>
          <w:vanish/>
        </w:rPr>
      </w:pPr>
      <w:bookmarkStart w:id="4" w:name="PE"/>
      <w:r w:rsidRPr="00473E19">
        <w:rPr>
          <w:vanish/>
        </w:rPr>
        <w:t>PE785.318</w:t>
      </w:r>
      <w:bookmarkEnd w:id="4"/>
    </w:p>
    <w:p w:rsidR="007757D0" w:rsidRPr="00473E19" w:rsidP="007757D0" w14:paraId="0FE9C26D" w14:textId="69E2B884">
      <w:pPr>
        <w:pStyle w:val="ATHeading3"/>
      </w:pPr>
      <w:bookmarkStart w:id="5" w:name="Sujet"/>
      <w:r w:rsidRPr="00473E19">
        <w:t xml:space="preserve">Decyzja Parlamentu Europejskiego z dnia </w:t>
      </w:r>
      <w:r w:rsidR="0076074F">
        <w:t>28 kwietnia</w:t>
      </w:r>
      <w:r w:rsidRPr="00473E19">
        <w:t xml:space="preserve"> 2026 r. w sprawie wniosku o uchylenie immunitetu Diany </w:t>
      </w:r>
      <w:r w:rsidRPr="00473E19">
        <w:t>Iovanovici</w:t>
      </w:r>
      <w:r w:rsidRPr="00473E19">
        <w:t xml:space="preserve"> </w:t>
      </w:r>
      <w:r w:rsidRPr="00473E19">
        <w:t>Şoşoacă</w:t>
      </w:r>
      <w:bookmarkEnd w:id="5"/>
      <w:r w:rsidRPr="00473E19">
        <w:t xml:space="preserve"> </w:t>
      </w:r>
      <w:bookmarkStart w:id="6" w:name="References"/>
      <w:r w:rsidRPr="00473E19">
        <w:t>(2025/2196(IMM))</w:t>
      </w:r>
      <w:bookmarkEnd w:id="6"/>
    </w:p>
    <w:p w:rsidR="008D7C2D" w:rsidRPr="00473E19" w:rsidP="008D7C2D" w14:paraId="64C95E14" w14:textId="77777777">
      <w:pPr>
        <w:pStyle w:val="EPComma"/>
      </w:pPr>
      <w:bookmarkStart w:id="7" w:name="TextBodyBegin"/>
      <w:bookmarkEnd w:id="7"/>
      <w:r w:rsidRPr="00473E19">
        <w:rPr>
          <w:i/>
        </w:rPr>
        <w:t>Parlament Europejski</w:t>
      </w:r>
      <w:r w:rsidRPr="00473E19">
        <w:t>,</w:t>
      </w:r>
    </w:p>
    <w:p w:rsidR="008D7C2D" w:rsidRPr="00473E19" w:rsidP="008D7C2D" w14:paraId="1C2B247F" w14:textId="77777777">
      <w:pPr>
        <w:pStyle w:val="NormalHanging12a"/>
      </w:pPr>
      <w:r w:rsidRPr="00473E19">
        <w:t>–</w:t>
      </w:r>
      <w:r w:rsidRPr="00473E19">
        <w:tab/>
        <w:t xml:space="preserve">uwzględniając wniosek o uchylenie immunitetu Diany </w:t>
      </w:r>
      <w:r w:rsidRPr="00473E19">
        <w:t>Iovanovici</w:t>
      </w:r>
      <w:r w:rsidRPr="00473E19">
        <w:t xml:space="preserve"> </w:t>
      </w:r>
      <w:r w:rsidRPr="00473E19">
        <w:t>Şoşoacă</w:t>
      </w:r>
      <w:r w:rsidRPr="00473E19">
        <w:t xml:space="preserve"> otrzymany pismem z 24 września 2025 r., w którym minister sprawiedliwości Rumunii przekazał wniosek prokuratury przy Najwyższym Sądzie Kasacyjnym i Sprawiedliwości Rumunii w związku z postępowaniem karnym, które ma zostać wszczęte przeciwko Dianie </w:t>
      </w:r>
      <w:r w:rsidRPr="00473E19">
        <w:t>Iovanovici</w:t>
      </w:r>
      <w:r w:rsidRPr="00473E19">
        <w:t xml:space="preserve"> </w:t>
      </w:r>
      <w:r w:rsidRPr="00473E19">
        <w:t>Şoşoacă</w:t>
      </w:r>
      <w:r w:rsidRPr="00473E19">
        <w:t>, ogłoszony w Parlamencie 9 października 2025 r.,</w:t>
      </w:r>
    </w:p>
    <w:p w:rsidR="008D7C2D" w:rsidRPr="00473E19" w:rsidP="008D7C2D" w14:paraId="3E23DFF2" w14:textId="77777777">
      <w:pPr>
        <w:pStyle w:val="NormalHanging12a"/>
      </w:pPr>
      <w:r w:rsidRPr="00473E19">
        <w:t>–</w:t>
      </w:r>
      <w:r w:rsidRPr="00473E19">
        <w:tab/>
        <w:t xml:space="preserve">po wysłuchaniu Diany </w:t>
      </w:r>
      <w:r w:rsidRPr="00473E19">
        <w:t>Iovanovici</w:t>
      </w:r>
      <w:r w:rsidRPr="00473E19">
        <w:t xml:space="preserve"> </w:t>
      </w:r>
      <w:r w:rsidRPr="00473E19">
        <w:t>Şoşoacă</w:t>
      </w:r>
      <w:r w:rsidRPr="00473E19">
        <w:t xml:space="preserve"> 24 marca 2026 r. zgodnie z art. 9 ust. 6 Regulaminu,</w:t>
      </w:r>
    </w:p>
    <w:p w:rsidR="008D7C2D" w:rsidRPr="00473E19" w:rsidP="008D7C2D" w14:paraId="01532F85" w14:textId="77777777">
      <w:pPr>
        <w:pStyle w:val="NormalHanging12a"/>
      </w:pPr>
      <w:r w:rsidRPr="00473E19">
        <w:t>–</w:t>
      </w:r>
      <w:r w:rsidRPr="00473E19">
        <w:tab/>
        <w:t>uwzględniając art. 8 i 9 Protokołu nr 7 w sprawie przywilejów i immunitetów Unii Europejskiej, jak również art. 6 ust. 2 aktu z 20 września 1976 r. dotyczącego wyborów przedstawicieli do Parlamentu Europejskiego w powszechnych wyborach bezpośrednich,</w:t>
      </w:r>
    </w:p>
    <w:p w:rsidR="008D7C2D" w:rsidRPr="00473E19" w:rsidP="008D7C2D" w14:paraId="6F52A44E" w14:textId="77777777">
      <w:pPr>
        <w:pStyle w:val="NormalHanging12a"/>
      </w:pPr>
      <w:r w:rsidRPr="00473E19">
        <w:t>–</w:t>
      </w:r>
      <w:r w:rsidRPr="00473E19">
        <w:tab/>
        <w:t>uwzględniając wyroki Trybunału Sprawiedliwości Unii Europejskiej z 21 października 2008 r., 19 marca 2010 r., 6 września 2011 r., 17 stycznia 2013 r. i 19 grudnia 2019 r.</w:t>
      </w:r>
      <w:r>
        <w:rPr>
          <w:vertAlign w:val="superscript"/>
        </w:rPr>
        <w:footnoteReference w:id="2"/>
      </w:r>
      <w:r w:rsidRPr="00473E19">
        <w:t>,</w:t>
      </w:r>
    </w:p>
    <w:p w:rsidR="008D7C2D" w:rsidRPr="00473E19" w:rsidP="008D7C2D" w14:paraId="50763DDF" w14:textId="77777777">
      <w:pPr>
        <w:pStyle w:val="NormalHanging12a"/>
      </w:pPr>
      <w:r w:rsidRPr="00473E19">
        <w:t>–</w:t>
      </w:r>
      <w:r w:rsidRPr="00473E19">
        <w:tab/>
        <w:t>uwzględniając art. 72 ust. 1 i 2 konstytucji Rumunii,</w:t>
      </w:r>
    </w:p>
    <w:p w:rsidR="008D7C2D" w:rsidRPr="00473E19" w:rsidP="008D7C2D" w14:paraId="63306ADA" w14:textId="77777777">
      <w:pPr>
        <w:pStyle w:val="NormalHanging12a"/>
      </w:pPr>
      <w:r w:rsidRPr="00473E19">
        <w:t>–</w:t>
      </w:r>
      <w:r w:rsidRPr="00473E19">
        <w:tab/>
        <w:t>uwzględniając art. 5 ust. 2, art. 6 ust. 1 oraz art. 9 Regulaminu,</w:t>
      </w:r>
    </w:p>
    <w:p w:rsidR="008D7C2D" w:rsidRPr="00473E19" w:rsidP="008D7C2D" w14:paraId="53801B0A" w14:textId="77777777">
      <w:pPr>
        <w:pStyle w:val="NormalHanging12a"/>
      </w:pPr>
      <w:r w:rsidRPr="00473E19">
        <w:t>–</w:t>
      </w:r>
      <w:r w:rsidRPr="00473E19">
        <w:tab/>
        <w:t>uwzględniając sprawozdanie Komisji Prawnej (A10-0117/2026),</w:t>
      </w:r>
    </w:p>
    <w:p w:rsidR="008D7C2D" w:rsidRPr="00473E19" w:rsidP="008D7C2D" w14:paraId="749A3369" w14:textId="77777777">
      <w:pPr>
        <w:pStyle w:val="NormalHanging12a"/>
        <w:rPr>
          <w:color w:val="000000"/>
        </w:rPr>
      </w:pPr>
      <w:r w:rsidRPr="00473E19">
        <w:t>A.</w:t>
      </w:r>
      <w:r w:rsidRPr="00473E19">
        <w:tab/>
        <w:t xml:space="preserve">mając na uwadze, że pismem z 24 września 2025 r. rumuński minister sprawiedliwości przekazał wniosek prokuratury przy Najwyższym Sądzie Kasacyjnym i Sprawiedliwości Rumunii o uchylenie immunitetu Diany </w:t>
      </w:r>
      <w:r w:rsidRPr="00473E19">
        <w:t>Iovanovici</w:t>
      </w:r>
      <w:r w:rsidRPr="00473E19">
        <w:t xml:space="preserve"> </w:t>
      </w:r>
      <w:r w:rsidRPr="00473E19">
        <w:t>Şoşoacă</w:t>
      </w:r>
      <w:r w:rsidRPr="00473E19">
        <w:t>, posłanki do Parlamentu Europejskiego wybranej w Rumunii, w związku z postępowaniem karnym dotyczącym kilku przestępstw rzekomo popełnionych w różnych dniach od 10 grudnia 2021 r. do 11 lutego 2025 r.;</w:t>
      </w:r>
    </w:p>
    <w:p w:rsidR="008D7C2D" w:rsidRPr="00473E19" w:rsidP="008D7C2D" w14:paraId="5AB328BF" w14:textId="239860BB">
      <w:pPr>
        <w:pStyle w:val="NormalHanging12a"/>
        <w:rPr>
          <w:color w:val="000000"/>
        </w:rPr>
      </w:pPr>
      <w:r w:rsidRPr="00473E19">
        <w:rPr>
          <w:color w:val="000000"/>
        </w:rPr>
        <w:t>B.</w:t>
      </w:r>
      <w:r w:rsidRPr="00473E19">
        <w:rPr>
          <w:color w:val="000000"/>
        </w:rPr>
        <w:tab/>
        <w:t xml:space="preserve">mając na uwadze, że zgodnie z wnioskiem trzy osoby złożyły skargę, w której zarzucają, że 10 grudnia 2021 r. Diana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i inne osoby rzekomo pozbawiły skarżących i czwartą osobę wolności na około 20 minut w godz. 15</w:t>
      </w:r>
      <w:r w:rsidR="00DC3628">
        <w:rPr>
          <w:color w:val="000000"/>
        </w:rPr>
        <w:t>:</w:t>
      </w:r>
      <w:r w:rsidRPr="00473E19">
        <w:rPr>
          <w:color w:val="000000"/>
        </w:rPr>
        <w:t>40–16</w:t>
      </w:r>
      <w:r w:rsidR="00DC3628">
        <w:rPr>
          <w:color w:val="000000"/>
        </w:rPr>
        <w:t>:</w:t>
      </w:r>
      <w:r w:rsidRPr="00473E19">
        <w:rPr>
          <w:color w:val="000000"/>
        </w:rPr>
        <w:t>00 w mieszkaniu w Bukareszcie; mając na uwadze, że zarzucany czyn stanowi przestępstwo w świetle art. 205 ust. 1 rumuńskiego kodeksu karnego;</w:t>
      </w:r>
    </w:p>
    <w:p w:rsidR="008D7C2D" w:rsidRPr="00473E19" w:rsidP="008D7C2D" w14:paraId="262F0CEB" w14:textId="77777777">
      <w:pPr>
        <w:pStyle w:val="NormalHanging12a"/>
        <w:rPr>
          <w:color w:val="000000"/>
        </w:rPr>
      </w:pPr>
      <w:r w:rsidRPr="00473E19">
        <w:rPr>
          <w:color w:val="000000"/>
        </w:rPr>
        <w:t>C.</w:t>
      </w:r>
      <w:r w:rsidRPr="00473E19">
        <w:rPr>
          <w:color w:val="000000"/>
        </w:rPr>
        <w:tab/>
        <w:t xml:space="preserve">mając na uwadze, że zgodnie z wnioskiem 28 lutego 2024 r. Krajowy Instytut Badań nad Holokaustem w Rumunii im. </w:t>
      </w:r>
      <w:r w:rsidRPr="00473E19">
        <w:rPr>
          <w:color w:val="000000"/>
        </w:rPr>
        <w:t>Eliego</w:t>
      </w:r>
      <w:r w:rsidRPr="00473E19">
        <w:rPr>
          <w:color w:val="000000"/>
        </w:rPr>
        <w:t xml:space="preserve"> Wiesela powiadomił organy sądowe, że 19 lutego 2024 r. na oficjalnej stronie internetowej partii SOS </w:t>
      </w:r>
      <w:r w:rsidRPr="00473E19">
        <w:rPr>
          <w:color w:val="000000"/>
        </w:rPr>
        <w:t>România</w:t>
      </w:r>
      <w:r w:rsidRPr="00473E19">
        <w:rPr>
          <w:color w:val="000000"/>
        </w:rPr>
        <w:t xml:space="preserve"> opublikowano komunikat prasowy podpisany przez Dianę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jako przewodniczącą tej partii, w którym rzekomo gloryfikowała osobę skazaną za zbrodnię wojenną na mocy rumuńskiej ustawy nr 312/1945 o ściganiu i karaniu osób winnych klęski narodowej lub zbrodni wojennych; mając na uwadze, że zarzucany czyn stanowi przestępstwo określone w art. 5 nadzwyczajnego rumuńskiego dekretu rządowego nr 31/2002;</w:t>
      </w:r>
    </w:p>
    <w:p w:rsidR="008D7C2D" w:rsidRPr="00473E19" w:rsidP="008D7C2D" w14:paraId="760F4B90" w14:textId="77777777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D.</w:t>
      </w:r>
      <w:r w:rsidRPr="00473E19">
        <w:rPr>
          <w:color w:val="000000"/>
        </w:rPr>
        <w:tab/>
        <w:t xml:space="preserve">mając na uwadze, że zgodnie z wnioskiem 27 maja 2024 r. Centrum Monitorowania i Zwalczania Antysemityzmu w Rumunii poinformowało, że 13 i 14 maja 2024 r. Diana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rzekomo wygłosiła publiczne oświadczenia, w tym za pośrednictwem swojego publicznego konta na Facebooku, i na terenie rumuńskiego parlamentu, w których oskarża Żydów o zbiorową odpowiedzialność za zbrodnie przeciwko narodowi rumuńskiemu; mając na uwadze, że zarzucany czyn stanowi przestępstwo w świetle art. 3 rumuńskiej ustawy nr 157/2018 o zapobieganiu antysemityzmowi i jego zwalczaniu;</w:t>
      </w:r>
    </w:p>
    <w:p w:rsidR="008D7C2D" w:rsidRPr="00473E19" w:rsidP="008D7C2D" w14:paraId="43D2DC5B" w14:textId="77777777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E.</w:t>
      </w:r>
      <w:r w:rsidRPr="00473E19">
        <w:rPr>
          <w:color w:val="000000"/>
        </w:rPr>
        <w:tab/>
        <w:t xml:space="preserve">mając na uwadze, że zgodnie z wnioskiem 14 maja 2024 r. Diana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>, przebywając na terenie parlamentu rumuńskiego, aby wziąć udział we wspólnym posiedzeniu Izby Deputowanych i Senatu Rumunii, wygłosiła rzekomo oświadczenia, w których oskarża Żydów o zbiorową odpowiedzialność za zbrodnie przeciwko narodowi rumuńskiemu; mając na uwadze, że zarzucany czyn stanowi przestępstwo określone w art. 6 ust. 1 nadzwyczajnego rumuńskiego dekretu rządowego nr 31/2002;</w:t>
      </w:r>
    </w:p>
    <w:p w:rsidR="008D7C2D" w:rsidRPr="00473E19" w:rsidP="008D7C2D" w14:paraId="0B5C7171" w14:textId="4BA5F71E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F.</w:t>
      </w:r>
      <w:r w:rsidRPr="00473E19">
        <w:rPr>
          <w:color w:val="000000"/>
        </w:rPr>
        <w:tab/>
        <w:t xml:space="preserve">mając na uwadze, że zgodnie z wnioskiem 5 i 6 października 2024 r. Diana </w:t>
      </w:r>
      <w:r w:rsidRPr="00473E19">
        <w:rPr>
          <w:color w:val="000000"/>
        </w:rPr>
        <w:t>I</w:t>
      </w:r>
      <w:r w:rsidR="00DD1DBE">
        <w:rPr>
          <w:color w:val="000000"/>
        </w:rPr>
        <w:t>o</w:t>
      </w:r>
      <w:r w:rsidRPr="00473E19">
        <w:rPr>
          <w:color w:val="000000"/>
        </w:rPr>
        <w:t>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rzekomo opublikowała w </w:t>
      </w:r>
      <w:r w:rsidRPr="00473E19">
        <w:rPr>
          <w:color w:val="000000"/>
        </w:rPr>
        <w:t>internecie</w:t>
      </w:r>
      <w:r w:rsidRPr="00473E19">
        <w:rPr>
          <w:color w:val="000000"/>
        </w:rPr>
        <w:t xml:space="preserve"> szereg publicznych oświadczeń, w których gloryfikuje niektóre osoby i ruchy winne zbrodni wojennych lub współudziału w nich na mocy rumuńskiego prawa oraz oskarża Żydów o zbiorową odpowiedzialność za zbrodnie historyczne i religijne; mając na uwadze, że zarzucane czyny stanowią przestępstwo w świetle art. 5 nadzwyczajnego rumuńskiego dekretu rządowego nr 31/2002;</w:t>
      </w:r>
    </w:p>
    <w:p w:rsidR="008D7C2D" w:rsidRPr="00473E19" w:rsidP="008D7C2D" w14:paraId="7478C27B" w14:textId="390628CC">
      <w:pPr>
        <w:pStyle w:val="NormalHanging12a"/>
        <w:rPr>
          <w:color w:val="000000"/>
        </w:rPr>
      </w:pPr>
      <w:r w:rsidRPr="00473E19">
        <w:rPr>
          <w:color w:val="000000"/>
        </w:rPr>
        <w:t>G.</w:t>
      </w:r>
      <w:r w:rsidRPr="00473E19">
        <w:rPr>
          <w:color w:val="000000"/>
        </w:rPr>
        <w:tab/>
        <w:t xml:space="preserve">mając na uwadze, że zgodnie z wnioskiem 1 grudnia 2024 r. Diana </w:t>
      </w:r>
      <w:r w:rsidRPr="00473E19">
        <w:rPr>
          <w:color w:val="000000"/>
        </w:rPr>
        <w:t>I</w:t>
      </w:r>
      <w:r w:rsidR="00DD1DBE">
        <w:rPr>
          <w:color w:val="000000"/>
        </w:rPr>
        <w:t>o</w:t>
      </w:r>
      <w:r w:rsidRPr="00473E19">
        <w:rPr>
          <w:color w:val="000000"/>
        </w:rPr>
        <w:t>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rzekomo publicznie gloryfikowała osobę skazaną za zbrodnie wojenne na mocy rumuńskiego prawa krajowego za pomocą publikacji w </w:t>
      </w:r>
      <w:r w:rsidRPr="00473E19">
        <w:rPr>
          <w:color w:val="000000"/>
        </w:rPr>
        <w:t>internecie</w:t>
      </w:r>
      <w:r w:rsidRPr="00473E19">
        <w:rPr>
          <w:color w:val="000000"/>
        </w:rPr>
        <w:t xml:space="preserve"> i publicznie </w:t>
      </w:r>
      <w:r w:rsidRPr="00473E19">
        <w:rPr>
          <w:color w:val="000000"/>
        </w:rPr>
        <w:t>wychwalając idee i koncepcje ruchu legionowego, rasizm i ksenofobię oraz stereotypy na temat społeczność żydowskiej; mając na uwadze, że zarzucane czyny stanowią przestępstwo w świetle art. 5 nadzwyczajnego rumuńskiego dekretu rządowego nr 31/2002;</w:t>
      </w:r>
    </w:p>
    <w:p w:rsidR="008D7C2D" w:rsidRPr="00473E19" w:rsidP="008D7C2D" w14:paraId="57C9DEFF" w14:textId="77777777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H.</w:t>
      </w:r>
      <w:r w:rsidRPr="00473E19">
        <w:rPr>
          <w:color w:val="000000"/>
        </w:rPr>
        <w:tab/>
        <w:t xml:space="preserve">mając na uwadze, że zgodnie z wnioskiem 15 grudnia 2024 r. Diana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miała bezpośrednio grozić przemocą dwóm funkcjonariuszom policji, którzy wykonywali obowiązki służbowe w związku z wcześniej nałożoną na nią karą administracyjną; mając na uwadze, że zarzucany czyn stanowi przestępstwo określone w art. 257 ust. 1 i 4 rumuńskiego kodeksu karnego;</w:t>
      </w:r>
    </w:p>
    <w:p w:rsidR="008D7C2D" w:rsidRPr="00473E19" w:rsidP="008D7C2D" w14:paraId="767CAF48" w14:textId="1709C783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I.</w:t>
      </w:r>
      <w:r w:rsidRPr="00473E19">
        <w:rPr>
          <w:color w:val="000000"/>
        </w:rPr>
        <w:tab/>
        <w:t xml:space="preserve">mając na uwadze, że zgodnie z wnioskiem 25 lutego 2025 r. Instytut Badania Zbrodni Komunizmu i Upamiętnienia Wypędzenia Rumunów, który jest organizacją rządową, powiadomił organy sądowe, że 11 lutego 2025 r. Diana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wygłosiła przemówienie na posiedzeniu plenarnym Parlamentu Europejskiego, podczas którego </w:t>
      </w:r>
      <w:r w:rsidR="00DC3628">
        <w:rPr>
          <w:color w:val="000000"/>
        </w:rPr>
        <w:t xml:space="preserve">miała </w:t>
      </w:r>
      <w:r w:rsidRPr="00473E19">
        <w:rPr>
          <w:color w:val="000000"/>
        </w:rPr>
        <w:t>zaleci</w:t>
      </w:r>
      <w:r w:rsidR="00DC3628">
        <w:rPr>
          <w:color w:val="000000"/>
        </w:rPr>
        <w:t>ć</w:t>
      </w:r>
      <w:r w:rsidRPr="00473E19">
        <w:rPr>
          <w:color w:val="000000"/>
        </w:rPr>
        <w:t xml:space="preserve"> kolegom i koleżankom, aby opracowali strategie polityki zagranicznej wzorowane na strategiach </w:t>
      </w:r>
      <w:r w:rsidRPr="00473E19">
        <w:rPr>
          <w:color w:val="000000"/>
        </w:rPr>
        <w:t>Nicolae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Ceaușescu</w:t>
      </w:r>
      <w:r w:rsidRPr="00473E19">
        <w:rPr>
          <w:color w:val="000000"/>
        </w:rPr>
        <w:t>, który 25 grudnia 1989 r. został uznany winnym zbrodni ludobójstwa na mocy wyroku okręgowego trybunału wojskowego w Bukareszcie; mając na uwadze, że zarzucany czyn stanowi przestępstwo określone w art. 5 nadzwyczajnego rumuńskiego dekretu rządowego nr 31/2002;</w:t>
      </w:r>
    </w:p>
    <w:p w:rsidR="008D7C2D" w:rsidRPr="00473E19" w:rsidP="008D7C2D" w14:paraId="285D4469" w14:textId="77777777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J.</w:t>
      </w:r>
      <w:r w:rsidRPr="00473E19">
        <w:rPr>
          <w:color w:val="000000"/>
        </w:rPr>
        <w:tab/>
        <w:t xml:space="preserve">mając na uwadze, że Diana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została wybrana do Parlamentu Europejskiego w wyborach europejskich w czerwcu 2024 r., a zatem nie była posłanką do Parlamentu Europejskiego, kiedy dopuściła się zarzucanych jej czynów wymienionych we wniosku i do których doszło 10 grudnia 2021 r., 19 lutego 2024 r. oraz 13 i 14 maja 2024 r.; mając na uwadze, że Diana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była posłanką do Parlamentu Europejskiego w czasie popełnienia zarzucanych jej czynów, o których mowa we wniosku, do których doszło 5 i 6 października 2024 r., 1 grudnia 2024 r., 15 grudnia 2024 r. i 11 lutego 2025 r.; mając na uwadze, że oprócz skarg lub postępowań karnych przeciwko Dianie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w związku z zarzucanymi jej czynami z 10 grudnia 2021 r. i 19 lutego 2024 r. wszystkie inne postępowania karne wszczęto po jej wyborze do Parlamentu Europejskiego;</w:t>
      </w:r>
    </w:p>
    <w:p w:rsidR="008D7C2D" w:rsidRPr="00473E19" w:rsidP="008D7C2D" w14:paraId="1D162F50" w14:textId="77777777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K.</w:t>
      </w:r>
      <w:r w:rsidRPr="00473E19">
        <w:rPr>
          <w:color w:val="000000"/>
        </w:rPr>
        <w:tab/>
        <w:t>mając na uwadze, że art. 8 Protokołu nr 7 w sprawie przywilejów i immunitetów Unii Europejskiej przewiduje, że wobec posłów do Parlamentu Europejskiego nie można prowadzić dochodzenia, postępowania sądowego, ani też ich zatrzymywać z powodu ich opinii lub stanowiska zajętego w głosowaniu w czasie wykonywania obowiązków służbowych;</w:t>
      </w:r>
    </w:p>
    <w:p w:rsidR="008D7C2D" w:rsidRPr="00473E19" w:rsidP="008D7C2D" w14:paraId="7721C841" w14:textId="77777777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L.</w:t>
      </w:r>
      <w:r w:rsidRPr="00473E19">
        <w:rPr>
          <w:color w:val="000000"/>
        </w:rPr>
        <w:tab/>
        <w:t xml:space="preserve">mając na uwadze, że domniemane przestępstwo popełnione 11 lutego 2025 r. w związku z rzekomą gloryfikacją </w:t>
      </w:r>
      <w:r w:rsidRPr="00473E19">
        <w:rPr>
          <w:color w:val="000000"/>
        </w:rPr>
        <w:t>Nicolae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Ceaușescu</w:t>
      </w:r>
      <w:r w:rsidRPr="00473E19">
        <w:rPr>
          <w:color w:val="000000"/>
        </w:rPr>
        <w:t>, skazanego za zbrodnię wojenną na mocy rumuńskiego prawa, obejmuje oświadczenie złożone przez nią podczas posiedzenia plenarnego Parlamentu Europejskiego w Strasburgu podczas debaty na temat szerzej zakrojonej kompleksowej strategii UE na rzecz Bliskiego Wschodu; mając na uwadze, że jej oświadczenie stanowi zatem opinię lub stanowisko zajęte w głosowaniu w czasie wykonywania obowiązków służbowych w rozumieniu art. 8 Protokołu nr 7 w sprawie przywilejów i immunitetów Unii Europejskiej;</w:t>
      </w:r>
    </w:p>
    <w:p w:rsidR="008D7C2D" w:rsidRPr="00473E19" w:rsidP="008D7C2D" w14:paraId="660C6EA8" w14:textId="60F68FA6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M.</w:t>
      </w:r>
      <w:r w:rsidRPr="00473E19">
        <w:rPr>
          <w:color w:val="000000"/>
        </w:rPr>
        <w:tab/>
        <w:t xml:space="preserve">mając na uwadze, że wszystkie pozostałe zarzucane czyny i wniosek o uchylenie immunitetu Diany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Șoșoacă</w:t>
      </w:r>
      <w:r w:rsidRPr="00473E19">
        <w:rPr>
          <w:color w:val="000000"/>
        </w:rPr>
        <w:t xml:space="preserve"> nie </w:t>
      </w:r>
      <w:r w:rsidR="00DC3628">
        <w:rPr>
          <w:color w:val="000000"/>
        </w:rPr>
        <w:t>stanowią</w:t>
      </w:r>
      <w:r w:rsidRPr="00473E19">
        <w:rPr>
          <w:color w:val="000000"/>
        </w:rPr>
        <w:t xml:space="preserve"> opinii ani stanowiska zajętego przez nią w głosowaniu w czasie wykonywania obowiązków służbowych w rozumieniu art. 8 </w:t>
      </w:r>
      <w:r w:rsidRPr="00473E19">
        <w:rPr>
          <w:color w:val="000000"/>
        </w:rPr>
        <w:t>Protokołu nr 7 w sprawie przywilejów i immunitetów Unii Europejskiej</w:t>
      </w:r>
      <w:r w:rsidR="00DC3628">
        <w:rPr>
          <w:color w:val="000000"/>
        </w:rPr>
        <w:t xml:space="preserve"> ani ich nie dotyczą</w:t>
      </w:r>
      <w:r w:rsidRPr="00473E19">
        <w:rPr>
          <w:color w:val="000000"/>
        </w:rPr>
        <w:t>;</w:t>
      </w:r>
    </w:p>
    <w:p w:rsidR="008D7C2D" w:rsidRPr="00473E19" w:rsidP="008D7C2D" w14:paraId="05FE056A" w14:textId="31C5A187">
      <w:pPr>
        <w:pStyle w:val="NormalHanging12a"/>
        <w:rPr>
          <w:bCs/>
          <w:iCs/>
          <w:color w:val="000000"/>
        </w:rPr>
      </w:pPr>
      <w:r w:rsidRPr="00473E19">
        <w:rPr>
          <w:color w:val="000000"/>
        </w:rPr>
        <w:t>N.</w:t>
      </w:r>
      <w:r w:rsidRPr="00473E19">
        <w:rPr>
          <w:color w:val="000000"/>
        </w:rPr>
        <w:tab/>
        <w:t>mając na uwadze, że zgodnie z art. 9 akapit pierwszy lit. a) Protokołu nr 7 w sprawie przywilejów i immunitetów Unii Europejskiej podczas sesji Parlamentu Europejskiego jego posłowie korzystają na terytorium swoich państw</w:t>
      </w:r>
      <w:r w:rsidR="00DC3628">
        <w:rPr>
          <w:color w:val="000000"/>
        </w:rPr>
        <w:t xml:space="preserve"> członkowskich</w:t>
      </w:r>
      <w:r w:rsidRPr="00473E19">
        <w:rPr>
          <w:color w:val="000000"/>
        </w:rPr>
        <w:t xml:space="preserve"> z immunitetów przyznawanych członkom parlamentu ich państwa członkowskiego;</w:t>
      </w:r>
    </w:p>
    <w:p w:rsidR="008D7C2D" w:rsidRPr="00473E19" w:rsidP="008D7C2D" w14:paraId="7D2279F0" w14:textId="77777777">
      <w:pPr>
        <w:pStyle w:val="NormalHanging12a"/>
        <w:rPr>
          <w:color w:val="000000"/>
        </w:rPr>
      </w:pPr>
      <w:r w:rsidRPr="00473E19">
        <w:rPr>
          <w:color w:val="000000"/>
        </w:rPr>
        <w:t>O.</w:t>
      </w:r>
      <w:r w:rsidRPr="00473E19">
        <w:rPr>
          <w:color w:val="000000"/>
        </w:rPr>
        <w:tab/>
        <w:t>mając na uwadze, że art. 72 ust. 1 i 2 konstytucji Rumunii stanowi, że:</w:t>
      </w:r>
    </w:p>
    <w:p w:rsidR="008D7C2D" w:rsidRPr="00473E19" w:rsidP="00067E46" w14:paraId="2EACE280" w14:textId="77777777">
      <w:pPr>
        <w:pStyle w:val="NormalHanging12a"/>
        <w:ind w:left="1134"/>
        <w:rPr>
          <w:color w:val="000000"/>
        </w:rPr>
      </w:pPr>
      <w:r w:rsidRPr="00473E19">
        <w:rPr>
          <w:color w:val="000000"/>
        </w:rPr>
        <w:t>„1.</w:t>
      </w:r>
      <w:r w:rsidRPr="00473E19">
        <w:rPr>
          <w:color w:val="000000"/>
        </w:rPr>
        <w:tab/>
        <w:t>Żaden poseł ani senator nie może być pociągnięty do odpowiedzialności sądowej za głosy oddane ani za poglądy polityczne wyrażone w związku ze sprawowaniem mandatu.</w:t>
      </w:r>
    </w:p>
    <w:p w:rsidR="008D7C2D" w:rsidRPr="00473E19" w:rsidP="00067E46" w14:paraId="397A1B26" w14:textId="77777777">
      <w:pPr>
        <w:pStyle w:val="NormalHanging12a"/>
        <w:ind w:left="1134"/>
        <w:rPr>
          <w:color w:val="000000"/>
        </w:rPr>
      </w:pPr>
      <w:r w:rsidRPr="00473E19">
        <w:rPr>
          <w:color w:val="000000"/>
        </w:rPr>
        <w:t>2.</w:t>
      </w:r>
      <w:r w:rsidRPr="00473E19">
        <w:rPr>
          <w:color w:val="000000"/>
        </w:rPr>
        <w:tab/>
        <w:t>Posłowie oraz senatorowie mogą zostać pociągnięci do odpowiedzialności karnej i oskarżeni o czyny, które nie mają związku z ich opiniami politycznymi lub oddanymi głosami w trakcie sprawowania mandatu, jednak nie mogą być poddani przeszukaniu, zatrzymani ani aresztowani bez uprzedniej zgody izby, do której należą, po ich wysłuchaniu. Jedynie prokuratura przy Najwyższym Sądzie Kasacyjnym i Sprawiedliwości może wszcząć postępowanie. Właściwy w sprawie jest Najwyższy Sąd Kasacyjny i Sprawiedliwości”;</w:t>
      </w:r>
    </w:p>
    <w:p w:rsidR="008D7C2D" w:rsidRPr="00473E19" w:rsidP="008D7C2D" w14:paraId="1C7041B2" w14:textId="77777777">
      <w:pPr>
        <w:pStyle w:val="NormalHanging12a"/>
        <w:rPr>
          <w:color w:val="000000"/>
        </w:rPr>
      </w:pPr>
      <w:r w:rsidRPr="00473E19">
        <w:rPr>
          <w:color w:val="000000"/>
        </w:rPr>
        <w:t>P.</w:t>
      </w:r>
      <w:r w:rsidRPr="00473E19">
        <w:rPr>
          <w:color w:val="000000"/>
        </w:rPr>
        <w:tab/>
        <w:t>mając na uwadze, że immunitet parlamentarny, o którym mowa w Protokole nr 7 w sprawie przywilejów i immunitetów Unii Europejskiej, ma chronić Parlament i jego posłów przed postępowaniami sądowymi w związku z działaniami podejmowanymi w ramach wykonywania obowiązków parlamentarnych i niemożliwych do oddzielenia od tych obowiązków;</w:t>
      </w:r>
    </w:p>
    <w:p w:rsidR="008D7C2D" w:rsidRPr="00473E19" w:rsidP="008D7C2D" w14:paraId="199508AE" w14:textId="77777777">
      <w:pPr>
        <w:pStyle w:val="NormalHanging12a"/>
        <w:rPr>
          <w:color w:val="000000"/>
        </w:rPr>
      </w:pPr>
      <w:r w:rsidRPr="00473E19">
        <w:rPr>
          <w:color w:val="000000"/>
        </w:rPr>
        <w:t>Q.</w:t>
      </w:r>
      <w:r w:rsidRPr="00473E19">
        <w:rPr>
          <w:color w:val="000000"/>
        </w:rPr>
        <w:tab/>
        <w:t>mając na uwadze, że zgodnie z art. 5 ust. 2 Regulaminu immunitet parlamentarny nie jest osobistym przywilejem posła, lecz gwarancją niezależności Parlamentu jako instytucji oraz jego członków;</w:t>
      </w:r>
    </w:p>
    <w:p w:rsidR="008D7C2D" w:rsidRPr="00473E19" w:rsidP="008D7C2D" w14:paraId="057ACBD6" w14:textId="1D14735E">
      <w:pPr>
        <w:pStyle w:val="NormalHanging12a"/>
        <w:rPr>
          <w:color w:val="000000"/>
        </w:rPr>
      </w:pPr>
      <w:r w:rsidRPr="00473E19">
        <w:rPr>
          <w:color w:val="000000"/>
        </w:rPr>
        <w:t>R.</w:t>
      </w:r>
      <w:r w:rsidRPr="00473E19">
        <w:rPr>
          <w:color w:val="000000"/>
        </w:rPr>
        <w:tab/>
      </w:r>
      <w:r w:rsidRPr="00DB1A26" w:rsidR="00DB1A26">
        <w:rPr>
          <w:color w:val="000000"/>
        </w:rPr>
        <w:t xml:space="preserve">mając na uwadze, że w niniejszej sprawie Parlament nie znalazł żadnych dowodów wskazujących na zaistnienie </w:t>
      </w:r>
      <w:r w:rsidRPr="00DB1A26" w:rsidR="00DB1A26">
        <w:rPr>
          <w:i/>
          <w:iCs/>
          <w:color w:val="000000"/>
        </w:rPr>
        <w:t>fumus</w:t>
      </w:r>
      <w:r w:rsidRPr="00DB1A26" w:rsidR="00DB1A26">
        <w:rPr>
          <w:i/>
          <w:iCs/>
          <w:color w:val="000000"/>
        </w:rPr>
        <w:t xml:space="preserve"> </w:t>
      </w:r>
      <w:r w:rsidRPr="00DB1A26" w:rsidR="00DB1A26">
        <w:rPr>
          <w:i/>
          <w:iCs/>
          <w:color w:val="000000"/>
        </w:rPr>
        <w:t>persecutionis</w:t>
      </w:r>
      <w:r w:rsidRPr="00DB1A26" w:rsidR="00DB1A26">
        <w:rPr>
          <w:color w:val="000000"/>
        </w:rPr>
        <w:t xml:space="preserve">, to znaczy nie wydaje się, aby u podstaw przedmiotowego postępowania sądowego leżał zamiar podważenia działalności politycznej Diany </w:t>
      </w:r>
      <w:r w:rsidRPr="00DB1A26" w:rsidR="00DB1A26">
        <w:rPr>
          <w:color w:val="000000"/>
        </w:rPr>
        <w:t>Iovanovici</w:t>
      </w:r>
      <w:r w:rsidRPr="00DB1A26" w:rsidR="00DB1A26">
        <w:rPr>
          <w:color w:val="000000"/>
        </w:rPr>
        <w:t xml:space="preserve"> </w:t>
      </w:r>
      <w:r w:rsidRPr="00DB1A26" w:rsidR="00DB1A26">
        <w:rPr>
          <w:color w:val="000000"/>
        </w:rPr>
        <w:t>Șoșoacă</w:t>
      </w:r>
      <w:r w:rsidRPr="00DB1A26" w:rsidR="00DB1A26">
        <w:rPr>
          <w:color w:val="000000"/>
        </w:rPr>
        <w:t xml:space="preserve"> jako posłanki</w:t>
      </w:r>
      <w:r w:rsidR="00DB1A26">
        <w:rPr>
          <w:color w:val="000000"/>
        </w:rPr>
        <w:t xml:space="preserve"> do Parlamentu Europejskiego</w:t>
      </w:r>
      <w:r w:rsidRPr="00DB1A26" w:rsidR="00DB1A26">
        <w:rPr>
          <w:color w:val="000000"/>
        </w:rPr>
        <w:t>, a tym samym niezależności Parlamentu</w:t>
      </w:r>
      <w:r w:rsidRPr="00473E19">
        <w:rPr>
          <w:color w:val="000000"/>
        </w:rPr>
        <w:t>;</w:t>
      </w:r>
    </w:p>
    <w:p w:rsidR="008D7C2D" w:rsidRPr="00473E19" w:rsidP="008D7C2D" w14:paraId="52EA954D" w14:textId="77777777">
      <w:pPr>
        <w:pStyle w:val="NormalHanging12a"/>
        <w:rPr>
          <w:color w:val="000000"/>
        </w:rPr>
      </w:pPr>
      <w:r w:rsidRPr="00473E19">
        <w:rPr>
          <w:color w:val="000000"/>
        </w:rPr>
        <w:t>S.</w:t>
      </w:r>
      <w:r w:rsidRPr="00473E19">
        <w:rPr>
          <w:color w:val="000000"/>
        </w:rPr>
        <w:tab/>
        <w:t>mając na uwadze, że, z jednej strony, Parlamentu nie można uznawać za sąd, a z drugiej – że posła nie można uznawać za oskarżonego w kontekście procedury uchylenia immunitetu</w:t>
      </w:r>
      <w:r>
        <w:rPr>
          <w:color w:val="000000"/>
          <w:vertAlign w:val="superscript"/>
        </w:rPr>
        <w:footnoteReference w:id="3"/>
      </w:r>
      <w:r w:rsidRPr="00473E19">
        <w:rPr>
          <w:color w:val="000000"/>
        </w:rPr>
        <w:t>;</w:t>
      </w:r>
    </w:p>
    <w:p w:rsidR="008D7C2D" w:rsidRPr="00473E19" w:rsidP="008D7C2D" w14:paraId="0C6E8C88" w14:textId="77777777">
      <w:pPr>
        <w:pStyle w:val="NormalHanging12a"/>
        <w:rPr>
          <w:color w:val="000000"/>
        </w:rPr>
      </w:pPr>
      <w:r w:rsidRPr="00473E19">
        <w:rPr>
          <w:color w:val="000000"/>
        </w:rPr>
        <w:t>1.</w:t>
      </w:r>
      <w:r w:rsidRPr="00473E19">
        <w:rPr>
          <w:color w:val="000000"/>
        </w:rPr>
        <w:tab/>
        <w:t xml:space="preserve">podejmuje decyzję o uchyleniu immunitetu Diany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Şoşoacă</w:t>
      </w:r>
      <w:r w:rsidRPr="00473E19">
        <w:rPr>
          <w:color w:val="000000"/>
        </w:rPr>
        <w:t xml:space="preserve"> w odniesieniu do zarzucanych przestępstw, o których mowa w pkt B, C, D, E, F, G i H;</w:t>
      </w:r>
    </w:p>
    <w:p w:rsidR="008D7C2D" w:rsidRPr="00473E19" w:rsidP="008D7C2D" w14:paraId="081203EB" w14:textId="77777777">
      <w:pPr>
        <w:pStyle w:val="NormalHanging12a"/>
        <w:rPr>
          <w:color w:val="000000"/>
        </w:rPr>
      </w:pPr>
      <w:r w:rsidRPr="00473E19">
        <w:rPr>
          <w:color w:val="000000"/>
        </w:rPr>
        <w:t>2.</w:t>
      </w:r>
      <w:r w:rsidRPr="00473E19">
        <w:rPr>
          <w:color w:val="000000"/>
        </w:rPr>
        <w:tab/>
        <w:t xml:space="preserve">podejmuje decyzję o uchyleniu immunitetu Diany </w:t>
      </w:r>
      <w:r w:rsidRPr="00473E19">
        <w:rPr>
          <w:color w:val="000000"/>
        </w:rPr>
        <w:t>Iovanovici</w:t>
      </w:r>
      <w:r w:rsidRPr="00473E19">
        <w:rPr>
          <w:color w:val="000000"/>
        </w:rPr>
        <w:t xml:space="preserve"> </w:t>
      </w:r>
      <w:r w:rsidRPr="00473E19">
        <w:rPr>
          <w:color w:val="000000"/>
        </w:rPr>
        <w:t>Şoşoacă</w:t>
      </w:r>
      <w:r w:rsidRPr="00473E19">
        <w:rPr>
          <w:color w:val="000000"/>
        </w:rPr>
        <w:t xml:space="preserve"> w odniesieniu do zarzucanego przestępstwa, o którym mowa w pkt I;</w:t>
      </w:r>
    </w:p>
    <w:p w:rsidR="00E365E1" w:rsidRPr="00473E19" w:rsidP="0076074F" w14:paraId="3D51CBB1" w14:textId="39CD949E">
      <w:pPr>
        <w:pStyle w:val="NormalHanging12a"/>
      </w:pPr>
      <w:r w:rsidRPr="00473E19">
        <w:t>3.</w:t>
      </w:r>
      <w:r w:rsidRPr="00473E19">
        <w:tab/>
        <w:t xml:space="preserve">zobowiązuje przewodniczącą do natychmiastowego przekazania niniejszej decyzji i sprawozdania właściwej komisji właściwym władzom rumuńskim i Dianie </w:t>
      </w:r>
      <w:r w:rsidRPr="00473E19">
        <w:t>Iovanovici</w:t>
      </w:r>
      <w:r w:rsidRPr="00473E19">
        <w:t xml:space="preserve"> </w:t>
      </w:r>
      <w:r w:rsidRPr="00473E19">
        <w:t>Şoşoacă</w:t>
      </w:r>
      <w:r w:rsidRPr="00473E19">
        <w:t>.</w:t>
      </w:r>
    </w:p>
    <w:sectPr w:rsidSect="00473E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3E19" w14:paraId="628CC43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3E19" w14:paraId="1A269AB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3E19" w14:paraId="2B4E8B2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757D0" w:rsidRPr="00473E19" w14:paraId="2CD778FC" w14:textId="77777777">
      <w:r w:rsidRPr="00473E19">
        <w:separator/>
      </w:r>
    </w:p>
  </w:footnote>
  <w:footnote w:type="continuationSeparator" w:id="1">
    <w:p w:rsidR="007757D0" w:rsidRPr="00473E19" w14:paraId="506C95D2" w14:textId="77777777">
      <w:r w:rsidRPr="00473E19">
        <w:continuationSeparator/>
      </w:r>
    </w:p>
  </w:footnote>
  <w:footnote w:id="2">
    <w:p w:rsidR="008D7C2D" w:rsidRPr="00473E19" w:rsidP="00473E19" w14:paraId="6AB51384" w14:textId="62E05B87">
      <w:pPr>
        <w:pStyle w:val="FootnoteText"/>
        <w:ind w:left="567" w:hanging="567"/>
        <w:rPr>
          <w:sz w:val="24"/>
          <w:lang w:val="pl-PL"/>
        </w:rPr>
      </w:pPr>
      <w:r w:rsidRPr="00473E19">
        <w:rPr>
          <w:rStyle w:val="FootnoteReference"/>
          <w:sz w:val="24"/>
          <w:lang w:val="pl-PL"/>
        </w:rPr>
        <w:footnoteRef/>
      </w:r>
      <w:r w:rsidRPr="00473E19" w:rsidR="00473E19">
        <w:rPr>
          <w:sz w:val="24"/>
          <w:lang w:val="pl-PL"/>
        </w:rPr>
        <w:t xml:space="preserve"> </w:t>
      </w:r>
      <w:r w:rsidRPr="00473E19" w:rsidR="00473E19">
        <w:rPr>
          <w:sz w:val="24"/>
          <w:lang w:val="pl-PL"/>
        </w:rPr>
        <w:tab/>
      </w:r>
      <w:r w:rsidRPr="00473E19">
        <w:rPr>
          <w:sz w:val="24"/>
          <w:lang w:val="pl-PL"/>
        </w:rPr>
        <w:t xml:space="preserve">Wyrok Trybunału Sprawiedliwości z 21 października 2008 r., </w:t>
      </w:r>
      <w:r w:rsidRPr="00473E19">
        <w:rPr>
          <w:sz w:val="24"/>
          <w:lang w:val="pl-PL"/>
        </w:rPr>
        <w:t>Marra</w:t>
      </w:r>
      <w:r w:rsidRPr="00473E19">
        <w:rPr>
          <w:sz w:val="24"/>
          <w:lang w:val="pl-PL"/>
        </w:rPr>
        <w:t xml:space="preserve">/De </w:t>
      </w:r>
      <w:r w:rsidRPr="00473E19">
        <w:rPr>
          <w:sz w:val="24"/>
          <w:lang w:val="pl-PL"/>
        </w:rPr>
        <w:t>Gregorio</w:t>
      </w:r>
      <w:r w:rsidRPr="00473E19">
        <w:rPr>
          <w:sz w:val="24"/>
          <w:lang w:val="pl-PL"/>
        </w:rPr>
        <w:t xml:space="preserve"> i </w:t>
      </w:r>
      <w:r w:rsidRPr="00473E19">
        <w:rPr>
          <w:sz w:val="24"/>
          <w:lang w:val="pl-PL"/>
        </w:rPr>
        <w:t>Clemente</w:t>
      </w:r>
      <w:r w:rsidRPr="00473E19">
        <w:rPr>
          <w:sz w:val="24"/>
          <w:lang w:val="pl-PL"/>
        </w:rPr>
        <w:t xml:space="preserve">, C-200/07 i C-201/07, ECLI:EU:C:2008:579; wyrok Sądu z 19 marca 2010 r., </w:t>
      </w:r>
      <w:r w:rsidRPr="00473E19">
        <w:rPr>
          <w:sz w:val="24"/>
          <w:lang w:val="pl-PL"/>
        </w:rPr>
        <w:t>Gollnisch</w:t>
      </w:r>
      <w:r w:rsidRPr="00473E19">
        <w:rPr>
          <w:sz w:val="24"/>
          <w:lang w:val="pl-PL"/>
        </w:rPr>
        <w:t xml:space="preserve">/Parlament, T-42/06, ECLI:EU:T:2010:102; wyrok Trybunału Sprawiedliwości z 6 września 2011 r., </w:t>
      </w:r>
      <w:r w:rsidRPr="00473E19">
        <w:rPr>
          <w:sz w:val="24"/>
          <w:lang w:val="pl-PL"/>
        </w:rPr>
        <w:t>Patriciello</w:t>
      </w:r>
      <w:r w:rsidRPr="00473E19">
        <w:rPr>
          <w:sz w:val="24"/>
          <w:lang w:val="pl-PL"/>
        </w:rPr>
        <w:t xml:space="preserve">, C-163/10, ECLI: EU:C:2011:543; wyrok Sądu z 17 stycznia 2013 r., </w:t>
      </w:r>
      <w:r w:rsidRPr="00473E19">
        <w:rPr>
          <w:sz w:val="24"/>
          <w:lang w:val="pl-PL"/>
        </w:rPr>
        <w:t>Gollnisch</w:t>
      </w:r>
      <w:r w:rsidRPr="00473E19">
        <w:rPr>
          <w:sz w:val="24"/>
          <w:lang w:val="pl-PL"/>
        </w:rPr>
        <w:t xml:space="preserve">/Parlament, T-346/11 i T-347/11, ECLI:EU:T:2013:23; wyrok Trybunału Sprawiedliwości z 19 grudnia 2019 r., </w:t>
      </w:r>
      <w:r w:rsidRPr="00473E19">
        <w:rPr>
          <w:sz w:val="24"/>
          <w:lang w:val="pl-PL"/>
        </w:rPr>
        <w:t>Junqueras</w:t>
      </w:r>
      <w:r w:rsidRPr="00473E19">
        <w:rPr>
          <w:sz w:val="24"/>
          <w:lang w:val="pl-PL"/>
        </w:rPr>
        <w:t xml:space="preserve"> </w:t>
      </w:r>
      <w:r w:rsidRPr="00473E19">
        <w:rPr>
          <w:sz w:val="24"/>
          <w:lang w:val="pl-PL"/>
        </w:rPr>
        <w:t>Vies</w:t>
      </w:r>
      <w:r w:rsidRPr="00473E19">
        <w:rPr>
          <w:sz w:val="24"/>
          <w:lang w:val="pl-PL"/>
        </w:rPr>
        <w:t>, C-502/19, ECLI:EU:C:2019:1115.</w:t>
      </w:r>
    </w:p>
  </w:footnote>
  <w:footnote w:id="3">
    <w:p w:rsidR="008D7C2D" w:rsidRPr="00473E19" w:rsidP="00473E19" w14:paraId="3FBA9515" w14:textId="09EEA1DD">
      <w:pPr>
        <w:pStyle w:val="FootnoteText"/>
        <w:ind w:left="567" w:hanging="567"/>
        <w:rPr>
          <w:sz w:val="24"/>
          <w:lang w:val="pl-PL"/>
        </w:rPr>
      </w:pPr>
      <w:r w:rsidRPr="00473E19">
        <w:rPr>
          <w:rStyle w:val="FootnoteReference"/>
          <w:sz w:val="24"/>
          <w:lang w:val="pl-PL"/>
        </w:rPr>
        <w:footnoteRef/>
      </w:r>
      <w:r w:rsidRPr="00473E19" w:rsidR="00473E19">
        <w:rPr>
          <w:sz w:val="24"/>
          <w:lang w:val="pl-PL"/>
        </w:rPr>
        <w:t xml:space="preserve"> </w:t>
      </w:r>
      <w:r w:rsidRPr="00473E19" w:rsidR="00473E19">
        <w:rPr>
          <w:sz w:val="24"/>
          <w:lang w:val="pl-PL"/>
        </w:rPr>
        <w:tab/>
      </w:r>
      <w:r w:rsidRPr="00473E19">
        <w:rPr>
          <w:sz w:val="24"/>
          <w:lang w:val="pl-PL"/>
        </w:rPr>
        <w:t xml:space="preserve">Wyrok Sądu z 30 kwietnia 2019 r., </w:t>
      </w:r>
      <w:r w:rsidRPr="00473E19">
        <w:rPr>
          <w:sz w:val="24"/>
          <w:lang w:val="pl-PL"/>
        </w:rPr>
        <w:t>Briois</w:t>
      </w:r>
      <w:r w:rsidRPr="00473E19">
        <w:rPr>
          <w:sz w:val="24"/>
          <w:lang w:val="pl-PL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3E19" w14:paraId="1D8FFCE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3E19" w14:paraId="7E89AF2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73E19" w14:paraId="7DCCE92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7709669">
    <w:abstractNumId w:val="9"/>
  </w:num>
  <w:num w:numId="2" w16cid:durableId="426656175">
    <w:abstractNumId w:val="9"/>
  </w:num>
  <w:num w:numId="3" w16cid:durableId="1574463330">
    <w:abstractNumId w:val="7"/>
  </w:num>
  <w:num w:numId="4" w16cid:durableId="742335789">
    <w:abstractNumId w:val="7"/>
  </w:num>
  <w:num w:numId="5" w16cid:durableId="1236285668">
    <w:abstractNumId w:val="6"/>
  </w:num>
  <w:num w:numId="6" w16cid:durableId="495807695">
    <w:abstractNumId w:val="6"/>
  </w:num>
  <w:num w:numId="7" w16cid:durableId="867988877">
    <w:abstractNumId w:val="5"/>
  </w:num>
  <w:num w:numId="8" w16cid:durableId="620769266">
    <w:abstractNumId w:val="5"/>
  </w:num>
  <w:num w:numId="9" w16cid:durableId="1198857241">
    <w:abstractNumId w:val="4"/>
  </w:num>
  <w:num w:numId="10" w16cid:durableId="844825061">
    <w:abstractNumId w:val="4"/>
  </w:num>
  <w:num w:numId="11" w16cid:durableId="1039358877">
    <w:abstractNumId w:val="8"/>
  </w:num>
  <w:num w:numId="12" w16cid:durableId="1894654179">
    <w:abstractNumId w:val="8"/>
  </w:num>
  <w:num w:numId="13" w16cid:durableId="706762992">
    <w:abstractNumId w:val="3"/>
  </w:num>
  <w:num w:numId="14" w16cid:durableId="1828206522">
    <w:abstractNumId w:val="3"/>
  </w:num>
  <w:num w:numId="15" w16cid:durableId="191117131">
    <w:abstractNumId w:val="2"/>
  </w:num>
  <w:num w:numId="16" w16cid:durableId="1279796584">
    <w:abstractNumId w:val="2"/>
  </w:num>
  <w:num w:numId="17" w16cid:durableId="1232883713">
    <w:abstractNumId w:val="1"/>
  </w:num>
  <w:num w:numId="18" w16cid:durableId="1670213810">
    <w:abstractNumId w:val="1"/>
  </w:num>
  <w:num w:numId="19" w16cid:durableId="941837658">
    <w:abstractNumId w:val="0"/>
  </w:num>
  <w:num w:numId="20" w16cid:durableId="596906548">
    <w:abstractNumId w:val="0"/>
  </w:num>
  <w:num w:numId="21" w16cid:durableId="1258444989">
    <w:abstractNumId w:val="9"/>
  </w:num>
  <w:num w:numId="22" w16cid:durableId="331026091">
    <w:abstractNumId w:val="7"/>
  </w:num>
  <w:num w:numId="23" w16cid:durableId="1220507738">
    <w:abstractNumId w:val="6"/>
  </w:num>
  <w:num w:numId="24" w16cid:durableId="2134639871">
    <w:abstractNumId w:val="5"/>
  </w:num>
  <w:num w:numId="25" w16cid:durableId="1597400646">
    <w:abstractNumId w:val="4"/>
  </w:num>
  <w:num w:numId="26" w16cid:durableId="1202326676">
    <w:abstractNumId w:val="8"/>
  </w:num>
  <w:num w:numId="27" w16cid:durableId="409817822">
    <w:abstractNumId w:val="3"/>
  </w:num>
  <w:num w:numId="28" w16cid:durableId="851530468">
    <w:abstractNumId w:val="2"/>
  </w:num>
  <w:num w:numId="29" w16cid:durableId="1010062731">
    <w:abstractNumId w:val="1"/>
  </w:num>
  <w:num w:numId="30" w16cid:durableId="605621707">
    <w:abstractNumId w:val="0"/>
  </w:num>
  <w:num w:numId="31" w16cid:durableId="1978680398">
    <w:abstractNumId w:val="9"/>
  </w:num>
  <w:num w:numId="32" w16cid:durableId="1222600008">
    <w:abstractNumId w:val="7"/>
  </w:num>
  <w:num w:numId="33" w16cid:durableId="2097557498">
    <w:abstractNumId w:val="6"/>
  </w:num>
  <w:num w:numId="34" w16cid:durableId="1061101760">
    <w:abstractNumId w:val="5"/>
  </w:num>
  <w:num w:numId="35" w16cid:durableId="1425766440">
    <w:abstractNumId w:val="4"/>
  </w:num>
  <w:num w:numId="36" w16cid:durableId="2062510032">
    <w:abstractNumId w:val="8"/>
  </w:num>
  <w:num w:numId="37" w16cid:durableId="748625227">
    <w:abstractNumId w:val="3"/>
  </w:num>
  <w:num w:numId="38" w16cid:durableId="1453017699">
    <w:abstractNumId w:val="2"/>
  </w:num>
  <w:num w:numId="39" w16cid:durableId="1840726980">
    <w:abstractNumId w:val="1"/>
  </w:num>
  <w:num w:numId="40" w16cid:durableId="764766111">
    <w:abstractNumId w:val="0"/>
  </w:num>
  <w:num w:numId="41" w16cid:durableId="1530266132">
    <w:abstractNumId w:val="10"/>
  </w:num>
  <w:num w:numId="42" w16cid:durableId="1366516411">
    <w:abstractNumId w:val="10"/>
  </w:num>
  <w:num w:numId="43" w16cid:durableId="220603310">
    <w:abstractNumId w:val="10"/>
  </w:num>
  <w:num w:numId="44" w16cid:durableId="16271551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D0"/>
    <w:rsid w:val="00002272"/>
    <w:rsid w:val="00064002"/>
    <w:rsid w:val="000677B9"/>
    <w:rsid w:val="00067E46"/>
    <w:rsid w:val="00075086"/>
    <w:rsid w:val="000831BA"/>
    <w:rsid w:val="000A42CC"/>
    <w:rsid w:val="000E7DD9"/>
    <w:rsid w:val="0010095E"/>
    <w:rsid w:val="00125B37"/>
    <w:rsid w:val="00150FDC"/>
    <w:rsid w:val="00187494"/>
    <w:rsid w:val="001F32AE"/>
    <w:rsid w:val="002767FF"/>
    <w:rsid w:val="002B18FE"/>
    <w:rsid w:val="002B5493"/>
    <w:rsid w:val="00343214"/>
    <w:rsid w:val="00361C00"/>
    <w:rsid w:val="00395FA1"/>
    <w:rsid w:val="003B2164"/>
    <w:rsid w:val="003E15D4"/>
    <w:rsid w:val="00411CCE"/>
    <w:rsid w:val="0041666E"/>
    <w:rsid w:val="00421060"/>
    <w:rsid w:val="00471C19"/>
    <w:rsid w:val="00473E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74F"/>
    <w:rsid w:val="00762C74"/>
    <w:rsid w:val="007757D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C2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3A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A26"/>
    <w:rsid w:val="00DC3628"/>
    <w:rsid w:val="00DD1DB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7/2026"/>
    <w:docVar w:name="dvlangue" w:val="PL"/>
    <w:docVar w:name="dvnumam" w:val="0"/>
    <w:docVar w:name="dvpe" w:val="785.318"/>
    <w:docVar w:name="dvrapporteur" w:val="Sprawozdawca: "/>
    <w:docVar w:name="dvtitre" w:val="Decyzja Parlamentu Europejskiego z dnia  2026 r. w sprawie wniosku o uchylenie immunitetu Diany Iovanovici Şoşoacă(2025/2196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1F8A472"/>
  <w15:chartTrackingRefBased/>
  <w15:docId w15:val="{4D42C750-209D-484C-914D-1319A4F0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D7C2D"/>
    <w:pPr>
      <w:spacing w:after="240"/>
      <w:ind w:left="567" w:hanging="567"/>
    </w:pPr>
  </w:style>
  <w:style w:type="paragraph" w:customStyle="1" w:styleId="EPComma">
    <w:name w:val="EPComma"/>
    <w:basedOn w:val="Normal"/>
    <w:rsid w:val="008D7C2D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2026-04-28T06:33:00Z</dcterms:created>
  <dcterms:modified xsi:type="dcterms:W3CDTF">2026-04-28T11:21:00Z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A10-0117/2026</vt:lpwstr>
  </property>
  <property fmtid="{D5CDD505-2E9C-101B-9397-08002B2CF9AE}" pid="4" name="&lt;Type&gt;">
    <vt:lpwstr>RR</vt:lpwstr>
  </property>
</Properties>
</file>