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9F66C0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0031" w:rsidP="0010095E" w14:paraId="731F4234" w14:textId="77777777">
            <w:pPr>
              <w:pStyle w:val="EPName"/>
            </w:pPr>
            <w:r w:rsidRPr="00B10031">
              <w:t>Európsky parlament</w:t>
            </w:r>
          </w:p>
          <w:p w:rsidR="00751A4A" w:rsidRPr="00B10031" w:rsidP="005F1B17" w14:paraId="113BC9D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031">
              <w:t>2024</w:t>
            </w:r>
            <w:r w:rsidRPr="00B10031" w:rsidR="00817416">
              <w:t>-202</w:t>
            </w:r>
            <w:r w:rsidRPr="00B100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10031" w:rsidP="0010095E" w14:paraId="3DBA2A52" w14:textId="77777777">
            <w:pPr>
              <w:pStyle w:val="EPLogo"/>
            </w:pPr>
            <w:r w:rsidRPr="00B1003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0031" w:rsidP="004C5D52" w14:paraId="6D99F82A" w14:textId="77777777">
      <w:pPr>
        <w:pStyle w:val="LineTop"/>
      </w:pPr>
    </w:p>
    <w:p w:rsidR="00680577" w:rsidRPr="00B10031" w:rsidP="00680577" w14:paraId="46D25DFE" w14:textId="77777777">
      <w:pPr>
        <w:pStyle w:val="EPBodyTA1"/>
      </w:pPr>
      <w:r w:rsidRPr="00B10031">
        <w:t>PRIJATÉ TEXTY</w:t>
      </w:r>
    </w:p>
    <w:p w:rsidR="00D058B8" w:rsidRPr="00B10031" w:rsidP="00D058B8" w14:paraId="0F6CA122" w14:textId="77777777">
      <w:pPr>
        <w:pStyle w:val="LineBottom"/>
      </w:pPr>
    </w:p>
    <w:p w:rsidR="000B294E" w:rsidRPr="00B10031" w:rsidP="000B294E" w14:paraId="556E503F" w14:textId="26FEAE06">
      <w:pPr>
        <w:pStyle w:val="ATHeading1"/>
      </w:pPr>
      <w:bookmarkStart w:id="0" w:name="TANumber"/>
      <w:r w:rsidRPr="00B10031">
        <w:t>P10_TA(2026)0</w:t>
      </w:r>
      <w:r w:rsidRPr="00B10031" w:rsidR="007711A4">
        <w:t>108</w:t>
      </w:r>
      <w:bookmarkEnd w:id="0"/>
    </w:p>
    <w:p w:rsidR="000B294E" w:rsidRPr="00B10031" w:rsidP="000B294E" w14:paraId="040951E3" w14:textId="77777777">
      <w:pPr>
        <w:pStyle w:val="ATHeading2"/>
      </w:pPr>
      <w:bookmarkStart w:id="1" w:name="title"/>
      <w:r w:rsidRPr="00B10031">
        <w:t xml:space="preserve">Žiadosť o zbavenie Diany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 xml:space="preserve"> imunity</w:t>
      </w:r>
      <w:bookmarkEnd w:id="1"/>
    </w:p>
    <w:p w:rsidR="000B294E" w:rsidRPr="00B10031" w:rsidP="000B294E" w14:paraId="74973280" w14:textId="77777777">
      <w:pPr>
        <w:rPr>
          <w:i/>
          <w:vanish/>
        </w:rPr>
      </w:pPr>
      <w:r>
        <w:rPr>
          <w:i/>
        </w:rPr>
        <w:fldChar w:fldCharType="begin"/>
      </w:r>
      <w:r w:rsidRPr="00B10031">
        <w:rPr>
          <w:i/>
        </w:rPr>
        <w:instrText xml:space="preserve"> TC"(</w:instrText>
      </w:r>
      <w:bookmarkStart w:id="2" w:name="DocNumber"/>
      <w:r w:rsidRPr="00B10031">
        <w:rPr>
          <w:i/>
        </w:rPr>
        <w:instrText>A10-0117/2026</w:instrText>
      </w:r>
      <w:bookmarkEnd w:id="2"/>
      <w:r w:rsidRPr="00B10031">
        <w:rPr>
          <w:i/>
        </w:rPr>
        <w:instrText xml:space="preserve"> - Spravodajca: Dominik </w:instrText>
      </w:r>
      <w:r w:rsidRPr="00B10031">
        <w:rPr>
          <w:i/>
        </w:rPr>
        <w:instrText>Tarczyński</w:instrText>
      </w:r>
      <w:r w:rsidRPr="00B1003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B294E" w:rsidRPr="00B10031" w:rsidP="000B294E" w14:paraId="67794BD0" w14:textId="77777777">
      <w:pPr>
        <w:rPr>
          <w:vanish/>
        </w:rPr>
      </w:pPr>
      <w:bookmarkStart w:id="3" w:name="Commission"/>
      <w:r w:rsidRPr="00B10031">
        <w:rPr>
          <w:vanish/>
        </w:rPr>
        <w:t>Výbor pre právne veci</w:t>
      </w:r>
      <w:bookmarkEnd w:id="3"/>
    </w:p>
    <w:p w:rsidR="000B294E" w:rsidRPr="00B10031" w:rsidP="000B294E" w14:paraId="335E5962" w14:textId="77777777">
      <w:pPr>
        <w:rPr>
          <w:vanish/>
        </w:rPr>
      </w:pPr>
      <w:bookmarkStart w:id="4" w:name="PE"/>
      <w:r w:rsidRPr="00B10031">
        <w:rPr>
          <w:vanish/>
        </w:rPr>
        <w:t>PE785.318</w:t>
      </w:r>
      <w:bookmarkEnd w:id="4"/>
    </w:p>
    <w:p w:rsidR="000B294E" w:rsidRPr="00B10031" w:rsidP="000B294E" w14:paraId="4597D0E1" w14:textId="3F150DD1">
      <w:pPr>
        <w:pStyle w:val="ATHeading3"/>
      </w:pPr>
      <w:bookmarkStart w:id="5" w:name="Sujet"/>
      <w:r w:rsidRPr="00B10031">
        <w:t>Rozhodnutie Európskeho parlamentu z</w:t>
      </w:r>
      <w:r w:rsidRPr="00B10031" w:rsidR="009F1813">
        <w:t> 28. apríla</w:t>
      </w:r>
      <w:r w:rsidRPr="00B10031">
        <w:t xml:space="preserve"> 2026 o žiadosti o zbavenie Diany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 xml:space="preserve"> imunity</w:t>
      </w:r>
      <w:bookmarkEnd w:id="5"/>
      <w:r w:rsidRPr="00B10031">
        <w:t xml:space="preserve"> </w:t>
      </w:r>
      <w:bookmarkStart w:id="6" w:name="References"/>
      <w:r w:rsidRPr="00B10031">
        <w:t>(2025/2196(IMM))</w:t>
      </w:r>
      <w:bookmarkEnd w:id="6"/>
    </w:p>
    <w:p w:rsidR="00E10282" w:rsidRPr="00B10031" w:rsidP="00E10282" w14:paraId="6BADCD47" w14:textId="77777777">
      <w:pPr>
        <w:pStyle w:val="EPComma"/>
      </w:pPr>
      <w:bookmarkStart w:id="7" w:name="TextBodyBegin"/>
      <w:bookmarkEnd w:id="7"/>
      <w:r w:rsidRPr="00B10031">
        <w:rPr>
          <w:i/>
          <w:iCs/>
        </w:rPr>
        <w:t>Európsky parlament</w:t>
      </w:r>
      <w:r w:rsidRPr="00B10031">
        <w:t>,</w:t>
      </w:r>
    </w:p>
    <w:p w:rsidR="00E10282" w:rsidRPr="00B10031" w:rsidP="00E10282" w14:paraId="05A8FBCE" w14:textId="43C947AE">
      <w:pPr>
        <w:pStyle w:val="NormalHanging12a"/>
      </w:pPr>
      <w:r w:rsidRPr="00B10031">
        <w:t>–</w:t>
      </w:r>
      <w:r w:rsidRPr="00B10031">
        <w:tab/>
        <w:t xml:space="preserve">so zreteľom na žiadosť o zbavenie Diany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 xml:space="preserve"> imunity</w:t>
      </w:r>
      <w:r w:rsidRPr="00B10031" w:rsidR="00CE3CF0">
        <w:t>, ktorá bola doručená</w:t>
      </w:r>
      <w:r w:rsidRPr="00B10031">
        <w:t xml:space="preserve"> listom </w:t>
      </w:r>
      <w:r w:rsidRPr="00B10031" w:rsidR="00CE3CF0">
        <w:t>od</w:t>
      </w:r>
      <w:r w:rsidRPr="00B10031">
        <w:t xml:space="preserve"> rumunsk</w:t>
      </w:r>
      <w:r w:rsidRPr="00B10031" w:rsidR="00CE3CF0">
        <w:t>ého</w:t>
      </w:r>
      <w:r w:rsidRPr="00B10031">
        <w:t xml:space="preserve"> ministr</w:t>
      </w:r>
      <w:r w:rsidRPr="00B10031" w:rsidR="00CE3CF0">
        <w:t>a</w:t>
      </w:r>
      <w:r w:rsidRPr="00B10031">
        <w:t xml:space="preserve"> spravodlivosti</w:t>
      </w:r>
      <w:r w:rsidRPr="00B10031" w:rsidR="00CE3CF0">
        <w:t xml:space="preserve"> 24. septembra 2025</w:t>
      </w:r>
      <w:r w:rsidRPr="00B10031">
        <w:t>, ktor</w:t>
      </w:r>
      <w:r w:rsidRPr="00B10031" w:rsidR="00CE3CF0">
        <w:t>ým</w:t>
      </w:r>
      <w:r w:rsidRPr="00B10031">
        <w:t xml:space="preserve"> </w:t>
      </w:r>
      <w:r w:rsidRPr="00B10031" w:rsidR="00CE3CF0">
        <w:t xml:space="preserve">bola </w:t>
      </w:r>
      <w:r w:rsidRPr="00B10031">
        <w:t>postúp</w:t>
      </w:r>
      <w:r w:rsidRPr="00B10031" w:rsidR="00CE3CF0">
        <w:t>ená</w:t>
      </w:r>
      <w:r w:rsidRPr="00B10031">
        <w:t xml:space="preserve"> žiadosť prokuratúr</w:t>
      </w:r>
      <w:r w:rsidRPr="00B10031" w:rsidR="00CE3CF0">
        <w:t>y</w:t>
      </w:r>
      <w:r w:rsidRPr="00B10031">
        <w:t xml:space="preserve"> pri Najvyššom a kasačnom súde Rumunska v súvislosti s trestným konaním začatým proti Diane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>, a</w:t>
      </w:r>
      <w:r w:rsidRPr="00B10031" w:rsidR="00CE3CF0">
        <w:t xml:space="preserve"> ktorá bola </w:t>
      </w:r>
      <w:r w:rsidRPr="00B10031">
        <w:t>oznámen</w:t>
      </w:r>
      <w:r w:rsidRPr="00B10031" w:rsidR="00CE3CF0">
        <w:t>á v Európskom parlamente</w:t>
      </w:r>
      <w:r w:rsidRPr="00B10031">
        <w:t xml:space="preserve"> 9. októbra 2025,</w:t>
      </w:r>
    </w:p>
    <w:p w:rsidR="00E10282" w:rsidRPr="00B10031" w:rsidP="00E10282" w14:paraId="3ED0CD9A" w14:textId="77777777">
      <w:pPr>
        <w:pStyle w:val="NormalHanging12a"/>
      </w:pPr>
      <w:r w:rsidRPr="00B10031">
        <w:t>–</w:t>
      </w:r>
      <w:r w:rsidRPr="00B10031">
        <w:tab/>
        <w:t xml:space="preserve">po vypočutí Diany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 xml:space="preserve"> 24. marca 2026 v súlade s článkom 9 ods. 6 rokovacieho poriadku,</w:t>
      </w:r>
    </w:p>
    <w:p w:rsidR="00E10282" w:rsidRPr="00B10031" w:rsidP="00E10282" w14:paraId="6B6C5686" w14:textId="77777777">
      <w:pPr>
        <w:pStyle w:val="NormalHanging12a"/>
      </w:pPr>
      <w:r w:rsidRPr="00B10031">
        <w:t>–</w:t>
      </w:r>
      <w:r w:rsidRPr="00B10031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:rsidR="00E10282" w:rsidRPr="00B10031" w:rsidP="00E10282" w14:paraId="36403AC2" w14:textId="77777777">
      <w:pPr>
        <w:pStyle w:val="NormalHanging12a"/>
      </w:pPr>
      <w:r w:rsidRPr="00B10031">
        <w:t>–</w:t>
      </w:r>
      <w:r w:rsidRPr="00B10031">
        <w:tab/>
        <w:t>so zreteľom na rozsudky Súdneho dvora Európskej únie z 21. októbra 2008, 19. marca 2010, 6. septembra 2011, 17. januára 2013 a 19. decembra 2019</w:t>
      </w:r>
      <w:r>
        <w:rPr>
          <w:vertAlign w:val="superscript"/>
        </w:rPr>
        <w:footnoteReference w:id="2"/>
      </w:r>
      <w:r w:rsidRPr="00B10031">
        <w:t>,</w:t>
      </w:r>
    </w:p>
    <w:p w:rsidR="00E10282" w:rsidRPr="00B10031" w:rsidP="00E10282" w14:paraId="591AE37D" w14:textId="77777777">
      <w:pPr>
        <w:pStyle w:val="NormalHanging12a"/>
      </w:pPr>
      <w:r w:rsidRPr="00B10031">
        <w:t>–</w:t>
      </w:r>
      <w:r w:rsidRPr="00B10031">
        <w:tab/>
        <w:t>so zreteľom na článok 72 ods. 1 a 2 rumunskej ústavy,</w:t>
      </w:r>
    </w:p>
    <w:p w:rsidR="00E10282" w:rsidRPr="00B10031" w:rsidP="00E10282" w14:paraId="77962965" w14:textId="77777777">
      <w:pPr>
        <w:pStyle w:val="NormalHanging12a"/>
      </w:pPr>
      <w:r w:rsidRPr="00B10031">
        <w:t>–</w:t>
      </w:r>
      <w:r w:rsidRPr="00B10031">
        <w:tab/>
        <w:t>so zreteľom na článok 5 ods. 2, článok 6 ods. 1 a článok 9 rokovacieho poriadku,</w:t>
      </w:r>
    </w:p>
    <w:p w:rsidR="00E10282" w:rsidRPr="00B10031" w:rsidP="00E10282" w14:paraId="56BEF29D" w14:textId="77777777">
      <w:pPr>
        <w:pStyle w:val="NormalHanging12a"/>
      </w:pPr>
      <w:r w:rsidRPr="00B10031">
        <w:t>–</w:t>
      </w:r>
      <w:r w:rsidRPr="00B10031">
        <w:tab/>
        <w:t>so zreteľom na správu Výboru pre právne veci (A10-0117/2026),</w:t>
      </w:r>
    </w:p>
    <w:p w:rsidR="00E10282" w:rsidRPr="00B10031" w:rsidP="00E10282" w14:paraId="766E52AA" w14:textId="77777777">
      <w:pPr>
        <w:pStyle w:val="NormalHanging12a"/>
        <w:rPr>
          <w:color w:val="000000"/>
        </w:rPr>
      </w:pPr>
      <w:r w:rsidRPr="00B10031">
        <w:t>A.</w:t>
      </w:r>
      <w:r w:rsidRPr="00B10031">
        <w:tab/>
        <w:t xml:space="preserve">keďže minister spravodlivosti Rumunska listom z 24. septembra 2025 postúpil žiadosť, ktorú podala prokurátora pri Najvyššom a kasačnom súde Rumunska, o zbavenie Diany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>, poslankyne Európskeho parlamentu zvolenej v Rumunsku, imunity v súvislosti s trestným konaním týkajúcim sa viacerých trestných činov, ktoré boli údajne spáchané v rôznych termínoch od 10. decembra 2021 do 11. februára 2025;</w:t>
      </w:r>
    </w:p>
    <w:p w:rsidR="00E10282" w:rsidRPr="00B10031" w:rsidP="00E10282" w14:paraId="0166379A" w14:textId="77777777">
      <w:pPr>
        <w:pStyle w:val="NormalHanging12a"/>
        <w:rPr>
          <w:color w:val="000000"/>
        </w:rPr>
      </w:pPr>
      <w:r w:rsidRPr="00B10031">
        <w:rPr>
          <w:color w:val="000000"/>
        </w:rPr>
        <w:t>B.</w:t>
      </w:r>
      <w:r w:rsidRPr="00B10031">
        <w:rPr>
          <w:color w:val="000000"/>
        </w:rPr>
        <w:tab/>
        <w:t xml:space="preserve">keďže podľa žiadosti tri osoby podali sťažnosť, že Diana </w:t>
      </w:r>
      <w:r w:rsidRPr="00B10031">
        <w:rPr>
          <w:color w:val="000000"/>
        </w:rPr>
        <w:t>Iovanoviciová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a ďalšie osoby údajne zbavili sťažovateľov a štvrtú osobu slobody približne na 20 minút, a to 10. decembra 2021 v čase od 15.40 do 16.00 h v byte v Bukurešti; keďže tento údajný skutok predstavuje trestný čin podľa článku 205 ods. 1 rumunského Trestného zákona;</w:t>
      </w:r>
    </w:p>
    <w:p w:rsidR="00E10282" w:rsidRPr="00B10031" w:rsidP="00E10282" w14:paraId="496FBB87" w14:textId="7F23AA36">
      <w:pPr>
        <w:pStyle w:val="NormalHanging12a"/>
        <w:rPr>
          <w:color w:val="000000"/>
        </w:rPr>
      </w:pPr>
      <w:r w:rsidRPr="00B10031">
        <w:rPr>
          <w:color w:val="000000"/>
        </w:rPr>
        <w:t>C.</w:t>
      </w:r>
      <w:r w:rsidRPr="00B10031">
        <w:rPr>
          <w:color w:val="000000"/>
        </w:rPr>
        <w:tab/>
        <w:t>keďže podľa žiadosti Národný inštitút rumunskej vlády pre štúdium holokaustu v Rumunsku „</w:t>
      </w:r>
      <w:r w:rsidRPr="00B10031">
        <w:rPr>
          <w:color w:val="000000"/>
        </w:rPr>
        <w:t>Elie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Wiesel</w:t>
      </w:r>
      <w:r w:rsidRPr="00B10031">
        <w:rPr>
          <w:color w:val="000000"/>
        </w:rPr>
        <w:t xml:space="preserve">“ oznámil 28. februára 2024 súdnym orgánom, že na oficiálnom webovom sídle strany SOS </w:t>
      </w:r>
      <w:r w:rsidRPr="00B10031">
        <w:rPr>
          <w:color w:val="000000"/>
        </w:rPr>
        <w:t>România</w:t>
      </w:r>
      <w:r w:rsidRPr="00B10031">
        <w:rPr>
          <w:color w:val="000000"/>
        </w:rPr>
        <w:t xml:space="preserve"> bola 19. februára 2024 údajne uverejnená tlačová správa tejto strany podpísaná Dianou </w:t>
      </w:r>
      <w:r w:rsidRPr="00B10031">
        <w:rPr>
          <w:color w:val="000000"/>
        </w:rPr>
        <w:t>Iovanoviciovou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Șoșoacăovou</w:t>
      </w:r>
      <w:r w:rsidRPr="00B10031">
        <w:rPr>
          <w:color w:val="000000"/>
        </w:rPr>
        <w:t xml:space="preserve"> ako predsedníčkou tej istej strany, v ktorej údajne oslavovala osob</w:t>
      </w:r>
      <w:r w:rsidRPr="00B10031" w:rsidR="00F8457B">
        <w:rPr>
          <w:color w:val="000000"/>
        </w:rPr>
        <w:t>u</w:t>
      </w:r>
      <w:r w:rsidRPr="00B10031">
        <w:rPr>
          <w:color w:val="000000"/>
        </w:rPr>
        <w:t>, ktorá bola podľa rumunského zákona č. 312/1945 o stíhaní a trestaní osôb vinných z</w:t>
      </w:r>
      <w:r w:rsidRPr="00B10031" w:rsidR="00C565D4">
        <w:rPr>
          <w:color w:val="000000"/>
        </w:rPr>
        <w:t xml:space="preserve"> toho, že priviedli krajinu ku </w:t>
      </w:r>
      <w:r w:rsidRPr="00B10031">
        <w:rPr>
          <w:color w:val="000000"/>
        </w:rPr>
        <w:t>katastrof</w:t>
      </w:r>
      <w:r w:rsidRPr="00B10031" w:rsidR="00C565D4">
        <w:rPr>
          <w:color w:val="000000"/>
        </w:rPr>
        <w:t>e</w:t>
      </w:r>
      <w:r w:rsidRPr="00B10031">
        <w:rPr>
          <w:color w:val="000000"/>
        </w:rPr>
        <w:t xml:space="preserve"> alebo </w:t>
      </w:r>
      <w:r w:rsidRPr="00B10031" w:rsidR="00F8457B">
        <w:rPr>
          <w:color w:val="000000"/>
        </w:rPr>
        <w:t xml:space="preserve">z </w:t>
      </w:r>
      <w:r w:rsidRPr="00B10031">
        <w:rPr>
          <w:color w:val="000000"/>
        </w:rPr>
        <w:t>vojnových zločinov odsúdená ako vojnový zločinec; keďže tento údajný skutok predstavuje trestný čin podľa článku 5 mimoriadneho nariadenia rumunskej vlády č. 31/2002;</w:t>
      </w:r>
    </w:p>
    <w:p w:rsidR="00E10282" w:rsidRPr="00B10031" w:rsidP="00E10282" w14:paraId="5E7A06CE" w14:textId="7777777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D.</w:t>
      </w:r>
      <w:r w:rsidRPr="00B10031">
        <w:rPr>
          <w:color w:val="000000"/>
        </w:rPr>
        <w:tab/>
        <w:t xml:space="preserve">keďže podľa žiadosti 27. mája 2024 oznámilo rumunské Centrum pre monitorovanie antisemitizmu a boj proti nemu, že 13. mája a 14. mája 2024 Diana </w:t>
      </w:r>
      <w:r w:rsidRPr="00B10031">
        <w:rPr>
          <w:color w:val="000000"/>
        </w:rPr>
        <w:t>Iovanoviciová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údajne urobila verejné vyhlásenia, a to aj prostredníctvom svojho verejného účtu na Facebooku, keď sa zdržiavala v priestoroch rumunského parlamentu, v ktorých obvinila Židov, že sú kolektívne zodpovední za historické zločiny spáchané na rumunskom ľude; keďže tento údajný skutok predstavuje trestný čin podľa článku 3 rumunského zákona č. 157/2018 o opatreniach na predchádzanie antisemitizmu a boj proti nemu;</w:t>
      </w:r>
    </w:p>
    <w:p w:rsidR="00E10282" w:rsidRPr="00B10031" w:rsidP="00E10282" w14:paraId="0A63ED33" w14:textId="1645C8BD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E.</w:t>
      </w:r>
      <w:r w:rsidRPr="00B10031">
        <w:rPr>
          <w:color w:val="000000"/>
        </w:rPr>
        <w:tab/>
        <w:t xml:space="preserve">keďže podľa žiadosti Diana </w:t>
      </w:r>
      <w:r w:rsidRPr="00B10031">
        <w:rPr>
          <w:color w:val="000000"/>
        </w:rPr>
        <w:t>Iovanoviciová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14. mája 2024, keď sa v zdržiavala v priestoroch rumunského parlamentu, aby sa zúčastnila na spoločnej schôdzi </w:t>
      </w:r>
      <w:r w:rsidRPr="00B10031" w:rsidR="00C565D4">
        <w:rPr>
          <w:color w:val="000000"/>
        </w:rPr>
        <w:t xml:space="preserve">rumunskej </w:t>
      </w:r>
      <w:r w:rsidRPr="00B10031">
        <w:rPr>
          <w:color w:val="000000"/>
        </w:rPr>
        <w:t>Poslaneckej snemovne a Senátu, údajne urobila vyhlásenia, v ktorých obvinila Židov, že sú kolektívne zodpovední za historické zločiny spáchané na rumunskom ľude; keďže tento údajný skutok predstavuje trestný čin podľa článku 6 ods. 1 mimoriadneho nariadenia rumunskej vlády č. 31/2002;</w:t>
      </w:r>
    </w:p>
    <w:p w:rsidR="00E10282" w:rsidRPr="00B10031" w:rsidP="00E10282" w14:paraId="368F6145" w14:textId="2FF1748D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F.</w:t>
      </w:r>
      <w:r w:rsidRPr="00B10031">
        <w:rPr>
          <w:color w:val="000000"/>
        </w:rPr>
        <w:tab/>
        <w:t xml:space="preserve">keďže podľa žiadosti Diana </w:t>
      </w:r>
      <w:r w:rsidRPr="00B10031" w:rsidR="003247D4">
        <w:rPr>
          <w:color w:val="000000"/>
        </w:rPr>
        <w:t>Iovanoviciová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5. a 6. októbra 2024 údajne urobila niekoľko verejných online vyhlásení, v ktorých oslavovala určité osoby a hnutia, ktoré sa podľa rumunského vnútroštátneho práva považovali za osoby, ktoré spáchali vojnové zločiny alebo sa na nich zúčastnili, a obvinila Židov, že sú kolektívne zodpovední za historické a náboženské zločiny; keďže tieto údajné skutky predstavujú trestné činy podľa článku 5 mimoriadneho nariadenia rumunskej vlády č. 31/2002;</w:t>
      </w:r>
    </w:p>
    <w:p w:rsidR="00E10282" w:rsidRPr="00B10031" w:rsidP="00E10282" w14:paraId="35936032" w14:textId="5D11031D">
      <w:pPr>
        <w:pStyle w:val="NormalHanging12a"/>
        <w:rPr>
          <w:color w:val="000000"/>
        </w:rPr>
      </w:pPr>
      <w:r w:rsidRPr="00B10031">
        <w:rPr>
          <w:color w:val="000000"/>
        </w:rPr>
        <w:t>G.</w:t>
      </w:r>
      <w:r w:rsidRPr="00B10031">
        <w:rPr>
          <w:color w:val="000000"/>
        </w:rPr>
        <w:tab/>
        <w:t xml:space="preserve">keďže podľa žiadosti Diana </w:t>
      </w:r>
      <w:r w:rsidRPr="00B10031" w:rsidR="003247D4">
        <w:rPr>
          <w:color w:val="000000"/>
        </w:rPr>
        <w:t>Iovanoviciová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1. decembra 2024 údajne verejne oslavovala osobu odsúdenú za vojnové zločiny podľa rumunského vnútroštátneho práva, a to vyhláseniami urobenými online a pri verejnom propagovaní myšlienok a koncepcií súvisiacich s legionárskym hnutím, ako aj rasistických a xenofóbnych myšlienok a koncepcií vo vzťahu k židovskej komunite; keďže tieto údajné skutky predstavujú trestné činy podľa článku 5 mimoriadneho nariadenia </w:t>
      </w:r>
      <w:r w:rsidRPr="00B10031">
        <w:rPr>
          <w:color w:val="000000"/>
        </w:rPr>
        <w:t>rumunskej vlády č. 31/2002;</w:t>
      </w:r>
    </w:p>
    <w:p w:rsidR="00E10282" w:rsidRPr="00B10031" w:rsidP="00E10282" w14:paraId="71DE269E" w14:textId="7777777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H.</w:t>
      </w:r>
      <w:r w:rsidRPr="00B10031">
        <w:rPr>
          <w:color w:val="000000"/>
        </w:rPr>
        <w:tab/>
        <w:t xml:space="preserve">keďže podľa žiadosti Diana </w:t>
      </w:r>
      <w:r w:rsidRPr="00B10031">
        <w:rPr>
          <w:color w:val="000000"/>
        </w:rPr>
        <w:t>Ivanoviciová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sa 15. decembra 2024 údajne priamo vyhrážala spáchaním násilných činov vo vzťahu k dvom príslušníkom polície pri výkone ich povinností súvisiacich s predtým uloženou správnou pokutou; keďže tento údajný skutok predstavuje trestný čin podľa článku 257 ods. 1 a 4 rumunského Trestného zákona;</w:t>
      </w:r>
    </w:p>
    <w:p w:rsidR="00E10282" w:rsidRPr="00B10031" w:rsidP="00E10282" w14:paraId="727C6E09" w14:textId="2C103F1E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I.</w:t>
      </w:r>
      <w:r w:rsidRPr="00B10031">
        <w:rPr>
          <w:color w:val="000000"/>
        </w:rPr>
        <w:tab/>
        <w:t xml:space="preserve">keďže podľa žiadosti 25. februára 2025 Inštitút pre vyšetrovanie zločinov komunizmu a uctenia si pamiatky rumunského exilu, ktorý je vládnou organizáciou, oznámil súdnym orgánom, že Diana </w:t>
      </w:r>
      <w:r w:rsidRPr="00B10031">
        <w:rPr>
          <w:color w:val="000000"/>
        </w:rPr>
        <w:t>Ivanoviciová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vystúpila 11. februára 2025 s prejavom na plenárnej schôdzi Európskeho parlamentu, počas ktorého </w:t>
      </w:r>
      <w:r w:rsidRPr="00B10031" w:rsidR="00C565D4">
        <w:rPr>
          <w:color w:val="000000"/>
        </w:rPr>
        <w:t xml:space="preserve">údajne </w:t>
      </w:r>
      <w:r w:rsidRPr="00B10031">
        <w:rPr>
          <w:color w:val="000000"/>
        </w:rPr>
        <w:t xml:space="preserve">odporučila svojim kolegom, aby vypracovali stratégie zahraničnej politiky podľa vzoru </w:t>
      </w:r>
      <w:r w:rsidRPr="00B10031">
        <w:rPr>
          <w:color w:val="000000"/>
        </w:rPr>
        <w:t>Nicolae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Ceaușesca</w:t>
      </w:r>
      <w:r w:rsidRPr="00B10031">
        <w:rPr>
          <w:color w:val="000000"/>
        </w:rPr>
        <w:t>, ktorý bol odsúdený za genocídu na základe rozsudku bukureštského Územného vojenského súdu z 25. decembra 1989; keďže tento údajný skutok predstavuje trestný čin podľa článku 5 mimoriadneho nariadenia rumunskej vlády č. 31/2002;</w:t>
      </w:r>
    </w:p>
    <w:p w:rsidR="00E10282" w:rsidRPr="00B10031" w:rsidP="00E10282" w14:paraId="2A964C2D" w14:textId="7777777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J.</w:t>
      </w:r>
      <w:r w:rsidRPr="00B10031">
        <w:rPr>
          <w:color w:val="000000"/>
        </w:rPr>
        <w:tab/>
        <w:t xml:space="preserve">keďže Diana </w:t>
      </w:r>
      <w:r w:rsidRPr="00B10031">
        <w:rPr>
          <w:color w:val="000000"/>
        </w:rPr>
        <w:t>Ivanoviciová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bola zvolená do Európskeho parlamentu vo voľbách do Európskeho parlamentu v júni 2024, a preto nebola poslankyňou Európskeho parlamentu v čase žiadneho z údajných činov uvedených v žiadosti, ku ktorým došlo 10. decembra 2021, 19. februára 2024 a 13. a 14. mája 2024; keďže Diana </w:t>
      </w:r>
      <w:r w:rsidRPr="00B10031">
        <w:rPr>
          <w:color w:val="000000"/>
        </w:rPr>
        <w:t>Ivanoviciová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Șoșoacăová</w:t>
      </w:r>
      <w:r w:rsidRPr="00B10031">
        <w:rPr>
          <w:color w:val="000000"/>
        </w:rPr>
        <w:t xml:space="preserve"> bola poslankyňou Európskeho parlamentu v čase údajných činov uvedených v žiadosti, ku ktorým došlo 5. a 6. októbra 2024, 1. decembra 2024, 15. decembra 2024 a 11. februára 2025; keďže okrem sťažností alebo trestných konaní proti Diane </w:t>
      </w:r>
      <w:r w:rsidRPr="00B10031">
        <w:rPr>
          <w:color w:val="000000"/>
        </w:rPr>
        <w:t>Iovanoviciovej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Șoșoacăovej</w:t>
      </w:r>
      <w:r w:rsidRPr="00B10031">
        <w:rPr>
          <w:color w:val="000000"/>
        </w:rPr>
        <w:t xml:space="preserve"> v súvislosti s údajnými skutkami z 10. decembra 2021 a 19. februára 2024 sa všetky ostatné trestné konania začali po jej zvolení za poslankyňu Európskeho parlamentu;</w:t>
      </w:r>
    </w:p>
    <w:p w:rsidR="00E10282" w:rsidRPr="00B10031" w:rsidP="00E10282" w14:paraId="62F52C64" w14:textId="7777777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K.</w:t>
      </w:r>
      <w:r w:rsidRPr="00B10031">
        <w:rPr>
          <w:color w:val="000000"/>
        </w:rPr>
        <w:tab/>
        <w:t>keďže v článku 8 Protokolu č. 7 o výsadách a imunitách Európskej únie sa stanovuje, že poslanci Európskeho parlamentu nesmú byť vyšetrovaní, zadržaní alebo stíhaní pre názory alebo hlasovanie počas výkonu svojej funkcie;</w:t>
      </w:r>
    </w:p>
    <w:p w:rsidR="00E10282" w:rsidRPr="00B10031" w:rsidP="00E10282" w14:paraId="72B4F48E" w14:textId="7777777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L.</w:t>
      </w:r>
      <w:r w:rsidRPr="00B10031">
        <w:rPr>
          <w:color w:val="000000"/>
        </w:rPr>
        <w:tab/>
        <w:t xml:space="preserve">keďže údajný trestný čin spáchaný 11. februára 2025 v súvislosti s údajným oslavovaním </w:t>
      </w:r>
      <w:r w:rsidRPr="00B10031">
        <w:rPr>
          <w:color w:val="000000"/>
        </w:rPr>
        <w:t>Nicolae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Ceaușesca</w:t>
      </w:r>
      <w:r w:rsidRPr="00B10031">
        <w:rPr>
          <w:color w:val="000000"/>
        </w:rPr>
        <w:t xml:space="preserve">, ktorý bol podľa rumunského vnútroštátneho práva odsúdený ako vojnový zločinec, zahŕňa jej vyhlásenie prednesené na plenárnej schôdzi Európskeho parlamentu v Štrasburgu počas rozpravy o širšej komplexnej stratégii EÚ pre Blízky východ; keďže toto vyhlásenie preto predstavuje vyjadrený názor alebo hlasovanie Diany </w:t>
      </w:r>
      <w:r w:rsidRPr="00B10031">
        <w:rPr>
          <w:color w:val="000000"/>
        </w:rPr>
        <w:t>Ivanoviciovej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Șoșoacăovej</w:t>
      </w:r>
      <w:r w:rsidRPr="00B10031">
        <w:rPr>
          <w:color w:val="000000"/>
        </w:rPr>
        <w:t xml:space="preserve"> pri výkone jej úloh v zmysle článku 8 Protokolu č. 7 o výsadách a imunitách Európskej únie;</w:t>
      </w:r>
    </w:p>
    <w:p w:rsidR="00E10282" w:rsidRPr="00B10031" w:rsidP="00E10282" w14:paraId="2316F1EF" w14:textId="594B2137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M.</w:t>
      </w:r>
      <w:r w:rsidRPr="00B10031">
        <w:rPr>
          <w:color w:val="000000"/>
        </w:rPr>
        <w:tab/>
        <w:t>keďže všetky ďalšie údajné trestné činy</w:t>
      </w:r>
      <w:r w:rsidRPr="00B10031" w:rsidR="00472A23">
        <w:rPr>
          <w:color w:val="000000"/>
        </w:rPr>
        <w:t xml:space="preserve"> nepredstavujú </w:t>
      </w:r>
      <w:r w:rsidRPr="00B10031">
        <w:rPr>
          <w:color w:val="000000"/>
        </w:rPr>
        <w:t>vyjadrený názor alebo hlasovan</w:t>
      </w:r>
      <w:r w:rsidRPr="00B10031" w:rsidR="00472A23">
        <w:rPr>
          <w:color w:val="000000"/>
        </w:rPr>
        <w:t>ie</w:t>
      </w:r>
      <w:r w:rsidRPr="00B10031">
        <w:rPr>
          <w:color w:val="000000"/>
        </w:rPr>
        <w:t xml:space="preserve"> Diany </w:t>
      </w:r>
      <w:r w:rsidRPr="00B10031">
        <w:rPr>
          <w:color w:val="000000"/>
        </w:rPr>
        <w:t>Iovanoviciovej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Șoșoacăovej</w:t>
      </w:r>
      <w:r w:rsidRPr="00B10031">
        <w:rPr>
          <w:color w:val="000000"/>
        </w:rPr>
        <w:t xml:space="preserve"> pri výkone jej úloh v zmysle článku 8 Protokolu č. 7 o výsadách a imunitách Európskej únie</w:t>
      </w:r>
      <w:r w:rsidRPr="00B10031" w:rsidR="00472A23">
        <w:rPr>
          <w:color w:val="000000"/>
        </w:rPr>
        <w:t xml:space="preserve"> a zostávajúca žiadosť o zbavenie Diany </w:t>
      </w:r>
      <w:r w:rsidRPr="00B10031" w:rsidR="00472A23">
        <w:rPr>
          <w:color w:val="000000"/>
        </w:rPr>
        <w:t>Iovanoviciovej</w:t>
      </w:r>
      <w:r w:rsidRPr="00B10031" w:rsidR="00472A23">
        <w:rPr>
          <w:color w:val="000000"/>
        </w:rPr>
        <w:t xml:space="preserve"> </w:t>
      </w:r>
      <w:r w:rsidRPr="00B10031" w:rsidR="00472A23">
        <w:rPr>
          <w:color w:val="000000"/>
        </w:rPr>
        <w:t>Șoșoacăovej</w:t>
      </w:r>
      <w:r w:rsidRPr="00B10031" w:rsidR="00472A23">
        <w:rPr>
          <w:color w:val="000000"/>
        </w:rPr>
        <w:t xml:space="preserve"> imunity s tým nesúvisí</w:t>
      </w:r>
      <w:r w:rsidRPr="00B10031">
        <w:rPr>
          <w:color w:val="000000"/>
        </w:rPr>
        <w:t>;</w:t>
      </w:r>
    </w:p>
    <w:p w:rsidR="00E10282" w:rsidRPr="00B10031" w:rsidP="00E10282" w14:paraId="424C2B86" w14:textId="3246151F">
      <w:pPr>
        <w:pStyle w:val="NormalHanging12a"/>
        <w:rPr>
          <w:bCs/>
          <w:iCs/>
          <w:color w:val="000000"/>
        </w:rPr>
      </w:pPr>
      <w:r w:rsidRPr="00B10031">
        <w:rPr>
          <w:color w:val="000000"/>
        </w:rPr>
        <w:t>N.</w:t>
      </w:r>
      <w:r w:rsidRPr="00B10031">
        <w:rPr>
          <w:color w:val="000000"/>
        </w:rPr>
        <w:tab/>
        <w:t xml:space="preserve">keďže v článku 9 </w:t>
      </w:r>
      <w:r w:rsidRPr="00B10031" w:rsidR="00C565D4">
        <w:rPr>
          <w:color w:val="000000"/>
        </w:rPr>
        <w:t>prvom odseku</w:t>
      </w:r>
      <w:r w:rsidRPr="00B10031">
        <w:rPr>
          <w:color w:val="000000"/>
        </w:rPr>
        <w:t xml:space="preserve"> písm. a) Protokolu č. 7 o výsadách a imunitách Európskej únie sa stanovuje, že v priebehu zasadnutia Európskeho parlamentu požívajú poslanci Európskeho parlamentu na území ich vlastného</w:t>
      </w:r>
      <w:r w:rsidRPr="00B10031" w:rsidR="00472A23">
        <w:rPr>
          <w:color w:val="000000"/>
        </w:rPr>
        <w:t xml:space="preserve"> členského</w:t>
      </w:r>
      <w:r w:rsidRPr="00B10031">
        <w:rPr>
          <w:color w:val="000000"/>
        </w:rPr>
        <w:t xml:space="preserve"> štátu imunitu priznanú členom parlamentu ich členského štátu;</w:t>
      </w:r>
    </w:p>
    <w:p w:rsidR="00E10282" w:rsidRPr="00B10031" w:rsidP="00E10282" w14:paraId="7F2E9B60" w14:textId="77777777">
      <w:pPr>
        <w:pStyle w:val="NormalHanging12a"/>
        <w:rPr>
          <w:color w:val="000000"/>
        </w:rPr>
      </w:pPr>
      <w:r w:rsidRPr="00B10031">
        <w:rPr>
          <w:color w:val="000000"/>
        </w:rPr>
        <w:t>O.</w:t>
      </w:r>
      <w:r w:rsidRPr="00B10031">
        <w:rPr>
          <w:color w:val="000000"/>
        </w:rPr>
        <w:tab/>
        <w:t>keďže článok 72 ods. 1 a 2 rumunskej ústavy stanovuje, že:</w:t>
      </w:r>
    </w:p>
    <w:p w:rsidR="00E10282" w:rsidRPr="00B10031" w:rsidP="009F1813" w14:paraId="3A0BC110" w14:textId="68019751">
      <w:pPr>
        <w:pStyle w:val="NormalHanging12a"/>
        <w:ind w:left="1134"/>
        <w:rPr>
          <w:color w:val="000000"/>
        </w:rPr>
      </w:pPr>
      <w:r w:rsidRPr="00B10031">
        <w:rPr>
          <w:color w:val="000000"/>
        </w:rPr>
        <w:t>„1.</w:t>
      </w:r>
      <w:r w:rsidRPr="00B10031">
        <w:rPr>
          <w:color w:val="000000"/>
        </w:rPr>
        <w:tab/>
      </w:r>
      <w:r w:rsidRPr="00B10031" w:rsidR="00C90F4B">
        <w:rPr>
          <w:color w:val="000000"/>
        </w:rPr>
        <w:t>ž</w:t>
      </w:r>
      <w:r w:rsidRPr="00B10031">
        <w:rPr>
          <w:color w:val="000000"/>
        </w:rPr>
        <w:t>iaden poslanec ani senátor nemôže byť trestne stíhaný za odovzdané hlasy alebo politické názory vyjadrené pri výkone svojej funkcie</w:t>
      </w:r>
      <w:r w:rsidRPr="00B10031" w:rsidR="00C90F4B">
        <w:rPr>
          <w:color w:val="000000"/>
        </w:rPr>
        <w:t>;</w:t>
      </w:r>
    </w:p>
    <w:p w:rsidR="00E10282" w:rsidRPr="00B10031" w:rsidP="007711A4" w14:paraId="6FFA6125" w14:textId="2BAF299F">
      <w:pPr>
        <w:pStyle w:val="NormalHanging12a"/>
        <w:ind w:left="1134"/>
        <w:rPr>
          <w:color w:val="000000"/>
        </w:rPr>
      </w:pPr>
      <w:r w:rsidRPr="00B10031">
        <w:rPr>
          <w:color w:val="000000"/>
        </w:rPr>
        <w:t>2.</w:t>
      </w:r>
      <w:r w:rsidRPr="00B10031">
        <w:rPr>
          <w:color w:val="000000"/>
        </w:rPr>
        <w:tab/>
      </w:r>
      <w:r w:rsidRPr="00B10031" w:rsidR="00C90F4B">
        <w:rPr>
          <w:color w:val="000000"/>
        </w:rPr>
        <w:t>p</w:t>
      </w:r>
      <w:r w:rsidRPr="00B10031">
        <w:rPr>
          <w:color w:val="000000"/>
        </w:rPr>
        <w:t>oslanci a senátori môžu byť podrobení trestnému stíhaniu alebo byť postavení pred súd za činnosti, ktoré nie sú spojené s hlasovaním alebo politickými názormi vyjadrenými pri výkone ich funkcie, ale vykonať prehliadku, zadržať a uväzniť ich možno len so súhlasom komory, ktorej sú členom, a to až po ich riadnom vypočutí. Stíhať a obviniť ich môže len prokuratúra pri Najvyššom a kasačnom súde. Príslušný súd pre tieto prípady je Najvyšší a kasačný súd”;</w:t>
      </w:r>
    </w:p>
    <w:p w:rsidR="00E10282" w:rsidRPr="00B10031" w:rsidP="00E10282" w14:paraId="736DBC94" w14:textId="79DC7F0B">
      <w:pPr>
        <w:pStyle w:val="NormalHanging12a"/>
        <w:rPr>
          <w:color w:val="000000"/>
        </w:rPr>
      </w:pPr>
      <w:r w:rsidRPr="00B10031">
        <w:rPr>
          <w:color w:val="000000"/>
        </w:rPr>
        <w:t>P.</w:t>
      </w:r>
      <w:r w:rsidRPr="00B10031">
        <w:rPr>
          <w:color w:val="000000"/>
        </w:rPr>
        <w:tab/>
        <w:t xml:space="preserve">keďže účelom imunity podľa Protokolu č. 7 o výsadách a imunitách Európskej únie je chrániť </w:t>
      </w:r>
      <w:r w:rsidRPr="00B10031" w:rsidR="009F1813">
        <w:rPr>
          <w:color w:val="000000"/>
        </w:rPr>
        <w:t>Európsky p</w:t>
      </w:r>
      <w:r w:rsidRPr="00B10031">
        <w:rPr>
          <w:color w:val="000000"/>
        </w:rPr>
        <w:t>arlament a jeho poslancov pred súdnymi konaniami v súvislosti s činnosťami vykonávanými pri plnení poslaneckých povinností, ktoré nemožno oddeliť od týchto povinností;</w:t>
      </w:r>
    </w:p>
    <w:p w:rsidR="00E10282" w:rsidRPr="00B10031" w:rsidP="00E10282" w14:paraId="53E86895" w14:textId="77777777">
      <w:pPr>
        <w:pStyle w:val="NormalHanging12a"/>
        <w:rPr>
          <w:color w:val="000000"/>
        </w:rPr>
      </w:pPr>
      <w:r w:rsidRPr="00B10031">
        <w:rPr>
          <w:color w:val="000000"/>
        </w:rPr>
        <w:t>Q.</w:t>
      </w:r>
      <w:r w:rsidRPr="00B10031">
        <w:rPr>
          <w:color w:val="000000"/>
        </w:rPr>
        <w:tab/>
        <w:t>keďže v súlade s článkom 5 ods. 2 rokovacieho poriadku poslanecká imunita nie je osobná výsada poslanca, ale záruka nezávislosti Európskeho parlamentu ako celku a jeho poslancov;</w:t>
      </w:r>
    </w:p>
    <w:p w:rsidR="00E10282" w:rsidRPr="00B10031" w:rsidP="00E10282" w14:paraId="16010ED9" w14:textId="18EECB03">
      <w:pPr>
        <w:pStyle w:val="NormalHanging12a"/>
        <w:rPr>
          <w:color w:val="000000"/>
        </w:rPr>
      </w:pPr>
      <w:r w:rsidRPr="00B10031">
        <w:rPr>
          <w:color w:val="000000"/>
        </w:rPr>
        <w:t>R.</w:t>
      </w:r>
      <w:r w:rsidRPr="00B10031">
        <w:rPr>
          <w:color w:val="000000"/>
        </w:rPr>
        <w:tab/>
        <w:t xml:space="preserve">keďže </w:t>
      </w:r>
      <w:r w:rsidRPr="00B10031" w:rsidR="009F1813">
        <w:rPr>
          <w:color w:val="000000"/>
        </w:rPr>
        <w:t xml:space="preserve">v tomto prípade </w:t>
      </w:r>
      <w:r w:rsidRPr="00B10031">
        <w:rPr>
          <w:color w:val="000000"/>
        </w:rPr>
        <w:t xml:space="preserve">Európsky parlament nenašiel žiadny dôkaz </w:t>
      </w:r>
      <w:r w:rsidRPr="00B10031">
        <w:rPr>
          <w:i/>
          <w:iCs/>
          <w:color w:val="000000"/>
        </w:rPr>
        <w:t>fumus</w:t>
      </w:r>
      <w:r w:rsidRPr="00B10031">
        <w:rPr>
          <w:i/>
          <w:iCs/>
          <w:color w:val="000000"/>
        </w:rPr>
        <w:t xml:space="preserve"> </w:t>
      </w:r>
      <w:r w:rsidRPr="00B10031">
        <w:rPr>
          <w:i/>
          <w:iCs/>
          <w:color w:val="000000"/>
        </w:rPr>
        <w:t>persecutionis</w:t>
      </w:r>
      <w:r w:rsidRPr="00B10031">
        <w:rPr>
          <w:color w:val="000000"/>
        </w:rPr>
        <w:t xml:space="preserve">, t. j. </w:t>
      </w:r>
      <w:r w:rsidRPr="00B10031" w:rsidR="00C90F4B">
        <w:rPr>
          <w:color w:val="000000"/>
        </w:rPr>
        <w:t>nezdá sa</w:t>
      </w:r>
      <w:r w:rsidRPr="00B10031">
        <w:rPr>
          <w:color w:val="000000"/>
        </w:rPr>
        <w:t xml:space="preserve">, že </w:t>
      </w:r>
      <w:r w:rsidRPr="00B10031" w:rsidR="00C90F4B">
        <w:rPr>
          <w:color w:val="000000"/>
        </w:rPr>
        <w:t xml:space="preserve">zámerom </w:t>
      </w:r>
      <w:r w:rsidRPr="00B10031">
        <w:rPr>
          <w:color w:val="000000"/>
        </w:rPr>
        <w:t>predmetné</w:t>
      </w:r>
      <w:r w:rsidRPr="00B10031" w:rsidR="00C90F4B">
        <w:rPr>
          <w:color w:val="000000"/>
        </w:rPr>
        <w:t>ho</w:t>
      </w:r>
      <w:r w:rsidRPr="00B10031">
        <w:rPr>
          <w:color w:val="000000"/>
        </w:rPr>
        <w:t xml:space="preserve"> súdne</w:t>
      </w:r>
      <w:r w:rsidRPr="00B10031" w:rsidR="00C90F4B">
        <w:rPr>
          <w:color w:val="000000"/>
        </w:rPr>
        <w:t>ho</w:t>
      </w:r>
      <w:r w:rsidRPr="00B10031">
        <w:rPr>
          <w:color w:val="000000"/>
        </w:rPr>
        <w:t xml:space="preserve"> konani</w:t>
      </w:r>
      <w:r w:rsidRPr="00B10031" w:rsidR="00C90F4B">
        <w:rPr>
          <w:color w:val="000000"/>
        </w:rPr>
        <w:t>a</w:t>
      </w:r>
      <w:r w:rsidRPr="00B10031">
        <w:rPr>
          <w:color w:val="000000"/>
        </w:rPr>
        <w:t xml:space="preserve"> </w:t>
      </w:r>
      <w:r w:rsidRPr="00B10031" w:rsidR="00C90F4B">
        <w:rPr>
          <w:color w:val="000000"/>
        </w:rPr>
        <w:t>je</w:t>
      </w:r>
      <w:r w:rsidRPr="00B10031">
        <w:rPr>
          <w:color w:val="000000"/>
        </w:rPr>
        <w:t xml:space="preserve"> poškodiť politickú činnosť Diany </w:t>
      </w:r>
      <w:r w:rsidRPr="00B10031">
        <w:rPr>
          <w:color w:val="000000"/>
        </w:rPr>
        <w:t>Iovanoviciovej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Șoșoacăovej</w:t>
      </w:r>
      <w:r w:rsidRPr="00B10031">
        <w:rPr>
          <w:color w:val="000000"/>
        </w:rPr>
        <w:t xml:space="preserve"> ako poslankyne Európskeho parlamentu</w:t>
      </w:r>
      <w:r w:rsidRPr="00B10031" w:rsidR="00A61539">
        <w:rPr>
          <w:color w:val="000000"/>
        </w:rPr>
        <w:t>, a tým aj nezávislosť Európskeho parlamentu</w:t>
      </w:r>
      <w:r w:rsidRPr="00B10031">
        <w:rPr>
          <w:color w:val="000000"/>
        </w:rPr>
        <w:t>;</w:t>
      </w:r>
    </w:p>
    <w:p w:rsidR="00E10282" w:rsidRPr="00B10031" w:rsidP="00E10282" w14:paraId="41A351D4" w14:textId="1BEEDF33">
      <w:pPr>
        <w:pStyle w:val="NormalHanging12a"/>
        <w:rPr>
          <w:color w:val="000000"/>
        </w:rPr>
      </w:pPr>
      <w:r w:rsidRPr="00B10031">
        <w:rPr>
          <w:color w:val="000000"/>
        </w:rPr>
        <w:t>S.</w:t>
      </w:r>
      <w:r w:rsidRPr="00B10031">
        <w:rPr>
          <w:color w:val="000000"/>
        </w:rPr>
        <w:tab/>
        <w:t xml:space="preserve">keďže na jednej strane </w:t>
      </w:r>
      <w:r w:rsidRPr="00B10031" w:rsidR="009F1813">
        <w:rPr>
          <w:color w:val="000000"/>
        </w:rPr>
        <w:t>Európsky p</w:t>
      </w:r>
      <w:r w:rsidRPr="00B10031">
        <w:rPr>
          <w:color w:val="000000"/>
        </w:rPr>
        <w:t>arlament nemožno považovať za súd a na druhej strane poslanec nemôže byť v súvislosti s postupom zbavenia imunity považovaný za „obvineného“</w:t>
      </w:r>
      <w:r>
        <w:rPr>
          <w:color w:val="000000"/>
          <w:vertAlign w:val="superscript"/>
        </w:rPr>
        <w:footnoteReference w:id="3"/>
      </w:r>
      <w:r w:rsidRPr="00B10031">
        <w:rPr>
          <w:color w:val="000000"/>
        </w:rPr>
        <w:t>;</w:t>
      </w:r>
    </w:p>
    <w:p w:rsidR="00E10282" w:rsidRPr="00B10031" w:rsidP="00E10282" w14:paraId="3187184B" w14:textId="77777777">
      <w:pPr>
        <w:pStyle w:val="NormalHanging12a"/>
        <w:rPr>
          <w:color w:val="000000"/>
        </w:rPr>
      </w:pPr>
      <w:r w:rsidRPr="00B10031">
        <w:rPr>
          <w:color w:val="000000"/>
        </w:rPr>
        <w:t>1.</w:t>
      </w:r>
      <w:r w:rsidRPr="00B10031">
        <w:rPr>
          <w:color w:val="000000"/>
        </w:rPr>
        <w:tab/>
        <w:t xml:space="preserve">rozhodol zbaviť Dianu </w:t>
      </w:r>
      <w:r w:rsidRPr="00B10031">
        <w:rPr>
          <w:color w:val="000000"/>
        </w:rPr>
        <w:t>Iovanoviciovú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Șoșoacăovú</w:t>
      </w:r>
      <w:r w:rsidRPr="00B10031">
        <w:rPr>
          <w:color w:val="000000"/>
        </w:rPr>
        <w:t xml:space="preserve"> imunity v súvislosti s údajnými trestnými činmi uvedenými v bodoch B, C, D, E, F, G a H;</w:t>
      </w:r>
    </w:p>
    <w:p w:rsidR="00E10282" w:rsidRPr="00B10031" w:rsidP="00E10282" w14:paraId="26BBCCC4" w14:textId="77777777">
      <w:pPr>
        <w:pStyle w:val="NormalHanging12a"/>
        <w:rPr>
          <w:color w:val="000000"/>
        </w:rPr>
      </w:pPr>
      <w:r w:rsidRPr="00B10031">
        <w:rPr>
          <w:color w:val="000000"/>
        </w:rPr>
        <w:t>2.</w:t>
      </w:r>
      <w:r w:rsidRPr="00B10031">
        <w:rPr>
          <w:color w:val="000000"/>
        </w:rPr>
        <w:tab/>
        <w:t xml:space="preserve">rozhodol nezbaviť Dianu </w:t>
      </w:r>
      <w:r w:rsidRPr="00B10031">
        <w:rPr>
          <w:color w:val="000000"/>
        </w:rPr>
        <w:t>Iovanoviciovú</w:t>
      </w:r>
      <w:r w:rsidRPr="00B10031">
        <w:rPr>
          <w:color w:val="000000"/>
        </w:rPr>
        <w:t xml:space="preserve"> </w:t>
      </w:r>
      <w:r w:rsidRPr="00B10031">
        <w:rPr>
          <w:color w:val="000000"/>
        </w:rPr>
        <w:t>Șoșoacăovú</w:t>
      </w:r>
      <w:r w:rsidRPr="00B10031">
        <w:rPr>
          <w:color w:val="000000"/>
        </w:rPr>
        <w:t xml:space="preserve"> imunity v súvislosti s údajným trestným činom uvedeným v bode I;</w:t>
      </w:r>
    </w:p>
    <w:p w:rsidR="000F00E2" w:rsidRPr="00B10031" w:rsidP="000F00E2" w14:paraId="0DAB34AD" w14:textId="23DA0BD3">
      <w:pPr>
        <w:pStyle w:val="NormalHanging12a"/>
      </w:pPr>
      <w:r w:rsidRPr="00B10031">
        <w:t>3.</w:t>
      </w:r>
      <w:r w:rsidRPr="00B10031">
        <w:tab/>
        <w:t xml:space="preserve">poveruje svoju predsedníčku, aby bezodkladne postúpila toto rozhodnutie a správu gestorského výboru príslušným rumunským orgánom a Diane </w:t>
      </w:r>
      <w:r w:rsidRPr="00B10031">
        <w:t>Iovanoviciovej</w:t>
      </w:r>
      <w:r w:rsidRPr="00B10031">
        <w:t xml:space="preserve"> </w:t>
      </w:r>
      <w:r w:rsidRPr="00B10031">
        <w:t>Șoșoacăovej</w:t>
      </w:r>
      <w:r w:rsidRPr="00B10031">
        <w:t>.</w:t>
      </w:r>
    </w:p>
    <w:sectPr w:rsidSect="000F00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7B78B43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4F3EBA2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3A3B0CE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B294E" w:rsidRPr="000F00E2" w14:paraId="7FD0AC2D" w14:textId="77777777">
      <w:r w:rsidRPr="000F00E2">
        <w:separator/>
      </w:r>
    </w:p>
  </w:footnote>
  <w:footnote w:type="continuationSeparator" w:id="1">
    <w:p w:rsidR="000B294E" w:rsidRPr="000F00E2" w14:paraId="1E211BDD" w14:textId="77777777">
      <w:r w:rsidRPr="000F00E2">
        <w:continuationSeparator/>
      </w:r>
    </w:p>
  </w:footnote>
  <w:footnote w:id="2">
    <w:p w:rsidR="00E10282" w:rsidRPr="000F00E2" w:rsidP="000F00E2" w14:paraId="2285C0BF" w14:textId="6D801F00">
      <w:pPr>
        <w:pStyle w:val="FootnoteText"/>
        <w:ind w:left="567" w:hanging="567"/>
        <w:rPr>
          <w:sz w:val="24"/>
          <w:lang w:val="sk-SK"/>
        </w:rPr>
      </w:pPr>
      <w:r w:rsidRPr="000F00E2">
        <w:rPr>
          <w:rStyle w:val="FootnoteReference"/>
          <w:sz w:val="24"/>
          <w:lang w:val="sk-SK"/>
        </w:rPr>
        <w:footnoteRef/>
      </w:r>
      <w:r w:rsidRPr="000F00E2" w:rsidR="000F00E2">
        <w:rPr>
          <w:sz w:val="24"/>
          <w:lang w:val="sk-SK"/>
        </w:rPr>
        <w:t xml:space="preserve"> </w:t>
      </w:r>
      <w:r w:rsidRPr="000F00E2" w:rsidR="000F00E2">
        <w:rPr>
          <w:sz w:val="24"/>
          <w:lang w:val="sk-SK"/>
        </w:rPr>
        <w:tab/>
      </w:r>
      <w:r w:rsidRPr="009F1813">
        <w:rPr>
          <w:sz w:val="24"/>
          <w:lang w:val="sk-SK"/>
        </w:rPr>
        <w:t xml:space="preserve">Rozsudok Súdneho dvora z 21. októbra 2008, </w:t>
      </w:r>
      <w:r w:rsidRPr="007711A4">
        <w:rPr>
          <w:sz w:val="24"/>
          <w:lang w:val="sk-SK"/>
        </w:rPr>
        <w:t>Marra</w:t>
      </w:r>
      <w:r w:rsidRPr="007711A4">
        <w:rPr>
          <w:sz w:val="24"/>
          <w:lang w:val="sk-SK"/>
        </w:rPr>
        <w:t xml:space="preserve">/De </w:t>
      </w:r>
      <w:r w:rsidRPr="007711A4">
        <w:rPr>
          <w:sz w:val="24"/>
          <w:lang w:val="sk-SK"/>
        </w:rPr>
        <w:t>Gregorio</w:t>
      </w:r>
      <w:r w:rsidRPr="007711A4">
        <w:rPr>
          <w:sz w:val="24"/>
          <w:lang w:val="sk-SK"/>
        </w:rPr>
        <w:t xml:space="preserve"> a </w:t>
      </w:r>
      <w:r w:rsidRPr="007711A4">
        <w:rPr>
          <w:sz w:val="24"/>
          <w:lang w:val="sk-SK"/>
        </w:rPr>
        <w:t>Clemente</w:t>
      </w:r>
      <w:r w:rsidRPr="009F1813">
        <w:rPr>
          <w:sz w:val="24"/>
          <w:lang w:val="sk-SK"/>
        </w:rPr>
        <w:t xml:space="preserve">, C-200/07 a C-201/07, ECLI:EU:C:2008:579; rozsudok Všeobecného súdu z 19. marca 2010, </w:t>
      </w:r>
      <w:r w:rsidRPr="007711A4">
        <w:rPr>
          <w:sz w:val="24"/>
          <w:lang w:val="sk-SK"/>
        </w:rPr>
        <w:t>Gollnisch</w:t>
      </w:r>
      <w:r w:rsidRPr="007711A4">
        <w:rPr>
          <w:sz w:val="24"/>
          <w:lang w:val="sk-SK"/>
        </w:rPr>
        <w:t>/Parlament</w:t>
      </w:r>
      <w:r w:rsidRPr="009F1813">
        <w:rPr>
          <w:sz w:val="24"/>
          <w:lang w:val="sk-SK"/>
        </w:rPr>
        <w:t xml:space="preserve">, T-42/06, ECLI:EU:T:2010:102; rozsudok Súdneho dvora zo 6. septembra 2011, </w:t>
      </w:r>
      <w:r w:rsidRPr="007711A4">
        <w:rPr>
          <w:sz w:val="24"/>
          <w:lang w:val="sk-SK"/>
        </w:rPr>
        <w:t>Patriciello</w:t>
      </w:r>
      <w:r w:rsidRPr="009F1813">
        <w:rPr>
          <w:sz w:val="24"/>
          <w:lang w:val="sk-SK"/>
        </w:rPr>
        <w:t xml:space="preserve">, C-163/10, ECLI: EU:C:2011:543; rozsudok Všeobecného súdu zo 17. januára 2013, </w:t>
      </w:r>
      <w:r w:rsidRPr="007711A4">
        <w:rPr>
          <w:sz w:val="24"/>
          <w:lang w:val="sk-SK"/>
        </w:rPr>
        <w:t>Gollnisch</w:t>
      </w:r>
      <w:r w:rsidRPr="007711A4">
        <w:rPr>
          <w:sz w:val="24"/>
          <w:lang w:val="sk-SK"/>
        </w:rPr>
        <w:t>/Parlament</w:t>
      </w:r>
      <w:r w:rsidRPr="009F1813">
        <w:rPr>
          <w:sz w:val="24"/>
          <w:lang w:val="sk-SK"/>
        </w:rPr>
        <w:t>, T-346/11 a T-347/11, ECLI:EU:T:2013:23 rozsudok Súdneho dvora z 19. decembra 2019,</w:t>
      </w:r>
      <w:r w:rsidRPr="007711A4">
        <w:rPr>
          <w:sz w:val="24"/>
          <w:lang w:val="sk-SK"/>
        </w:rPr>
        <w:t xml:space="preserve"> </w:t>
      </w:r>
      <w:r w:rsidRPr="007711A4">
        <w:rPr>
          <w:sz w:val="24"/>
          <w:lang w:val="sk-SK"/>
        </w:rPr>
        <w:t>Junqueras</w:t>
      </w:r>
      <w:r w:rsidRPr="007711A4">
        <w:rPr>
          <w:sz w:val="24"/>
          <w:lang w:val="sk-SK"/>
        </w:rPr>
        <w:t xml:space="preserve"> </w:t>
      </w:r>
      <w:r w:rsidRPr="007711A4">
        <w:rPr>
          <w:sz w:val="24"/>
          <w:lang w:val="sk-SK"/>
        </w:rPr>
        <w:t>Vies</w:t>
      </w:r>
      <w:r w:rsidRPr="009F1813">
        <w:rPr>
          <w:sz w:val="24"/>
          <w:lang w:val="sk-SK"/>
        </w:rPr>
        <w:t>, C-502/19, ECLI:EU:C:2019:1115</w:t>
      </w:r>
      <w:r w:rsidRPr="000F00E2">
        <w:rPr>
          <w:sz w:val="24"/>
          <w:lang w:val="sk-SK"/>
        </w:rPr>
        <w:t>.</w:t>
      </w:r>
    </w:p>
  </w:footnote>
  <w:footnote w:id="3">
    <w:p w:rsidR="00E10282" w:rsidRPr="000F00E2" w:rsidP="000F00E2" w14:paraId="0040254D" w14:textId="0A1A33DA">
      <w:pPr>
        <w:pStyle w:val="FootnoteText"/>
        <w:ind w:left="567" w:hanging="567"/>
        <w:rPr>
          <w:sz w:val="24"/>
          <w:lang w:val="sk-SK"/>
        </w:rPr>
      </w:pPr>
      <w:r w:rsidRPr="000F00E2">
        <w:rPr>
          <w:rStyle w:val="FootnoteReference"/>
          <w:sz w:val="24"/>
          <w:lang w:val="sk-SK"/>
        </w:rPr>
        <w:footnoteRef/>
      </w:r>
      <w:r w:rsidRPr="000F00E2" w:rsidR="000F00E2">
        <w:rPr>
          <w:sz w:val="24"/>
          <w:lang w:val="sk-SK"/>
        </w:rPr>
        <w:t xml:space="preserve"> </w:t>
      </w:r>
      <w:r w:rsidRPr="000F00E2" w:rsidR="000F00E2">
        <w:rPr>
          <w:sz w:val="24"/>
          <w:lang w:val="sk-SK"/>
        </w:rPr>
        <w:tab/>
      </w:r>
      <w:r w:rsidRPr="000F00E2">
        <w:rPr>
          <w:sz w:val="24"/>
          <w:lang w:val="sk-SK"/>
        </w:rPr>
        <w:t xml:space="preserve">Rozsudok Všeobecného súdu z 30. apríla 2019, </w:t>
      </w:r>
      <w:r w:rsidRPr="007711A4">
        <w:rPr>
          <w:sz w:val="24"/>
          <w:lang w:val="sk-SK"/>
        </w:rPr>
        <w:t>Briois</w:t>
      </w:r>
      <w:r w:rsidRPr="007711A4">
        <w:rPr>
          <w:sz w:val="24"/>
          <w:lang w:val="sk-SK"/>
        </w:rPr>
        <w:t>/Parlament</w:t>
      </w:r>
      <w:r w:rsidRPr="000F00E2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1007440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29A567C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F00E2" w14:paraId="01241CF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0542197">
    <w:abstractNumId w:val="9"/>
  </w:num>
  <w:num w:numId="2" w16cid:durableId="1643003289">
    <w:abstractNumId w:val="9"/>
  </w:num>
  <w:num w:numId="3" w16cid:durableId="1645768684">
    <w:abstractNumId w:val="7"/>
  </w:num>
  <w:num w:numId="4" w16cid:durableId="514654465">
    <w:abstractNumId w:val="7"/>
  </w:num>
  <w:num w:numId="5" w16cid:durableId="1942642914">
    <w:abstractNumId w:val="6"/>
  </w:num>
  <w:num w:numId="6" w16cid:durableId="596448505">
    <w:abstractNumId w:val="6"/>
  </w:num>
  <w:num w:numId="7" w16cid:durableId="2062244200">
    <w:abstractNumId w:val="5"/>
  </w:num>
  <w:num w:numId="8" w16cid:durableId="845898464">
    <w:abstractNumId w:val="5"/>
  </w:num>
  <w:num w:numId="9" w16cid:durableId="1608387009">
    <w:abstractNumId w:val="4"/>
  </w:num>
  <w:num w:numId="10" w16cid:durableId="13314618">
    <w:abstractNumId w:val="4"/>
  </w:num>
  <w:num w:numId="11" w16cid:durableId="2036150501">
    <w:abstractNumId w:val="8"/>
  </w:num>
  <w:num w:numId="12" w16cid:durableId="1939487069">
    <w:abstractNumId w:val="8"/>
  </w:num>
  <w:num w:numId="13" w16cid:durableId="592393785">
    <w:abstractNumId w:val="3"/>
  </w:num>
  <w:num w:numId="14" w16cid:durableId="321008519">
    <w:abstractNumId w:val="3"/>
  </w:num>
  <w:num w:numId="15" w16cid:durableId="113527132">
    <w:abstractNumId w:val="2"/>
  </w:num>
  <w:num w:numId="16" w16cid:durableId="535120824">
    <w:abstractNumId w:val="2"/>
  </w:num>
  <w:num w:numId="17" w16cid:durableId="492330230">
    <w:abstractNumId w:val="1"/>
  </w:num>
  <w:num w:numId="18" w16cid:durableId="2013751322">
    <w:abstractNumId w:val="1"/>
  </w:num>
  <w:num w:numId="19" w16cid:durableId="791242886">
    <w:abstractNumId w:val="0"/>
  </w:num>
  <w:num w:numId="20" w16cid:durableId="1176264994">
    <w:abstractNumId w:val="0"/>
  </w:num>
  <w:num w:numId="21" w16cid:durableId="1069309753">
    <w:abstractNumId w:val="9"/>
  </w:num>
  <w:num w:numId="22" w16cid:durableId="396055265">
    <w:abstractNumId w:val="7"/>
  </w:num>
  <w:num w:numId="23" w16cid:durableId="1169366072">
    <w:abstractNumId w:val="6"/>
  </w:num>
  <w:num w:numId="24" w16cid:durableId="1386490549">
    <w:abstractNumId w:val="5"/>
  </w:num>
  <w:num w:numId="25" w16cid:durableId="1667975931">
    <w:abstractNumId w:val="4"/>
  </w:num>
  <w:num w:numId="26" w16cid:durableId="1517960480">
    <w:abstractNumId w:val="8"/>
  </w:num>
  <w:num w:numId="27" w16cid:durableId="541400348">
    <w:abstractNumId w:val="3"/>
  </w:num>
  <w:num w:numId="28" w16cid:durableId="1398941841">
    <w:abstractNumId w:val="2"/>
  </w:num>
  <w:num w:numId="29" w16cid:durableId="681124059">
    <w:abstractNumId w:val="1"/>
  </w:num>
  <w:num w:numId="30" w16cid:durableId="1160383966">
    <w:abstractNumId w:val="0"/>
  </w:num>
  <w:num w:numId="31" w16cid:durableId="1645811295">
    <w:abstractNumId w:val="9"/>
  </w:num>
  <w:num w:numId="32" w16cid:durableId="735200182">
    <w:abstractNumId w:val="7"/>
  </w:num>
  <w:num w:numId="33" w16cid:durableId="1453330664">
    <w:abstractNumId w:val="6"/>
  </w:num>
  <w:num w:numId="34" w16cid:durableId="1518738067">
    <w:abstractNumId w:val="5"/>
  </w:num>
  <w:num w:numId="35" w16cid:durableId="792941616">
    <w:abstractNumId w:val="4"/>
  </w:num>
  <w:num w:numId="36" w16cid:durableId="200022694">
    <w:abstractNumId w:val="8"/>
  </w:num>
  <w:num w:numId="37" w16cid:durableId="9839543">
    <w:abstractNumId w:val="3"/>
  </w:num>
  <w:num w:numId="38" w16cid:durableId="1030882039">
    <w:abstractNumId w:val="2"/>
  </w:num>
  <w:num w:numId="39" w16cid:durableId="2076734112">
    <w:abstractNumId w:val="1"/>
  </w:num>
  <w:num w:numId="40" w16cid:durableId="240530485">
    <w:abstractNumId w:val="0"/>
  </w:num>
  <w:num w:numId="41" w16cid:durableId="164442447">
    <w:abstractNumId w:val="10"/>
  </w:num>
  <w:num w:numId="42" w16cid:durableId="1771580744">
    <w:abstractNumId w:val="10"/>
  </w:num>
  <w:num w:numId="43" w16cid:durableId="1244795333">
    <w:abstractNumId w:val="10"/>
  </w:num>
  <w:num w:numId="44" w16cid:durableId="227570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4E"/>
    <w:rsid w:val="00002272"/>
    <w:rsid w:val="00064002"/>
    <w:rsid w:val="000677B9"/>
    <w:rsid w:val="000831BA"/>
    <w:rsid w:val="000A42CC"/>
    <w:rsid w:val="000B294E"/>
    <w:rsid w:val="000B70DB"/>
    <w:rsid w:val="000E7DD9"/>
    <w:rsid w:val="000F00E2"/>
    <w:rsid w:val="0010095E"/>
    <w:rsid w:val="00125B37"/>
    <w:rsid w:val="00187494"/>
    <w:rsid w:val="001B7490"/>
    <w:rsid w:val="001F32AE"/>
    <w:rsid w:val="00234F3B"/>
    <w:rsid w:val="002767FF"/>
    <w:rsid w:val="002B18FE"/>
    <w:rsid w:val="002B5493"/>
    <w:rsid w:val="003247D4"/>
    <w:rsid w:val="00343214"/>
    <w:rsid w:val="00361C00"/>
    <w:rsid w:val="00395FA1"/>
    <w:rsid w:val="003B047D"/>
    <w:rsid w:val="003E15D4"/>
    <w:rsid w:val="00411CCE"/>
    <w:rsid w:val="0041666E"/>
    <w:rsid w:val="00421060"/>
    <w:rsid w:val="00471C19"/>
    <w:rsid w:val="00472A23"/>
    <w:rsid w:val="004867E3"/>
    <w:rsid w:val="00494A28"/>
    <w:rsid w:val="004C0004"/>
    <w:rsid w:val="004C5D52"/>
    <w:rsid w:val="0050519A"/>
    <w:rsid w:val="005072A1"/>
    <w:rsid w:val="00512A63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1A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813"/>
    <w:rsid w:val="00A1687D"/>
    <w:rsid w:val="00A43E52"/>
    <w:rsid w:val="00A4678D"/>
    <w:rsid w:val="00A61539"/>
    <w:rsid w:val="00A778C7"/>
    <w:rsid w:val="00AB441E"/>
    <w:rsid w:val="00AB6293"/>
    <w:rsid w:val="00AE0928"/>
    <w:rsid w:val="00AF3B82"/>
    <w:rsid w:val="00B10031"/>
    <w:rsid w:val="00B12E95"/>
    <w:rsid w:val="00B22876"/>
    <w:rsid w:val="00B558F0"/>
    <w:rsid w:val="00BD48FE"/>
    <w:rsid w:val="00BD7BD8"/>
    <w:rsid w:val="00BE6ADC"/>
    <w:rsid w:val="00C05BFE"/>
    <w:rsid w:val="00C23CD4"/>
    <w:rsid w:val="00C565D4"/>
    <w:rsid w:val="00C61C0C"/>
    <w:rsid w:val="00C90F4B"/>
    <w:rsid w:val="00C941CB"/>
    <w:rsid w:val="00CC2357"/>
    <w:rsid w:val="00CD310F"/>
    <w:rsid w:val="00CE3CF0"/>
    <w:rsid w:val="00CF071A"/>
    <w:rsid w:val="00D058B8"/>
    <w:rsid w:val="00D56C11"/>
    <w:rsid w:val="00D834A0"/>
    <w:rsid w:val="00D872DF"/>
    <w:rsid w:val="00D91E21"/>
    <w:rsid w:val="00DA7FCD"/>
    <w:rsid w:val="00E10282"/>
    <w:rsid w:val="00E365E1"/>
    <w:rsid w:val="00E50C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57B"/>
    <w:rsid w:val="00F87713"/>
    <w:rsid w:val="00FB4360"/>
    <w:rsid w:val="00FD0C70"/>
  </w:rsids>
  <w:docVars>
    <w:docVar w:name="dvdocse" w:val="A10-0117/2026"/>
    <w:docVar w:name="dvlangue" w:val="SK"/>
    <w:docVar w:name="dvnumam" w:val="0"/>
    <w:docVar w:name="dvpe" w:val="785.318"/>
    <w:docVar w:name="dvrapporteur" w:val="Spravodajca: "/>
    <w:docVar w:name="dvtitre" w:val="Rozhodnutie Európskeho parlamentu z/zo xx. xxx 2026 o žiadosti o zbavenie Diany Iovanoviciovej Șoșoacăovej imunity(2025/2196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817D85"/>
  <w15:chartTrackingRefBased/>
  <w15:docId w15:val="{F999CA91-DEE1-441C-B037-DEE774AD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10282"/>
    <w:pPr>
      <w:spacing w:after="240"/>
      <w:ind w:left="567" w:hanging="567"/>
    </w:pPr>
  </w:style>
  <w:style w:type="paragraph" w:customStyle="1" w:styleId="EPComma">
    <w:name w:val="EPComma"/>
    <w:basedOn w:val="Normal"/>
    <w:rsid w:val="00E10282"/>
    <w:pPr>
      <w:spacing w:before="480" w:after="240"/>
    </w:pPr>
  </w:style>
  <w:style w:type="paragraph" w:styleId="Revision">
    <w:name w:val="Revision"/>
    <w:hidden/>
    <w:uiPriority w:val="99"/>
    <w:semiHidden/>
    <w:rsid w:val="009F181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1449</Words>
  <Characters>8613</Characters>
  <Application>Microsoft Office Word</Application>
  <DocSecurity>0</DocSecurity>
  <Lines>374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2026-04-28T11:42:00Z</dcterms:created>
  <dcterms:modified xsi:type="dcterms:W3CDTF">2026-04-28T11:42:00Z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A10-0117/2026</vt:lpwstr>
  </property>
  <property fmtid="{D5CDD505-2E9C-101B-9397-08002B2CF9AE}" pid="4" name="&lt;Type&gt;">
    <vt:lpwstr>RR</vt:lpwstr>
  </property>
</Properties>
</file>