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38D4D8C" w14:textId="77777777" w:rsidTr="0010095E">
        <w:tblPrEx>
          <w:tblW w:w="9072" w:type="dxa"/>
          <w:tblLook w:val="01E0"/>
        </w:tblPrEx>
        <w:trPr>
          <w:trHeight w:hRule="exact" w:val="1418"/>
        </w:trPr>
        <w:tc>
          <w:tcPr>
            <w:tcW w:w="6804" w:type="dxa"/>
            <w:shd w:val="clear" w:color="auto" w:fill="auto"/>
            <w:vAlign w:val="center"/>
          </w:tcPr>
          <w:p w:rsidR="00751A4A" w:rsidRPr="00FA1F39" w:rsidP="0010095E" w14:paraId="20748BCA" w14:textId="0E7EC81B">
            <w:pPr>
              <w:pStyle w:val="EPName"/>
            </w:pPr>
            <w:r w:rsidRPr="00FA1F39">
              <w:t>Evropski parlament</w:t>
            </w:r>
          </w:p>
          <w:p w:rsidR="00751A4A" w:rsidRPr="00FA1F39" w:rsidP="005F1B17" w14:paraId="32239143" w14:textId="77777777">
            <w:pPr>
              <w:pStyle w:val="EPTerm"/>
              <w:rPr>
                <w:rStyle w:val="HideTWBExt"/>
                <w:noProof w:val="0"/>
                <w:vanish w:val="0"/>
                <w:color w:val="auto"/>
              </w:rPr>
            </w:pPr>
            <w:r w:rsidRPr="00FA1F39">
              <w:t>2024</w:t>
            </w:r>
            <w:r w:rsidRPr="00FA1F39" w:rsidR="00817416">
              <w:t>-202</w:t>
            </w:r>
            <w:r w:rsidRPr="00FA1F39">
              <w:t>9</w:t>
            </w:r>
          </w:p>
        </w:tc>
        <w:tc>
          <w:tcPr>
            <w:tcW w:w="2268" w:type="dxa"/>
            <w:shd w:val="clear" w:color="auto" w:fill="auto"/>
          </w:tcPr>
          <w:p w:rsidR="00751A4A" w:rsidRPr="00FA1F39" w:rsidP="0010095E" w14:paraId="198878C1" w14:textId="77777777">
            <w:pPr>
              <w:pStyle w:val="EPLogo"/>
            </w:pPr>
            <w:r w:rsidRPr="00FA1F3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A1F39" w:rsidP="004C5D52" w14:paraId="7EE4A7A2" w14:textId="77777777">
      <w:pPr>
        <w:pStyle w:val="LineTop"/>
      </w:pPr>
    </w:p>
    <w:p w:rsidR="00680577" w:rsidRPr="00FA1F39" w:rsidP="00680577" w14:paraId="24FFDF66" w14:textId="1FF0CABD">
      <w:pPr>
        <w:pStyle w:val="EPBodyTA1"/>
      </w:pPr>
      <w:r w:rsidRPr="00FA1F39">
        <w:t>SPREJETA BESEDILA</w:t>
      </w:r>
    </w:p>
    <w:p w:rsidR="00D058B8" w:rsidRPr="00FA1F39" w:rsidP="00D058B8" w14:paraId="072A151D" w14:textId="77777777">
      <w:pPr>
        <w:pStyle w:val="LineBottom"/>
      </w:pPr>
    </w:p>
    <w:p w:rsidR="003D167E" w:rsidRPr="00FA1F39" w:rsidP="003D167E" w14:paraId="4FC5FC61" w14:textId="3FC92555">
      <w:pPr>
        <w:pStyle w:val="ATHeading1"/>
      </w:pPr>
      <w:bookmarkStart w:id="0" w:name="TANumber"/>
      <w:r w:rsidRPr="00FA1F39">
        <w:t>P10_TA(2026)0</w:t>
      </w:r>
      <w:r w:rsidR="00295F13">
        <w:t>108</w:t>
      </w:r>
      <w:bookmarkEnd w:id="0"/>
    </w:p>
    <w:p w:rsidR="003D167E" w:rsidRPr="00FA1F39" w:rsidP="003D167E" w14:paraId="46C95336" w14:textId="77777777">
      <w:pPr>
        <w:pStyle w:val="ATHeading2"/>
      </w:pPr>
      <w:bookmarkStart w:id="1" w:name="title"/>
      <w:r w:rsidRPr="00FA1F39">
        <w:t>Zahteva za odvzem imunitete Diani Iovanovici Şoşoacă</w:t>
      </w:r>
      <w:bookmarkEnd w:id="1"/>
    </w:p>
    <w:p w:rsidR="003D167E" w:rsidRPr="00FA1F39" w:rsidP="003D167E" w14:paraId="3E808279" w14:textId="77777777">
      <w:pPr>
        <w:rPr>
          <w:i/>
          <w:vanish/>
        </w:rPr>
      </w:pPr>
      <w:r>
        <w:rPr>
          <w:i/>
        </w:rPr>
        <w:fldChar w:fldCharType="begin"/>
      </w:r>
      <w:r w:rsidRPr="00FA1F39">
        <w:rPr>
          <w:i/>
        </w:rPr>
        <w:instrText xml:space="preserve"> TC"(</w:instrText>
      </w:r>
      <w:bookmarkStart w:id="2" w:name="DocNumber"/>
      <w:r w:rsidRPr="00FA1F39">
        <w:rPr>
          <w:i/>
        </w:rPr>
        <w:instrText>A10-0117/2026</w:instrText>
      </w:r>
      <w:bookmarkEnd w:id="2"/>
      <w:r w:rsidRPr="00FA1F39">
        <w:rPr>
          <w:i/>
        </w:rPr>
        <w:instrText xml:space="preserve"> - Poročevalec: Dominik Tarczyński)"\l3 \n&gt; \* MERGEFORMAT </w:instrText>
      </w:r>
      <w:r>
        <w:rPr>
          <w:i/>
        </w:rPr>
        <w:fldChar w:fldCharType="end"/>
      </w:r>
    </w:p>
    <w:p w:rsidR="003D167E" w:rsidRPr="00FA1F39" w:rsidP="003D167E" w14:paraId="78DB38A7" w14:textId="77777777">
      <w:pPr>
        <w:rPr>
          <w:vanish/>
        </w:rPr>
      </w:pPr>
      <w:bookmarkStart w:id="3" w:name="Commission"/>
      <w:r w:rsidRPr="00FA1F39">
        <w:rPr>
          <w:vanish/>
        </w:rPr>
        <w:t>Odbor za pravne zadeve</w:t>
      </w:r>
      <w:bookmarkEnd w:id="3"/>
    </w:p>
    <w:p w:rsidR="003D167E" w:rsidRPr="00FA1F39" w:rsidP="003D167E" w14:paraId="7D2E8CD5" w14:textId="77777777">
      <w:pPr>
        <w:rPr>
          <w:vanish/>
        </w:rPr>
      </w:pPr>
      <w:bookmarkStart w:id="4" w:name="PE"/>
      <w:r w:rsidRPr="00FA1F39">
        <w:rPr>
          <w:vanish/>
        </w:rPr>
        <w:t>PE785.318</w:t>
      </w:r>
      <w:bookmarkEnd w:id="4"/>
    </w:p>
    <w:p w:rsidR="003D167E" w:rsidRPr="00FA1F39" w:rsidP="003D167E" w14:paraId="547340F2" w14:textId="5A8DADB5">
      <w:pPr>
        <w:pStyle w:val="ATHeading3"/>
      </w:pPr>
      <w:bookmarkStart w:id="5" w:name="Sujet"/>
      <w:r w:rsidRPr="00FA1F39">
        <w:t xml:space="preserve">Sklep Evropskega parlamenta z dne </w:t>
      </w:r>
      <w:r w:rsidR="00BD10BB">
        <w:t>28</w:t>
      </w:r>
      <w:r w:rsidRPr="00FA1F39">
        <w:t>. aprila 2026 o zahtevi za odvzem imunitete Diani Iovanovici Şoşoacă</w:t>
      </w:r>
      <w:bookmarkEnd w:id="5"/>
      <w:r w:rsidRPr="00FA1F39">
        <w:t xml:space="preserve"> </w:t>
      </w:r>
      <w:bookmarkStart w:id="6" w:name="References"/>
      <w:r w:rsidRPr="00FA1F39">
        <w:t>(2025/2196(IMM))</w:t>
      </w:r>
      <w:bookmarkEnd w:id="6"/>
    </w:p>
    <w:p w:rsidR="008E6DAE" w:rsidRPr="00FA1F39" w:rsidP="008E6DAE" w14:paraId="556E05AE" w14:textId="77777777">
      <w:pPr>
        <w:pStyle w:val="EPComma"/>
      </w:pPr>
      <w:bookmarkStart w:id="7" w:name="TextBodyBegin"/>
      <w:bookmarkEnd w:id="7"/>
      <w:r w:rsidRPr="00FA1F39">
        <w:rPr>
          <w:i/>
        </w:rPr>
        <w:t>Evropski parlament</w:t>
      </w:r>
      <w:r w:rsidRPr="00FA1F39">
        <w:t>,</w:t>
      </w:r>
    </w:p>
    <w:p w:rsidR="008E6DAE" w:rsidRPr="00FA1F39" w:rsidP="008E6DAE" w14:paraId="78DCC949" w14:textId="0FBDC0D0">
      <w:pPr>
        <w:pStyle w:val="NormalHanging12a"/>
      </w:pPr>
      <w:r w:rsidRPr="00FA1F39">
        <w:t>–</w:t>
      </w:r>
      <w:r w:rsidRPr="00FA1F39">
        <w:tab/>
        <w:t xml:space="preserve">ob upoštevanju zahteve za odvzem imunitete Diani Iovanovici Şoşoacă, ki jo je </w:t>
      </w:r>
      <w:r w:rsidR="00BD10BB">
        <w:t>z dopisom</w:t>
      </w:r>
      <w:r w:rsidRPr="00FA1F39">
        <w:t xml:space="preserve"> z dne 24. septembra 2025 na zahtevo </w:t>
      </w:r>
      <w:r w:rsidR="00BD10BB">
        <w:t xml:space="preserve">državnega </w:t>
      </w:r>
      <w:r w:rsidRPr="00FA1F39">
        <w:t>tožil</w:t>
      </w:r>
      <w:r w:rsidR="00C77BE3">
        <w:t>stva</w:t>
      </w:r>
      <w:r w:rsidRPr="00FA1F39">
        <w:t xml:space="preserve"> </w:t>
      </w:r>
      <w:r w:rsidR="00C77BE3">
        <w:t xml:space="preserve">pri </w:t>
      </w:r>
      <w:r w:rsidR="00BD10BB">
        <w:t>romunske</w:t>
      </w:r>
      <w:r w:rsidR="00C77BE3">
        <w:t>m</w:t>
      </w:r>
      <w:r w:rsidR="00BD10BB">
        <w:t xml:space="preserve"> </w:t>
      </w:r>
      <w:r w:rsidRPr="00FA1F39">
        <w:t>vrhovne</w:t>
      </w:r>
      <w:r w:rsidR="00C77BE3">
        <w:t>m</w:t>
      </w:r>
      <w:r w:rsidRPr="00FA1F39">
        <w:t xml:space="preserve"> kasacijske</w:t>
      </w:r>
      <w:r w:rsidR="00C77BE3">
        <w:t>m</w:t>
      </w:r>
      <w:r w:rsidRPr="00FA1F39">
        <w:t xml:space="preserve"> sodišč</w:t>
      </w:r>
      <w:r w:rsidR="00C77BE3">
        <w:t>u</w:t>
      </w:r>
      <w:r w:rsidRPr="00FA1F39">
        <w:t xml:space="preserve"> posredoval romunski minister za pravosodje v zvezi s kazenskim postopkom zoper Diano Iovanovici Şoşoacă, in ki je bila razglašena na plenarnem zasedanju 9. oktobra 2025,</w:t>
      </w:r>
    </w:p>
    <w:p w:rsidR="008E6DAE" w:rsidRPr="00FA1F39" w:rsidP="008E6DAE" w14:paraId="4922F6FF" w14:textId="77777777">
      <w:pPr>
        <w:pStyle w:val="NormalHanging12a"/>
      </w:pPr>
      <w:r w:rsidRPr="00FA1F39">
        <w:t>–</w:t>
      </w:r>
      <w:r w:rsidRPr="00FA1F39">
        <w:tab/>
        <w:t>ob upoštevanju zagovora Diane Iovanovici Şoşoacă dne 24. marca 2026 v skladu s členom 9(6) Poslovnika,</w:t>
      </w:r>
    </w:p>
    <w:p w:rsidR="008E6DAE" w:rsidRPr="00FA1F39" w:rsidP="008E6DAE" w14:paraId="5D6A69AE" w14:textId="77777777">
      <w:pPr>
        <w:pStyle w:val="NormalHanging12a"/>
      </w:pPr>
      <w:r w:rsidRPr="00FA1F39">
        <w:t>–</w:t>
      </w:r>
      <w:r w:rsidRPr="00FA1F39">
        <w:tab/>
        <w:t>ob upoštevanju členov 8 in 9 Protokola št. 7 o privilegijih in imunitetah Evropske unije ter člena 6(2) Akta o volitvah poslancev Evropskega parlamenta s splošnimi neposrednimi volitvami z dne 20. septembra 1976,</w:t>
      </w:r>
    </w:p>
    <w:p w:rsidR="008E6DAE" w:rsidRPr="00FA1F39" w:rsidP="008E6DAE" w14:paraId="56651845" w14:textId="77777777">
      <w:pPr>
        <w:pStyle w:val="NormalHanging12a"/>
      </w:pPr>
      <w:r w:rsidRPr="00FA1F39">
        <w:t>–</w:t>
      </w:r>
      <w:r w:rsidRPr="00FA1F39">
        <w:tab/>
        <w:t>ob upoštevanju sodb Sodišča Evropske unije z dne 21. oktobra 2008, 19. marca 2010, 6. septembra 2011, 17. januarja 2013 in 19. decembra 2019</w:t>
      </w:r>
      <w:r>
        <w:rPr>
          <w:vertAlign w:val="superscript"/>
        </w:rPr>
        <w:footnoteReference w:id="2"/>
      </w:r>
      <w:r w:rsidRPr="00FA1F39">
        <w:t>,</w:t>
      </w:r>
    </w:p>
    <w:p w:rsidR="008E6DAE" w:rsidRPr="00FA1F39" w:rsidP="008E6DAE" w14:paraId="7F60E3A8" w14:textId="77777777">
      <w:pPr>
        <w:pStyle w:val="NormalHanging12a"/>
      </w:pPr>
      <w:r w:rsidRPr="00FA1F39">
        <w:t>–</w:t>
      </w:r>
      <w:r w:rsidRPr="00FA1F39">
        <w:tab/>
        <w:t>ob upoštevanju člena 72(1) in (2) romunske ustave,</w:t>
      </w:r>
    </w:p>
    <w:p w:rsidR="008E6DAE" w:rsidRPr="00FA1F39" w:rsidP="008E6DAE" w14:paraId="430AA702" w14:textId="77777777">
      <w:pPr>
        <w:pStyle w:val="NormalHanging12a"/>
      </w:pPr>
      <w:r w:rsidRPr="00FA1F39">
        <w:t>–</w:t>
      </w:r>
      <w:r w:rsidRPr="00FA1F39">
        <w:tab/>
        <w:t>ob upoštevanju člena 5(2), člena 6(1) in člena 9 Poslovnika,</w:t>
      </w:r>
    </w:p>
    <w:p w:rsidR="008E6DAE" w:rsidRPr="00FA1F39" w:rsidP="008E6DAE" w14:paraId="0AB5BEB0" w14:textId="77777777">
      <w:pPr>
        <w:pStyle w:val="NormalHanging12a"/>
      </w:pPr>
      <w:r w:rsidRPr="00FA1F39">
        <w:t>–</w:t>
      </w:r>
      <w:r w:rsidRPr="00FA1F39">
        <w:tab/>
        <w:t>ob upoštevanju poročila Odbora za pravne zadeve (A10-0117/2026),</w:t>
      </w:r>
    </w:p>
    <w:p w:rsidR="008E6DAE" w:rsidRPr="00FA1F39" w:rsidP="008E6DAE" w14:paraId="796119EF" w14:textId="5F5618F8">
      <w:pPr>
        <w:pStyle w:val="NormalHanging12a"/>
        <w:rPr>
          <w:color w:val="000000"/>
        </w:rPr>
      </w:pPr>
      <w:r w:rsidRPr="00FA1F39">
        <w:t>A.</w:t>
      </w:r>
      <w:r w:rsidRPr="00FA1F39">
        <w:tab/>
        <w:t xml:space="preserve">ker je romunski minister za pravosodje v </w:t>
      </w:r>
      <w:r w:rsidR="00BD10BB">
        <w:t>dopisu</w:t>
      </w:r>
      <w:r w:rsidRPr="00FA1F39" w:rsidR="00BD10BB">
        <w:t xml:space="preserve"> </w:t>
      </w:r>
      <w:r w:rsidRPr="00FA1F39">
        <w:t>z dne 24. septembra 2025 posredoval zahtevo tožil</w:t>
      </w:r>
      <w:r w:rsidR="00C77BE3">
        <w:t>stva</w:t>
      </w:r>
      <w:r w:rsidRPr="00FA1F39">
        <w:t xml:space="preserve"> </w:t>
      </w:r>
      <w:r w:rsidR="00C77BE3">
        <w:t>pri</w:t>
      </w:r>
      <w:r w:rsidR="00EB17E0">
        <w:t xml:space="preserve"> </w:t>
      </w:r>
      <w:r w:rsidR="00BD10BB">
        <w:t>romunske</w:t>
      </w:r>
      <w:r w:rsidR="00EB17E0">
        <w:t>m</w:t>
      </w:r>
      <w:r w:rsidR="00BD10BB">
        <w:t xml:space="preserve"> </w:t>
      </w:r>
      <w:r w:rsidRPr="00FA1F39">
        <w:t>vrhovne</w:t>
      </w:r>
      <w:r w:rsidR="00EB17E0">
        <w:t>m</w:t>
      </w:r>
      <w:r w:rsidRPr="00FA1F39">
        <w:t xml:space="preserve"> kasacijske</w:t>
      </w:r>
      <w:r w:rsidR="00EB17E0">
        <w:t>m</w:t>
      </w:r>
      <w:r w:rsidRPr="00FA1F39">
        <w:t xml:space="preserve"> sodišč</w:t>
      </w:r>
      <w:r w:rsidR="00EB17E0">
        <w:t>u</w:t>
      </w:r>
      <w:r w:rsidRPr="00FA1F39">
        <w:t xml:space="preserve"> za odvzem imunitete Diani Iovanovici Şoşoacă, poslanki Evropskega parlamenta, izvoljeni v Romuniji, v zvezi s kazenskim postopkom zaradi več kaznivih dejanj, ki </w:t>
      </w:r>
      <w:r w:rsidR="00EB17E0">
        <w:t>naj bi</w:t>
      </w:r>
      <w:r w:rsidRPr="00FA1F39" w:rsidR="00EB17E0">
        <w:t xml:space="preserve"> </w:t>
      </w:r>
      <w:r w:rsidRPr="00FA1F39">
        <w:t>bila storjena na različne datume med 10. decembrom 2021 in 11. februarjem 2025;</w:t>
      </w:r>
    </w:p>
    <w:p w:rsidR="008E6DAE" w:rsidRPr="00FA1F39" w:rsidP="008E6DAE" w14:paraId="1D2CE847" w14:textId="48A884A2">
      <w:pPr>
        <w:pStyle w:val="NormalHanging12a"/>
        <w:rPr>
          <w:color w:val="000000"/>
        </w:rPr>
      </w:pPr>
      <w:r w:rsidRPr="00FA1F39">
        <w:rPr>
          <w:color w:val="000000"/>
        </w:rPr>
        <w:t>B.</w:t>
      </w:r>
      <w:r w:rsidRPr="00FA1F39">
        <w:rPr>
          <w:color w:val="000000"/>
        </w:rPr>
        <w:tab/>
        <w:t xml:space="preserve">ker je v zahtevi navedeno, da so tri osebe podale </w:t>
      </w:r>
      <w:r w:rsidR="00EB17E0">
        <w:rPr>
          <w:color w:val="000000"/>
        </w:rPr>
        <w:t>prijavo</w:t>
      </w:r>
      <w:r w:rsidRPr="00FA1F39" w:rsidR="00EB17E0">
        <w:rPr>
          <w:color w:val="000000"/>
        </w:rPr>
        <w:t xml:space="preserve"> </w:t>
      </w:r>
      <w:r w:rsidRPr="00FA1F39">
        <w:rPr>
          <w:color w:val="000000"/>
        </w:rPr>
        <w:t xml:space="preserve">zoper Diano Iovanovici Şoşoacă in druge, da so 10. decembra 2021 med 15.40 in 16.00 v stanovanju v Bukarešti </w:t>
      </w:r>
      <w:r w:rsidR="00EB17E0">
        <w:rPr>
          <w:color w:val="000000"/>
        </w:rPr>
        <w:t>prijaviteljem</w:t>
      </w:r>
      <w:r w:rsidRPr="00FA1F39" w:rsidR="00EB17E0">
        <w:rPr>
          <w:color w:val="000000"/>
        </w:rPr>
        <w:t xml:space="preserve"> </w:t>
      </w:r>
      <w:r w:rsidRPr="00FA1F39">
        <w:rPr>
          <w:color w:val="000000"/>
        </w:rPr>
        <w:t xml:space="preserve">in še četrti osebi za približno 20 minut odvzeli prostost; ker očitano dejanje predstavlja kaznivo dejanje </w:t>
      </w:r>
      <w:r w:rsidR="0081285C">
        <w:rPr>
          <w:color w:val="000000"/>
        </w:rPr>
        <w:t>iz</w:t>
      </w:r>
      <w:r w:rsidRPr="00FA1F39">
        <w:rPr>
          <w:color w:val="000000"/>
        </w:rPr>
        <w:t xml:space="preserve"> člen</w:t>
      </w:r>
      <w:r w:rsidR="00EF7804">
        <w:rPr>
          <w:color w:val="000000"/>
        </w:rPr>
        <w:t>a</w:t>
      </w:r>
      <w:r w:rsidRPr="00FA1F39">
        <w:rPr>
          <w:color w:val="000000"/>
        </w:rPr>
        <w:t> 205(1) romunskega kazenskega zakonika;</w:t>
      </w:r>
    </w:p>
    <w:p w:rsidR="008E6DAE" w:rsidRPr="00FA1F39" w:rsidP="008E6DAE" w14:paraId="5ED7A869" w14:textId="1C56ACCF">
      <w:pPr>
        <w:pStyle w:val="NormalHanging12a"/>
        <w:rPr>
          <w:color w:val="000000"/>
        </w:rPr>
      </w:pPr>
      <w:r w:rsidRPr="00FA1F39">
        <w:rPr>
          <w:color w:val="000000"/>
        </w:rPr>
        <w:t>C.</w:t>
      </w:r>
      <w:r w:rsidRPr="00FA1F39">
        <w:rPr>
          <w:color w:val="000000"/>
        </w:rPr>
        <w:tab/>
        <w:t xml:space="preserve">ker je v zahtevi navedeno, da je nacionalni inštitut romunske vlade za preučevanje holokavsta v Romuniji „Elie Wiesel“ 28. februarja 2024 pravosodne organe obvestil, da </w:t>
      </w:r>
      <w:r w:rsidR="00EF7804">
        <w:rPr>
          <w:color w:val="000000"/>
        </w:rPr>
        <w:t>naj bi</w:t>
      </w:r>
      <w:r w:rsidRPr="00FA1F39" w:rsidR="00EF7804">
        <w:rPr>
          <w:color w:val="000000"/>
        </w:rPr>
        <w:t xml:space="preserve"> </w:t>
      </w:r>
      <w:r w:rsidRPr="00FA1F39">
        <w:rPr>
          <w:color w:val="000000"/>
        </w:rPr>
        <w:t xml:space="preserve">bilo 19. februarja 2024 na uradnem spletnem mestu stranke SOS România objavljeno sporočilo za javnost, ki ga je kot predsednica te stranke podpisala Diana Iovanovici Şoşoacă in v katerem naj bi poveličevala osebo, ki je bila obsojena za vojnega zločinca </w:t>
      </w:r>
      <w:r w:rsidR="00EF7804">
        <w:rPr>
          <w:color w:val="000000"/>
        </w:rPr>
        <w:t>na podlagi</w:t>
      </w:r>
      <w:r w:rsidRPr="00FA1F39">
        <w:rPr>
          <w:color w:val="000000"/>
        </w:rPr>
        <w:t xml:space="preserve"> romunsk</w:t>
      </w:r>
      <w:r w:rsidR="00EF7804">
        <w:rPr>
          <w:color w:val="000000"/>
        </w:rPr>
        <w:t>ega</w:t>
      </w:r>
      <w:r w:rsidRPr="00FA1F39">
        <w:rPr>
          <w:color w:val="000000"/>
        </w:rPr>
        <w:t xml:space="preserve"> zakon</w:t>
      </w:r>
      <w:r w:rsidR="00EF7804">
        <w:rPr>
          <w:color w:val="000000"/>
        </w:rPr>
        <w:t>a</w:t>
      </w:r>
      <w:r w:rsidRPr="00FA1F39">
        <w:rPr>
          <w:color w:val="000000"/>
        </w:rPr>
        <w:t xml:space="preserve"> št. 312/1945 za pregon in kaznovanje oseb, ki so krive nacionalne nesreče ali vojnih zločinov; ker očitano dejanje pomeni </w:t>
      </w:r>
      <w:r w:rsidR="00EF7804">
        <w:rPr>
          <w:color w:val="000000"/>
        </w:rPr>
        <w:t>kaznivo dejanje</w:t>
      </w:r>
      <w:r w:rsidRPr="00FA1F39" w:rsidR="00EF7804">
        <w:rPr>
          <w:color w:val="000000"/>
        </w:rPr>
        <w:t xml:space="preserve"> </w:t>
      </w:r>
      <w:r w:rsidR="0081285C">
        <w:rPr>
          <w:color w:val="000000"/>
        </w:rPr>
        <w:t>iz</w:t>
      </w:r>
      <w:r w:rsidRPr="00FA1F39">
        <w:rPr>
          <w:color w:val="000000"/>
        </w:rPr>
        <w:t xml:space="preserve"> člen</w:t>
      </w:r>
      <w:r w:rsidR="0081285C">
        <w:rPr>
          <w:color w:val="000000"/>
        </w:rPr>
        <w:t>a</w:t>
      </w:r>
      <w:r w:rsidRPr="00FA1F39">
        <w:rPr>
          <w:color w:val="000000"/>
        </w:rPr>
        <w:t> 5 izredne uredbe romunske vlade št. 31/2002;</w:t>
      </w:r>
    </w:p>
    <w:p w:rsidR="008E6DAE" w:rsidRPr="00FA1F39" w:rsidP="008E6DAE" w14:paraId="12649BF7" w14:textId="456261D4">
      <w:pPr>
        <w:pStyle w:val="NormalHanging12a"/>
        <w:rPr>
          <w:bCs/>
          <w:iCs/>
          <w:color w:val="000000"/>
        </w:rPr>
      </w:pPr>
      <w:r w:rsidRPr="00FA1F39">
        <w:rPr>
          <w:color w:val="000000"/>
        </w:rPr>
        <w:t>D.</w:t>
      </w:r>
      <w:r w:rsidRPr="00FA1F39">
        <w:rPr>
          <w:color w:val="000000"/>
        </w:rPr>
        <w:tab/>
        <w:t xml:space="preserve">ker je v zahtevi navedeno, da je center za spremljanje in boj proti antisemitizmu v Romuniji 27. maja 2024 poročal, da </w:t>
      </w:r>
      <w:r w:rsidR="00EF7804">
        <w:rPr>
          <w:color w:val="000000"/>
        </w:rPr>
        <w:t>naj bi</w:t>
      </w:r>
      <w:r w:rsidRPr="00FA1F39" w:rsidR="00EF7804">
        <w:rPr>
          <w:color w:val="000000"/>
        </w:rPr>
        <w:t xml:space="preserve"> </w:t>
      </w:r>
      <w:r w:rsidRPr="00FA1F39">
        <w:rPr>
          <w:color w:val="000000"/>
        </w:rPr>
        <w:t xml:space="preserve">Diana Iovanovici Șoșoacă 13. in 14. maja 2024 v prostorih romunskega parlamenta dajala javne izjave, tudi preko svojega javnega Facebook računa, v katerih naj bi Jude kolektivno obtožila zgodovinskih zločinov proti romunskemu </w:t>
      </w:r>
      <w:r w:rsidR="0081285C">
        <w:rPr>
          <w:color w:val="000000"/>
        </w:rPr>
        <w:t>ljudstvu</w:t>
      </w:r>
      <w:r w:rsidRPr="00FA1F39">
        <w:rPr>
          <w:color w:val="000000"/>
        </w:rPr>
        <w:t xml:space="preserve">; ker očitano dejanje pomeni </w:t>
      </w:r>
      <w:r w:rsidR="00EF7804">
        <w:rPr>
          <w:color w:val="000000"/>
        </w:rPr>
        <w:t>kaznivo dejanje</w:t>
      </w:r>
      <w:r w:rsidRPr="00FA1F39" w:rsidR="00EF7804">
        <w:rPr>
          <w:color w:val="000000"/>
        </w:rPr>
        <w:t xml:space="preserve"> </w:t>
      </w:r>
      <w:r w:rsidR="0081285C">
        <w:rPr>
          <w:color w:val="000000"/>
        </w:rPr>
        <w:t>iz</w:t>
      </w:r>
      <w:r w:rsidRPr="00FA1F39">
        <w:rPr>
          <w:color w:val="000000"/>
        </w:rPr>
        <w:t xml:space="preserve"> člen</w:t>
      </w:r>
      <w:r w:rsidR="0081285C">
        <w:rPr>
          <w:color w:val="000000"/>
        </w:rPr>
        <w:t>a</w:t>
      </w:r>
      <w:r w:rsidRPr="00FA1F39">
        <w:rPr>
          <w:color w:val="000000"/>
        </w:rPr>
        <w:t> 3 romunskega zakona št. 157/2018 o ukrepih za preprečevanje antisemitizma in boj proti njemu;</w:t>
      </w:r>
    </w:p>
    <w:p w:rsidR="008E6DAE" w:rsidRPr="00FA1F39" w:rsidP="008E6DAE" w14:paraId="38C001B6" w14:textId="6D37D4A2">
      <w:pPr>
        <w:pStyle w:val="NormalHanging12a"/>
        <w:rPr>
          <w:bCs/>
          <w:iCs/>
          <w:color w:val="000000"/>
        </w:rPr>
      </w:pPr>
      <w:r w:rsidRPr="00FA1F39">
        <w:rPr>
          <w:color w:val="000000"/>
        </w:rPr>
        <w:t>E.</w:t>
      </w:r>
      <w:r w:rsidRPr="00FA1F39">
        <w:rPr>
          <w:color w:val="000000"/>
        </w:rPr>
        <w:tab/>
        <w:t>ker je v zahtevi navedeno, da naj bi Diana Iovanovici Şoşoacă 14. maja 2024 v prostorih romunskega parlamenta, ko se je udeležila skupne seje romunske</w:t>
      </w:r>
      <w:r w:rsidR="0081285C">
        <w:rPr>
          <w:color w:val="000000"/>
        </w:rPr>
        <w:t xml:space="preserve"> poslanske zbornice</w:t>
      </w:r>
      <w:r w:rsidRPr="00FA1F39">
        <w:rPr>
          <w:color w:val="000000"/>
        </w:rPr>
        <w:t xml:space="preserve"> in senata, v izjavah Jude kolektivno obtožila zgodovinskih zločinov proti romunskemu ljudstvu; ker očitano dejanje pomeni </w:t>
      </w:r>
      <w:r w:rsidR="0081285C">
        <w:rPr>
          <w:color w:val="000000"/>
        </w:rPr>
        <w:t>kaznivo dejanje</w:t>
      </w:r>
      <w:r w:rsidRPr="00FA1F39" w:rsidR="0081285C">
        <w:rPr>
          <w:color w:val="000000"/>
        </w:rPr>
        <w:t xml:space="preserve"> </w:t>
      </w:r>
      <w:r w:rsidR="0081285C">
        <w:rPr>
          <w:color w:val="000000"/>
        </w:rPr>
        <w:t>iz</w:t>
      </w:r>
      <w:r w:rsidRPr="00FA1F39">
        <w:rPr>
          <w:color w:val="000000"/>
        </w:rPr>
        <w:t xml:space="preserve"> člen</w:t>
      </w:r>
      <w:r w:rsidR="0081285C">
        <w:rPr>
          <w:color w:val="000000"/>
        </w:rPr>
        <w:t>a</w:t>
      </w:r>
      <w:r w:rsidRPr="00FA1F39">
        <w:rPr>
          <w:color w:val="000000"/>
        </w:rPr>
        <w:t> 6(1) izredne uredbe romunske vlade št. 31/2002;</w:t>
      </w:r>
    </w:p>
    <w:p w:rsidR="008E6DAE" w:rsidRPr="00FA1F39" w:rsidP="008E6DAE" w14:paraId="390E78B0" w14:textId="121C8E0D">
      <w:pPr>
        <w:pStyle w:val="NormalHanging12a"/>
        <w:rPr>
          <w:bCs/>
          <w:iCs/>
          <w:color w:val="000000"/>
        </w:rPr>
      </w:pPr>
      <w:r w:rsidRPr="00FA1F39">
        <w:rPr>
          <w:color w:val="000000"/>
        </w:rPr>
        <w:t>F.</w:t>
      </w:r>
      <w:r w:rsidRPr="00FA1F39">
        <w:rPr>
          <w:color w:val="000000"/>
        </w:rPr>
        <w:tab/>
        <w:t xml:space="preserve">ker je v zahtevi navedeno, da </w:t>
      </w:r>
      <w:r w:rsidR="0081285C">
        <w:rPr>
          <w:color w:val="000000"/>
        </w:rPr>
        <w:t>naj bi</w:t>
      </w:r>
      <w:r w:rsidRPr="00FA1F39" w:rsidR="0081285C">
        <w:rPr>
          <w:color w:val="000000"/>
        </w:rPr>
        <w:t xml:space="preserve"> </w:t>
      </w:r>
      <w:r w:rsidRPr="00FA1F39">
        <w:rPr>
          <w:color w:val="000000"/>
        </w:rPr>
        <w:t xml:space="preserve">Diana Iovanovici Şoşoacă 5. in 6. oktobra 2024 na spletu dala več javnih izjav, v katerih naj bi poveličevala nekatere osebe in gibanja, ki so po romunskem nacionalnem pravu zagrešila vojna hudodelstva ali pri njih sodelovala, ter Jude kolektivno obtožila zgodovinskih in verskih hudodelstev; ker očitana dejanja pomenijo </w:t>
      </w:r>
      <w:r w:rsidR="0081285C">
        <w:rPr>
          <w:color w:val="000000"/>
        </w:rPr>
        <w:t>kazniva dejanja</w:t>
      </w:r>
      <w:r w:rsidRPr="00FA1F39" w:rsidR="0081285C">
        <w:rPr>
          <w:color w:val="000000"/>
        </w:rPr>
        <w:t xml:space="preserve"> </w:t>
      </w:r>
      <w:r w:rsidR="0081285C">
        <w:rPr>
          <w:color w:val="000000"/>
        </w:rPr>
        <w:t>iz</w:t>
      </w:r>
      <w:r w:rsidRPr="00FA1F39">
        <w:rPr>
          <w:color w:val="000000"/>
        </w:rPr>
        <w:t xml:space="preserve"> člen</w:t>
      </w:r>
      <w:r w:rsidR="0081285C">
        <w:rPr>
          <w:color w:val="000000"/>
        </w:rPr>
        <w:t>a</w:t>
      </w:r>
      <w:r w:rsidRPr="00FA1F39">
        <w:rPr>
          <w:color w:val="000000"/>
        </w:rPr>
        <w:t> 5 izredne uredbe romunske vlade št. 31/2002;</w:t>
      </w:r>
    </w:p>
    <w:p w:rsidR="008E6DAE" w:rsidRPr="00FA1F39" w:rsidP="008E6DAE" w14:paraId="7B38BC0B" w14:textId="34C8A1EE">
      <w:pPr>
        <w:pStyle w:val="NormalHanging12a"/>
        <w:rPr>
          <w:color w:val="000000"/>
        </w:rPr>
      </w:pPr>
      <w:r w:rsidRPr="00FA1F39">
        <w:rPr>
          <w:color w:val="000000"/>
        </w:rPr>
        <w:t>G.</w:t>
      </w:r>
      <w:r w:rsidRPr="00FA1F39">
        <w:rPr>
          <w:color w:val="000000"/>
        </w:rPr>
        <w:tab/>
        <w:t>ker je v zahtevi navedeno, da naj bi Diana Iovanovici Şoşoacă 1. decembra 2024 javno poveličevala osebo, obsojeno za vojn</w:t>
      </w:r>
      <w:r w:rsidR="004D0261">
        <w:rPr>
          <w:color w:val="000000"/>
        </w:rPr>
        <w:t>a</w:t>
      </w:r>
      <w:r w:rsidRPr="00FA1F39">
        <w:rPr>
          <w:color w:val="000000"/>
        </w:rPr>
        <w:t xml:space="preserve"> </w:t>
      </w:r>
      <w:r w:rsidR="004D0261">
        <w:rPr>
          <w:color w:val="000000"/>
        </w:rPr>
        <w:t>hudodelstva</w:t>
      </w:r>
      <w:r w:rsidRPr="00FA1F39" w:rsidR="004D0261">
        <w:rPr>
          <w:color w:val="000000"/>
        </w:rPr>
        <w:t xml:space="preserve"> </w:t>
      </w:r>
      <w:r w:rsidR="004D0261">
        <w:rPr>
          <w:color w:val="000000"/>
        </w:rPr>
        <w:t>na podlagi</w:t>
      </w:r>
      <w:r w:rsidRPr="00FA1F39">
        <w:rPr>
          <w:color w:val="000000"/>
        </w:rPr>
        <w:t xml:space="preserve"> romunsk</w:t>
      </w:r>
      <w:r w:rsidR="004D0261">
        <w:rPr>
          <w:color w:val="000000"/>
        </w:rPr>
        <w:t>ega</w:t>
      </w:r>
      <w:r w:rsidRPr="00FA1F39">
        <w:rPr>
          <w:color w:val="000000"/>
        </w:rPr>
        <w:t xml:space="preserve"> nacionaln</w:t>
      </w:r>
      <w:r w:rsidR="004D0261">
        <w:rPr>
          <w:color w:val="000000"/>
        </w:rPr>
        <w:t>ega</w:t>
      </w:r>
      <w:r w:rsidRPr="00FA1F39">
        <w:rPr>
          <w:color w:val="000000"/>
        </w:rPr>
        <w:t xml:space="preserve"> prav</w:t>
      </w:r>
      <w:r w:rsidR="004D0261">
        <w:rPr>
          <w:color w:val="000000"/>
        </w:rPr>
        <w:t>a</w:t>
      </w:r>
      <w:r w:rsidRPr="00FA1F39">
        <w:rPr>
          <w:color w:val="000000"/>
        </w:rPr>
        <w:t xml:space="preserve">, in sicer z izjavami na spletu in z dejanji javnega spodbujanja legionarskih, rasističnih in ksenofobičnih idej in konceptov v zvezi z judovsko skupnostjo; ker očitana dejanja pomenijo </w:t>
      </w:r>
      <w:r w:rsidR="004D0261">
        <w:rPr>
          <w:color w:val="000000"/>
        </w:rPr>
        <w:t>kazniva dejanja</w:t>
      </w:r>
      <w:r w:rsidRPr="00FA1F39" w:rsidR="004D0261">
        <w:rPr>
          <w:color w:val="000000"/>
        </w:rPr>
        <w:t xml:space="preserve"> </w:t>
      </w:r>
      <w:r w:rsidR="004D0261">
        <w:rPr>
          <w:color w:val="000000"/>
        </w:rPr>
        <w:t>iz</w:t>
      </w:r>
      <w:r w:rsidRPr="00FA1F39">
        <w:rPr>
          <w:color w:val="000000"/>
        </w:rPr>
        <w:t xml:space="preserve"> člen</w:t>
      </w:r>
      <w:r w:rsidR="004D0261">
        <w:rPr>
          <w:color w:val="000000"/>
        </w:rPr>
        <w:t>a</w:t>
      </w:r>
      <w:r w:rsidRPr="00FA1F39">
        <w:rPr>
          <w:color w:val="000000"/>
        </w:rPr>
        <w:t> 5 izredne uredbe romunske vlade št. 31/2002;</w:t>
      </w:r>
    </w:p>
    <w:p w:rsidR="008E6DAE" w:rsidRPr="00FA1F39" w:rsidP="008E6DAE" w14:paraId="4A92F678" w14:textId="5B555F71">
      <w:pPr>
        <w:pStyle w:val="NormalHanging12a"/>
        <w:rPr>
          <w:bCs/>
          <w:iCs/>
          <w:color w:val="000000"/>
        </w:rPr>
      </w:pPr>
      <w:r w:rsidRPr="00FA1F39">
        <w:rPr>
          <w:color w:val="000000"/>
        </w:rPr>
        <w:t>H.</w:t>
      </w:r>
      <w:r w:rsidRPr="00FA1F39">
        <w:rPr>
          <w:color w:val="000000"/>
        </w:rPr>
        <w:tab/>
        <w:t xml:space="preserve">ker je v zahtevi navedeno, da naj bi Diana Iovanovici Şoşoacă 15. decembra 2024 grozila z neposrednim nasiljem zoper dva policista, ki sta opravljala svojo dolžnost v </w:t>
      </w:r>
      <w:r w:rsidRPr="00FA1F39">
        <w:rPr>
          <w:color w:val="000000"/>
        </w:rPr>
        <w:t xml:space="preserve">zvezi s predhodno naloženo upravno globo; ker očitano dejanje pomeni kaznivo dejanje </w:t>
      </w:r>
      <w:r w:rsidR="00AA376F">
        <w:rPr>
          <w:color w:val="000000"/>
        </w:rPr>
        <w:t>iz</w:t>
      </w:r>
      <w:r w:rsidRPr="00FA1F39">
        <w:rPr>
          <w:color w:val="000000"/>
        </w:rPr>
        <w:t xml:space="preserve"> člen</w:t>
      </w:r>
      <w:r w:rsidR="00AA376F">
        <w:rPr>
          <w:color w:val="000000"/>
        </w:rPr>
        <w:t>a</w:t>
      </w:r>
      <w:r w:rsidRPr="00FA1F39">
        <w:rPr>
          <w:color w:val="000000"/>
        </w:rPr>
        <w:t> 257(1) in (4) romunskega kazenskega zakonika;</w:t>
      </w:r>
    </w:p>
    <w:p w:rsidR="008E6DAE" w:rsidRPr="00FA1F39" w:rsidP="008E6DAE" w14:paraId="030638D5" w14:textId="1B564D5D">
      <w:pPr>
        <w:pStyle w:val="NormalHanging12a"/>
        <w:rPr>
          <w:bCs/>
          <w:iCs/>
          <w:color w:val="000000"/>
        </w:rPr>
      </w:pPr>
      <w:r w:rsidRPr="00FA1F39">
        <w:rPr>
          <w:color w:val="000000"/>
        </w:rPr>
        <w:t>I.</w:t>
      </w:r>
      <w:r w:rsidRPr="00FA1F39">
        <w:rPr>
          <w:color w:val="000000"/>
        </w:rPr>
        <w:tab/>
        <w:t xml:space="preserve">ker je v zahtevi navedeno, da je vladni Inštitut za preiskovanje komunističnih zločinov in spomin na romunsko izgnanstvo 25. februarja 2025 pravosodne organe obvestil, da je imela Diana Iovanovici Şoşoacă 11. februarja 2025 na plenarnem zasedanju Evropskega parlamenta govor, v katerem naj bi kolegom priporočila oblikovanje strategije zunanje politike po vzoru Nicolaeja Ceaușescuja, ki je bil na podlagi sodbe teritorialnega vojaškega sodišča v Bukarešti z dne 25. decembra 1989 obsojen genocida; ker očitano dejanje pomeni </w:t>
      </w:r>
      <w:r w:rsidR="00AA376F">
        <w:rPr>
          <w:color w:val="000000"/>
        </w:rPr>
        <w:t>kaznivo dejanje</w:t>
      </w:r>
      <w:r w:rsidRPr="00FA1F39" w:rsidR="00AA376F">
        <w:rPr>
          <w:color w:val="000000"/>
        </w:rPr>
        <w:t xml:space="preserve"> </w:t>
      </w:r>
      <w:r w:rsidR="00AA376F">
        <w:rPr>
          <w:color w:val="000000"/>
        </w:rPr>
        <w:t>iz</w:t>
      </w:r>
      <w:r w:rsidRPr="00FA1F39">
        <w:rPr>
          <w:color w:val="000000"/>
        </w:rPr>
        <w:t xml:space="preserve"> člen</w:t>
      </w:r>
      <w:r w:rsidR="00AA376F">
        <w:rPr>
          <w:color w:val="000000"/>
        </w:rPr>
        <w:t>a</w:t>
      </w:r>
      <w:r w:rsidRPr="00FA1F39">
        <w:rPr>
          <w:color w:val="000000"/>
        </w:rPr>
        <w:t> 5 izredne uredbe romunske vlade št. 31/2002;</w:t>
      </w:r>
    </w:p>
    <w:p w:rsidR="008E6DAE" w:rsidRPr="00FA1F39" w:rsidP="008E6DAE" w14:paraId="20BEF1B0" w14:textId="77777777">
      <w:pPr>
        <w:pStyle w:val="NormalHanging12a"/>
        <w:rPr>
          <w:bCs/>
          <w:iCs/>
          <w:color w:val="000000"/>
        </w:rPr>
      </w:pPr>
      <w:r w:rsidRPr="00FA1F39">
        <w:rPr>
          <w:color w:val="000000"/>
        </w:rPr>
        <w:t>J.</w:t>
      </w:r>
      <w:r w:rsidRPr="00FA1F39">
        <w:rPr>
          <w:color w:val="000000"/>
        </w:rPr>
        <w:tab/>
        <w:t>ker je bila Diana Iovanovici Şoşoacă izvoljena v Evropski parlament na evropskih volitvah junija 2024 in tako v času očitanih kaznivih dejanj 10. decembra 2021, 19. februarja 2024 ter 13. in 14. maja 2024 ni bila poslanka Evropskega parlamenta; ker je bila Diana Iovanovici Şoşoacă poslanka Evropskega parlamenta v času očitanih kaznivih dejanj 5. in 6. oktobra 2024, 1. decembra 2024, 15. decembra 2024 in 11. februarja 2025; ker so bili vsi kazenski postopki zoper Diano Iovanovici Şoşoacă, razen tistih v zvezi z očitanimi dejanji z dne 10. decembra 2021 in 19. februarja 2024, uvedeni po njeni izvolitvi za poslanko Evropskega parlamenta;</w:t>
      </w:r>
    </w:p>
    <w:p w:rsidR="008E6DAE" w:rsidRPr="00FA1F39" w:rsidP="008E6DAE" w14:paraId="584AAA28" w14:textId="58E29810">
      <w:pPr>
        <w:pStyle w:val="NormalHanging12a"/>
        <w:rPr>
          <w:bCs/>
          <w:iCs/>
          <w:color w:val="000000"/>
        </w:rPr>
      </w:pPr>
      <w:r w:rsidRPr="00FA1F39">
        <w:rPr>
          <w:color w:val="000000"/>
        </w:rPr>
        <w:t>K.</w:t>
      </w:r>
      <w:r w:rsidRPr="00FA1F39">
        <w:rPr>
          <w:color w:val="000000"/>
        </w:rPr>
        <w:tab/>
        <w:t xml:space="preserve">ker </w:t>
      </w:r>
      <w:r w:rsidR="009A72A6">
        <w:rPr>
          <w:color w:val="000000"/>
        </w:rPr>
        <w:t xml:space="preserve">se </w:t>
      </w:r>
      <w:r w:rsidRPr="00FA1F39">
        <w:rPr>
          <w:color w:val="000000"/>
        </w:rPr>
        <w:t xml:space="preserve">v skladu s členom 8 Protokola št. 7 o privilegijih in imunitetah Evropske unije zoper člana Evropskega parlamenta ne sme </w:t>
      </w:r>
      <w:r w:rsidR="009A72A6">
        <w:rPr>
          <w:color w:val="000000"/>
        </w:rPr>
        <w:t>začeti</w:t>
      </w:r>
      <w:r w:rsidRPr="00FA1F39" w:rsidR="009A72A6">
        <w:rPr>
          <w:color w:val="000000"/>
        </w:rPr>
        <w:t xml:space="preserve"> </w:t>
      </w:r>
      <w:r w:rsidRPr="00FA1F39">
        <w:rPr>
          <w:color w:val="000000"/>
        </w:rPr>
        <w:t>preiskava, ne sme biti priprt niti se zoper njega ne sme začeti sodni postopek zaradi mnenja ali glasu, ki ga je izrekel pri opravljanju svojih dolžnosti;</w:t>
      </w:r>
    </w:p>
    <w:p w:rsidR="008E6DAE" w:rsidRPr="00FA1F39" w:rsidP="008E6DAE" w14:paraId="436E9A5F" w14:textId="7072167C">
      <w:pPr>
        <w:pStyle w:val="NormalHanging12a"/>
        <w:rPr>
          <w:bCs/>
          <w:iCs/>
          <w:color w:val="000000"/>
        </w:rPr>
      </w:pPr>
      <w:r w:rsidRPr="00FA1F39">
        <w:rPr>
          <w:color w:val="000000"/>
        </w:rPr>
        <w:t>L.</w:t>
      </w:r>
      <w:r w:rsidRPr="00FA1F39">
        <w:rPr>
          <w:color w:val="000000"/>
        </w:rPr>
        <w:tab/>
        <w:t xml:space="preserve">ker očitano kaznivo dejanje z dne 11. februarja 2025 v zvezi z domnevnim poveličevanjem Nicolaeja Ceaușescuja, ki je bil po romunskem nacionalnem pravu obsojen za vojnega zločinca, vključuje izjavo Diane Iovanovici Şoşoacă na plenarnem zasedanju Evropskega parlamenta v Strasbourgu med razpravo o širši celoviti strategiji EU-Bližnji vzhod; ker </w:t>
      </w:r>
      <w:r w:rsidR="009A72A6">
        <w:rPr>
          <w:color w:val="000000"/>
        </w:rPr>
        <w:t xml:space="preserve">ta </w:t>
      </w:r>
      <w:r w:rsidRPr="00FA1F39">
        <w:rPr>
          <w:color w:val="000000"/>
        </w:rPr>
        <w:t>izjava tako šteje za mnenje ali glas, ki ga je Diana Iovanovici Şoşoacă izrekla pri opravljanju svojih dolžnosti v skladu s členom 8 Protokola št. 7 o privilegijih in imunitetah Evropske unije;</w:t>
      </w:r>
    </w:p>
    <w:p w:rsidR="008E6DAE" w:rsidRPr="00FA1F39" w:rsidP="008E6DAE" w14:paraId="05250030" w14:textId="77777777">
      <w:pPr>
        <w:pStyle w:val="NormalHanging12a"/>
        <w:rPr>
          <w:bCs/>
          <w:iCs/>
          <w:color w:val="000000"/>
        </w:rPr>
      </w:pPr>
      <w:r w:rsidRPr="00FA1F39">
        <w:rPr>
          <w:color w:val="000000"/>
        </w:rPr>
        <w:t>M.</w:t>
      </w:r>
      <w:r w:rsidRPr="00FA1F39">
        <w:rPr>
          <w:color w:val="000000"/>
        </w:rPr>
        <w:tab/>
        <w:t>ker vsa druga očitana kazniva dejanja in preostala zahteva za odvzem imunitete torej niso povezani z mnenjem, ki bi ga Diana Iovanovici Şoşoacă izrekla, ali njenim glasovanjem pri opravljanju dolžnosti v smislu člena 8 Protokola št. 7 o privilegijih in imunitetah Evropske unije;</w:t>
      </w:r>
    </w:p>
    <w:p w:rsidR="008E6DAE" w:rsidRPr="00FA1F39" w:rsidP="008E6DAE" w14:paraId="7784E476" w14:textId="049B9559">
      <w:pPr>
        <w:pStyle w:val="NormalHanging12a"/>
        <w:rPr>
          <w:bCs/>
          <w:iCs/>
          <w:color w:val="000000"/>
        </w:rPr>
      </w:pPr>
      <w:r w:rsidRPr="00FA1F39">
        <w:rPr>
          <w:color w:val="000000"/>
        </w:rPr>
        <w:t>N.</w:t>
      </w:r>
      <w:r w:rsidRPr="00FA1F39">
        <w:rPr>
          <w:color w:val="000000"/>
        </w:rPr>
        <w:tab/>
        <w:t xml:space="preserve">ker v skladu s členom 9, prvi odstavek, točka (a), Protokola št. 7 o privilegijih in imunitetah Evropske unije med zasedanjem Evropskega parlamenta njegovi poslanci na ozemlju svoje države </w:t>
      </w:r>
      <w:r w:rsidR="00BD10BB">
        <w:rPr>
          <w:color w:val="000000"/>
        </w:rPr>
        <w:t xml:space="preserve">članice </w:t>
      </w:r>
      <w:r w:rsidRPr="00FA1F39">
        <w:rPr>
          <w:color w:val="000000"/>
        </w:rPr>
        <w:t>uživajo imunitete, priznane poslancem parlamenta te države članice;</w:t>
      </w:r>
    </w:p>
    <w:p w:rsidR="008E6DAE" w:rsidRPr="00FA1F39" w:rsidP="008E6DAE" w14:paraId="403D7775" w14:textId="77777777">
      <w:pPr>
        <w:pStyle w:val="NormalHanging12a"/>
        <w:rPr>
          <w:color w:val="000000"/>
        </w:rPr>
      </w:pPr>
      <w:r w:rsidRPr="00FA1F39">
        <w:rPr>
          <w:color w:val="000000"/>
        </w:rPr>
        <w:t>O.</w:t>
      </w:r>
      <w:r w:rsidRPr="00FA1F39">
        <w:rPr>
          <w:color w:val="000000"/>
        </w:rPr>
        <w:tab/>
        <w:t>ker je v členu 72(1) in (2) romunske ustave določeno, da:</w:t>
      </w:r>
    </w:p>
    <w:p w:rsidR="008E6DAE" w:rsidRPr="00FA1F39" w:rsidP="00E17B99" w14:paraId="111C8F42" w14:textId="77777777">
      <w:pPr>
        <w:pStyle w:val="NormalHanging12a"/>
        <w:ind w:left="1134"/>
        <w:rPr>
          <w:color w:val="000000"/>
        </w:rPr>
      </w:pPr>
      <w:r w:rsidRPr="00FA1F39">
        <w:rPr>
          <w:color w:val="000000"/>
        </w:rPr>
        <w:t>„1.</w:t>
      </w:r>
      <w:r w:rsidRPr="00FA1F39">
        <w:rPr>
          <w:color w:val="000000"/>
        </w:rPr>
        <w:tab/>
        <w:t>Noben poslanec ali senator ni sodno odgovoren za oddane glasove ali politična mnenja, izražena med opravljanjem svoje funkcije.</w:t>
      </w:r>
    </w:p>
    <w:p w:rsidR="008E6DAE" w:rsidRPr="00FA1F39" w:rsidP="00E17B99" w14:paraId="0FB0A2F5" w14:textId="74133045">
      <w:pPr>
        <w:pStyle w:val="NormalHanging12a"/>
        <w:ind w:left="1134"/>
        <w:rPr>
          <w:color w:val="000000"/>
        </w:rPr>
      </w:pPr>
      <w:r w:rsidRPr="00FA1F39">
        <w:rPr>
          <w:color w:val="000000"/>
        </w:rPr>
        <w:t>2.</w:t>
      </w:r>
      <w:r w:rsidRPr="00FA1F39">
        <w:rPr>
          <w:color w:val="000000"/>
        </w:rPr>
        <w:tab/>
        <w:t xml:space="preserve">Zoper poslance in senatorje se lahko uvede kazenska preiskava ali kazenski pregon za dejanja, ki niso povezana z njihovim glasovanjem ali političnim mnenjem, izraženim med opravljanjem njihovega mandata, vendar se jih brez </w:t>
      </w:r>
      <w:r w:rsidRPr="00FA1F39">
        <w:rPr>
          <w:color w:val="000000"/>
        </w:rPr>
        <w:t>soglasja zbora, ki mu pripadajo, po njihovem predhodnem zaslišanju ne sme preiskati, pridržati ali prijeti. Preiskavo in pregon lahko izvaja le državn</w:t>
      </w:r>
      <w:r w:rsidR="00C77BE3">
        <w:rPr>
          <w:color w:val="000000"/>
        </w:rPr>
        <w:t>o</w:t>
      </w:r>
      <w:r w:rsidRPr="00FA1F39">
        <w:rPr>
          <w:color w:val="000000"/>
        </w:rPr>
        <w:t xml:space="preserve"> tožil</w:t>
      </w:r>
      <w:r w:rsidR="00C77BE3">
        <w:rPr>
          <w:color w:val="000000"/>
        </w:rPr>
        <w:t>stvo</w:t>
      </w:r>
      <w:r w:rsidRPr="00FA1F39">
        <w:rPr>
          <w:color w:val="000000"/>
        </w:rPr>
        <w:t xml:space="preserve"> </w:t>
      </w:r>
      <w:r w:rsidR="00C77BE3">
        <w:rPr>
          <w:color w:val="000000"/>
        </w:rPr>
        <w:t xml:space="preserve">pri </w:t>
      </w:r>
      <w:r w:rsidRPr="00FA1F39">
        <w:rPr>
          <w:color w:val="000000"/>
        </w:rPr>
        <w:t>vrhovne</w:t>
      </w:r>
      <w:r w:rsidR="00C77BE3">
        <w:rPr>
          <w:color w:val="000000"/>
        </w:rPr>
        <w:t>m</w:t>
      </w:r>
      <w:r w:rsidRPr="00FA1F39">
        <w:rPr>
          <w:color w:val="000000"/>
        </w:rPr>
        <w:t xml:space="preserve"> kasacijske</w:t>
      </w:r>
      <w:r w:rsidR="00C77BE3">
        <w:rPr>
          <w:color w:val="000000"/>
        </w:rPr>
        <w:t>m</w:t>
      </w:r>
      <w:r w:rsidRPr="00FA1F39">
        <w:rPr>
          <w:color w:val="000000"/>
        </w:rPr>
        <w:t xml:space="preserve"> sodišč</w:t>
      </w:r>
      <w:r w:rsidR="00C77BE3">
        <w:rPr>
          <w:color w:val="000000"/>
        </w:rPr>
        <w:t>u</w:t>
      </w:r>
      <w:r w:rsidRPr="00FA1F39">
        <w:rPr>
          <w:color w:val="000000"/>
        </w:rPr>
        <w:t>. Za ta primer je pristojno vrhovno kasacijsko sodišče.“;</w:t>
      </w:r>
    </w:p>
    <w:p w:rsidR="008E6DAE" w:rsidRPr="00FA1F39" w:rsidP="008E6DAE" w14:paraId="06684B87" w14:textId="77777777">
      <w:pPr>
        <w:pStyle w:val="NormalHanging12a"/>
        <w:rPr>
          <w:color w:val="000000"/>
        </w:rPr>
      </w:pPr>
      <w:r w:rsidRPr="00FA1F39">
        <w:rPr>
          <w:color w:val="000000"/>
        </w:rPr>
        <w:t>P.</w:t>
      </w:r>
      <w:r w:rsidRPr="00FA1F39">
        <w:rPr>
          <w:color w:val="000000"/>
        </w:rPr>
        <w:tab/>
        <w:t>ker je namen poslanske imunitete iz Protokola št. 7 o privilegijih in imunitetah Evropske unije zaščititi Parlament in njegove poslance pred sodnimi postopki v zvezi z dejavnostmi, ki se izvajajo pri opravljanju parlamentarnih dolžnosti in jih ni mogoče ločiti od teh dolžnosti;</w:t>
      </w:r>
    </w:p>
    <w:p w:rsidR="008E6DAE" w:rsidRPr="00FA1F39" w:rsidP="008E6DAE" w14:paraId="6A262832" w14:textId="77777777">
      <w:pPr>
        <w:pStyle w:val="NormalHanging12a"/>
        <w:rPr>
          <w:color w:val="000000"/>
        </w:rPr>
      </w:pPr>
      <w:r w:rsidRPr="00FA1F39">
        <w:rPr>
          <w:color w:val="000000"/>
        </w:rPr>
        <w:t>Q.</w:t>
      </w:r>
      <w:r w:rsidRPr="00FA1F39">
        <w:rPr>
          <w:color w:val="000000"/>
        </w:rPr>
        <w:tab/>
        <w:t>ker v skladu s členom 5(2) Poslovnika parlamentarna imuniteta ni osebni privilegij poslanca, temveč je jamstvo neodvisnosti Parlamenta kot celote in njegovih poslancev;</w:t>
      </w:r>
    </w:p>
    <w:p w:rsidR="008E6DAE" w:rsidRPr="00FA1F39" w:rsidP="008E6DAE" w14:paraId="54E1022B" w14:textId="1F2FB224">
      <w:pPr>
        <w:pStyle w:val="NormalHanging12a"/>
        <w:rPr>
          <w:color w:val="000000"/>
        </w:rPr>
      </w:pPr>
      <w:r w:rsidRPr="00FA1F39">
        <w:rPr>
          <w:color w:val="000000"/>
        </w:rPr>
        <w:t>R.</w:t>
      </w:r>
      <w:r w:rsidRPr="00FA1F39">
        <w:rPr>
          <w:color w:val="000000"/>
        </w:rPr>
        <w:tab/>
        <w:t xml:space="preserve">ker v tem primeru Parlament ni našel dokaza o tem, da gre za </w:t>
      </w:r>
      <w:r w:rsidRPr="00FA1F39">
        <w:rPr>
          <w:i/>
          <w:color w:val="000000"/>
        </w:rPr>
        <w:t>fumus persecutionis</w:t>
      </w:r>
      <w:r w:rsidRPr="00FA1F39">
        <w:rPr>
          <w:color w:val="000000"/>
        </w:rPr>
        <w:t>, kar pomeni dejstva, ki kažejo, da bi bil namen sodnega postopka škodovati politični dejavnosti Diane Iovanovici Şoşoacă</w:t>
      </w:r>
      <w:r w:rsidR="00BD10BB">
        <w:rPr>
          <w:color w:val="000000"/>
        </w:rPr>
        <w:t xml:space="preserve"> kot poslanki Evropskega parlamenta in tako neodvisnosti Evropskega parlamenta</w:t>
      </w:r>
      <w:r w:rsidRPr="00FA1F39">
        <w:rPr>
          <w:color w:val="000000"/>
        </w:rPr>
        <w:t>;</w:t>
      </w:r>
    </w:p>
    <w:p w:rsidR="008E6DAE" w:rsidRPr="00FA1F39" w:rsidP="008E6DAE" w14:paraId="571D1D10" w14:textId="77777777">
      <w:pPr>
        <w:pStyle w:val="NormalHanging12a"/>
        <w:rPr>
          <w:color w:val="000000"/>
        </w:rPr>
      </w:pPr>
      <w:r w:rsidRPr="00FA1F39">
        <w:rPr>
          <w:color w:val="000000"/>
        </w:rPr>
        <w:t>S.</w:t>
      </w:r>
      <w:r w:rsidRPr="00FA1F39">
        <w:rPr>
          <w:color w:val="000000"/>
        </w:rPr>
        <w:tab/>
        <w:t>ker Parlamenta ni mogoče enačiti s sodiščem in ker poslanec v zvezi s postopkom za odvzem imunitete ne sme biti obravnavan kot „obtoženec“</w:t>
      </w:r>
      <w:r>
        <w:rPr>
          <w:color w:val="000000"/>
          <w:vertAlign w:val="superscript"/>
        </w:rPr>
        <w:footnoteReference w:id="3"/>
      </w:r>
      <w:r w:rsidRPr="00FA1F39">
        <w:rPr>
          <w:color w:val="000000"/>
        </w:rPr>
        <w:t>;</w:t>
      </w:r>
    </w:p>
    <w:p w:rsidR="008E6DAE" w:rsidRPr="00FA1F39" w:rsidP="008E6DAE" w14:paraId="12F0C8CE" w14:textId="77777777">
      <w:pPr>
        <w:pStyle w:val="NormalHanging12a"/>
        <w:rPr>
          <w:color w:val="000000"/>
        </w:rPr>
      </w:pPr>
      <w:r w:rsidRPr="00FA1F39">
        <w:rPr>
          <w:color w:val="000000"/>
        </w:rPr>
        <w:t>1.</w:t>
      </w:r>
      <w:r w:rsidRPr="00FA1F39">
        <w:rPr>
          <w:color w:val="000000"/>
        </w:rPr>
        <w:tab/>
        <w:t>sklene, da se Diani Iovanovici Şoşoacă odvzame imuniteta v zvezi z očitanimi kaznivimi dejanji iz točk B, C, D, E, F, G in H;</w:t>
      </w:r>
    </w:p>
    <w:p w:rsidR="008E6DAE" w:rsidRPr="00FA1F39" w:rsidP="008E6DAE" w14:paraId="3A544015" w14:textId="77777777">
      <w:pPr>
        <w:pStyle w:val="NormalHanging12a"/>
        <w:rPr>
          <w:color w:val="000000"/>
        </w:rPr>
      </w:pPr>
      <w:r w:rsidRPr="00FA1F39">
        <w:rPr>
          <w:color w:val="000000"/>
        </w:rPr>
        <w:t>2.</w:t>
      </w:r>
      <w:r w:rsidRPr="00FA1F39">
        <w:rPr>
          <w:color w:val="000000"/>
        </w:rPr>
        <w:tab/>
        <w:t>sklene, da se Diani Iovanovici Şoşoacă imuniteta ne odvzame v zvezi z očitanim kaznivim dejanjem iz točke I;</w:t>
      </w:r>
    </w:p>
    <w:p w:rsidR="00E365E1" w:rsidRPr="00FA1F39" w:rsidP="0046271F" w14:paraId="6EA7ECAA" w14:textId="4C4C99FD">
      <w:pPr>
        <w:ind w:left="567" w:hanging="567"/>
      </w:pPr>
      <w:r w:rsidRPr="00FA1F39">
        <w:t>3.</w:t>
      </w:r>
      <w:r w:rsidRPr="00FA1F39">
        <w:tab/>
        <w:t>naroči svoji predsednici, naj ta sklep in poročilo pristojnega odbora nemudoma posreduje pristojnim romunskim organom in Diani Iovanovici Şoşoacă.</w:t>
      </w:r>
    </w:p>
    <w:sectPr w:rsidSect="00FA1F3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1F39" w14:paraId="28C12EB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1F39" w14:paraId="3C18F03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1F39" w14:paraId="265FAB5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D167E" w:rsidRPr="00FA1F39" w14:paraId="36DCD2FB" w14:textId="77777777">
      <w:r w:rsidRPr="00FA1F39">
        <w:separator/>
      </w:r>
    </w:p>
  </w:footnote>
  <w:footnote w:type="continuationSeparator" w:id="1">
    <w:p w:rsidR="003D167E" w:rsidRPr="00FA1F39" w14:paraId="400AF0C9" w14:textId="77777777">
      <w:r w:rsidRPr="00FA1F39">
        <w:continuationSeparator/>
      </w:r>
    </w:p>
  </w:footnote>
  <w:footnote w:id="2">
    <w:p w:rsidR="008E6DAE" w:rsidRPr="00FA1F39" w:rsidP="00FA1F39" w14:paraId="0DE13F45" w14:textId="119157F0">
      <w:pPr>
        <w:pStyle w:val="FootnoteText"/>
        <w:ind w:left="567" w:hanging="567"/>
        <w:rPr>
          <w:sz w:val="24"/>
          <w:lang w:val="sl-SI"/>
        </w:rPr>
      </w:pPr>
      <w:r w:rsidRPr="00FA1F39">
        <w:rPr>
          <w:rStyle w:val="FootnoteReference"/>
          <w:sz w:val="24"/>
          <w:lang w:val="sl-SI"/>
        </w:rPr>
        <w:footnoteRef/>
      </w:r>
      <w:r w:rsidRPr="00FA1F39" w:rsidR="00FA1F39">
        <w:rPr>
          <w:sz w:val="24"/>
          <w:lang w:val="sl-SI"/>
        </w:rPr>
        <w:t xml:space="preserve"> </w:t>
      </w:r>
      <w:r w:rsidRPr="00FA1F39" w:rsidR="00FA1F39">
        <w:rPr>
          <w:sz w:val="24"/>
          <w:lang w:val="sl-SI"/>
        </w:rPr>
        <w:tab/>
      </w:r>
      <w:r w:rsidRPr="00FA1F39">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ECLI:EU:C:2011:543; sodba Splošnega sodišča z dne 17. januarja 2013, Gollnisch/Parlament, T-346/11 in T-347/11, ECLI:EU:T:2013:23; sodba Sodišča z dne 19. decembra 2019, Junqueras Vies, C-502/19, ECLI:EU:C:2019:1115.</w:t>
      </w:r>
    </w:p>
  </w:footnote>
  <w:footnote w:id="3">
    <w:p w:rsidR="008E6DAE" w:rsidRPr="00FA1F39" w:rsidP="00FA1F39" w14:paraId="1544FEC7" w14:textId="3908FE2B">
      <w:pPr>
        <w:pStyle w:val="FootnoteText"/>
        <w:ind w:left="567" w:hanging="567"/>
        <w:rPr>
          <w:sz w:val="24"/>
          <w:lang w:val="sl-SI"/>
        </w:rPr>
      </w:pPr>
      <w:r w:rsidRPr="00FA1F39">
        <w:rPr>
          <w:rStyle w:val="FootnoteReference"/>
          <w:sz w:val="24"/>
          <w:lang w:val="sl-SI"/>
        </w:rPr>
        <w:footnoteRef/>
      </w:r>
      <w:r w:rsidRPr="00FA1F39" w:rsidR="00FA1F39">
        <w:rPr>
          <w:sz w:val="24"/>
          <w:lang w:val="sl-SI"/>
        </w:rPr>
        <w:t xml:space="preserve"> </w:t>
      </w:r>
      <w:r w:rsidRPr="00FA1F39" w:rsidR="00FA1F39">
        <w:rPr>
          <w:sz w:val="24"/>
          <w:lang w:val="sl-SI"/>
        </w:rPr>
        <w:tab/>
      </w:r>
      <w:r w:rsidRPr="00FA1F39">
        <w:rPr>
          <w:sz w:val="24"/>
          <w:lang w:val="sl-SI"/>
        </w:rPr>
        <w:t>Sodba Splošnega sodišča z dne 30. aprila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1F39" w14:paraId="1FA4F58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1F39" w14:paraId="2EA39DE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1F39" w14:paraId="60D2AD0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5875520">
    <w:abstractNumId w:val="9"/>
  </w:num>
  <w:num w:numId="2" w16cid:durableId="22364421">
    <w:abstractNumId w:val="9"/>
  </w:num>
  <w:num w:numId="3" w16cid:durableId="810712012">
    <w:abstractNumId w:val="7"/>
  </w:num>
  <w:num w:numId="4" w16cid:durableId="179469299">
    <w:abstractNumId w:val="7"/>
  </w:num>
  <w:num w:numId="5" w16cid:durableId="1586567692">
    <w:abstractNumId w:val="6"/>
  </w:num>
  <w:num w:numId="6" w16cid:durableId="31735927">
    <w:abstractNumId w:val="6"/>
  </w:num>
  <w:num w:numId="7" w16cid:durableId="50888203">
    <w:abstractNumId w:val="5"/>
  </w:num>
  <w:num w:numId="8" w16cid:durableId="1537737425">
    <w:abstractNumId w:val="5"/>
  </w:num>
  <w:num w:numId="9" w16cid:durableId="66078645">
    <w:abstractNumId w:val="4"/>
  </w:num>
  <w:num w:numId="10" w16cid:durableId="50034591">
    <w:abstractNumId w:val="4"/>
  </w:num>
  <w:num w:numId="11" w16cid:durableId="1634019438">
    <w:abstractNumId w:val="8"/>
  </w:num>
  <w:num w:numId="12" w16cid:durableId="72051282">
    <w:abstractNumId w:val="8"/>
  </w:num>
  <w:num w:numId="13" w16cid:durableId="2061708547">
    <w:abstractNumId w:val="3"/>
  </w:num>
  <w:num w:numId="14" w16cid:durableId="1687824200">
    <w:abstractNumId w:val="3"/>
  </w:num>
  <w:num w:numId="15" w16cid:durableId="488788519">
    <w:abstractNumId w:val="2"/>
  </w:num>
  <w:num w:numId="16" w16cid:durableId="422994102">
    <w:abstractNumId w:val="2"/>
  </w:num>
  <w:num w:numId="17" w16cid:durableId="602806621">
    <w:abstractNumId w:val="1"/>
  </w:num>
  <w:num w:numId="18" w16cid:durableId="566769955">
    <w:abstractNumId w:val="1"/>
  </w:num>
  <w:num w:numId="19" w16cid:durableId="2146729781">
    <w:abstractNumId w:val="0"/>
  </w:num>
  <w:num w:numId="20" w16cid:durableId="562528160">
    <w:abstractNumId w:val="0"/>
  </w:num>
  <w:num w:numId="21" w16cid:durableId="84691512">
    <w:abstractNumId w:val="9"/>
  </w:num>
  <w:num w:numId="22" w16cid:durableId="1856966499">
    <w:abstractNumId w:val="7"/>
  </w:num>
  <w:num w:numId="23" w16cid:durableId="1622036225">
    <w:abstractNumId w:val="6"/>
  </w:num>
  <w:num w:numId="24" w16cid:durableId="1515069792">
    <w:abstractNumId w:val="5"/>
  </w:num>
  <w:num w:numId="25" w16cid:durableId="1026249930">
    <w:abstractNumId w:val="4"/>
  </w:num>
  <w:num w:numId="26" w16cid:durableId="1579897969">
    <w:abstractNumId w:val="8"/>
  </w:num>
  <w:num w:numId="27" w16cid:durableId="420175859">
    <w:abstractNumId w:val="3"/>
  </w:num>
  <w:num w:numId="28" w16cid:durableId="126558563">
    <w:abstractNumId w:val="2"/>
  </w:num>
  <w:num w:numId="29" w16cid:durableId="937828556">
    <w:abstractNumId w:val="1"/>
  </w:num>
  <w:num w:numId="30" w16cid:durableId="2098624536">
    <w:abstractNumId w:val="0"/>
  </w:num>
  <w:num w:numId="31" w16cid:durableId="1512798604">
    <w:abstractNumId w:val="9"/>
  </w:num>
  <w:num w:numId="32" w16cid:durableId="702560426">
    <w:abstractNumId w:val="7"/>
  </w:num>
  <w:num w:numId="33" w16cid:durableId="678577701">
    <w:abstractNumId w:val="6"/>
  </w:num>
  <w:num w:numId="34" w16cid:durableId="2027053718">
    <w:abstractNumId w:val="5"/>
  </w:num>
  <w:num w:numId="35" w16cid:durableId="435254450">
    <w:abstractNumId w:val="4"/>
  </w:num>
  <w:num w:numId="36" w16cid:durableId="2032222876">
    <w:abstractNumId w:val="8"/>
  </w:num>
  <w:num w:numId="37" w16cid:durableId="1115249721">
    <w:abstractNumId w:val="3"/>
  </w:num>
  <w:num w:numId="38" w16cid:durableId="619142929">
    <w:abstractNumId w:val="2"/>
  </w:num>
  <w:num w:numId="39" w16cid:durableId="198669954">
    <w:abstractNumId w:val="1"/>
  </w:num>
  <w:num w:numId="40" w16cid:durableId="934050762">
    <w:abstractNumId w:val="0"/>
  </w:num>
  <w:num w:numId="41" w16cid:durableId="1438527012">
    <w:abstractNumId w:val="10"/>
  </w:num>
  <w:num w:numId="42" w16cid:durableId="166016417">
    <w:abstractNumId w:val="10"/>
  </w:num>
  <w:num w:numId="43" w16cid:durableId="1329867550">
    <w:abstractNumId w:val="10"/>
  </w:num>
  <w:num w:numId="44" w16cid:durableId="211420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67E"/>
    <w:rsid w:val="00002272"/>
    <w:rsid w:val="00064002"/>
    <w:rsid w:val="000677B9"/>
    <w:rsid w:val="000831BA"/>
    <w:rsid w:val="000A42CC"/>
    <w:rsid w:val="000E7DD9"/>
    <w:rsid w:val="0010095E"/>
    <w:rsid w:val="00125B37"/>
    <w:rsid w:val="00187494"/>
    <w:rsid w:val="001F32AE"/>
    <w:rsid w:val="002767FF"/>
    <w:rsid w:val="00295F13"/>
    <w:rsid w:val="002B18FE"/>
    <w:rsid w:val="002B5493"/>
    <w:rsid w:val="00343214"/>
    <w:rsid w:val="00361C00"/>
    <w:rsid w:val="00395FA1"/>
    <w:rsid w:val="003D167E"/>
    <w:rsid w:val="003E15D4"/>
    <w:rsid w:val="00411CCE"/>
    <w:rsid w:val="0041666E"/>
    <w:rsid w:val="00421060"/>
    <w:rsid w:val="0046271F"/>
    <w:rsid w:val="00471C19"/>
    <w:rsid w:val="004867E3"/>
    <w:rsid w:val="00494A28"/>
    <w:rsid w:val="004C0004"/>
    <w:rsid w:val="004C5D52"/>
    <w:rsid w:val="004D0261"/>
    <w:rsid w:val="0050519A"/>
    <w:rsid w:val="005072A1"/>
    <w:rsid w:val="00514517"/>
    <w:rsid w:val="00545827"/>
    <w:rsid w:val="00560270"/>
    <w:rsid w:val="005C2568"/>
    <w:rsid w:val="005F1B17"/>
    <w:rsid w:val="006037C0"/>
    <w:rsid w:val="006554AA"/>
    <w:rsid w:val="006631B6"/>
    <w:rsid w:val="00680577"/>
    <w:rsid w:val="006B0C38"/>
    <w:rsid w:val="006F74FA"/>
    <w:rsid w:val="00731ADD"/>
    <w:rsid w:val="00734777"/>
    <w:rsid w:val="00747932"/>
    <w:rsid w:val="00751A4A"/>
    <w:rsid w:val="00756632"/>
    <w:rsid w:val="00762C74"/>
    <w:rsid w:val="00786EC0"/>
    <w:rsid w:val="007D1690"/>
    <w:rsid w:val="007D55BD"/>
    <w:rsid w:val="007E22AD"/>
    <w:rsid w:val="0081285C"/>
    <w:rsid w:val="00817416"/>
    <w:rsid w:val="00842779"/>
    <w:rsid w:val="00865F67"/>
    <w:rsid w:val="00881A7B"/>
    <w:rsid w:val="008840E5"/>
    <w:rsid w:val="00887B3E"/>
    <w:rsid w:val="008C2AC6"/>
    <w:rsid w:val="008E6DAE"/>
    <w:rsid w:val="008F72B6"/>
    <w:rsid w:val="009260D5"/>
    <w:rsid w:val="00930C23"/>
    <w:rsid w:val="0093193B"/>
    <w:rsid w:val="009509D8"/>
    <w:rsid w:val="00950B64"/>
    <w:rsid w:val="00981893"/>
    <w:rsid w:val="009A72A6"/>
    <w:rsid w:val="00A1687D"/>
    <w:rsid w:val="00A43E52"/>
    <w:rsid w:val="00A4678D"/>
    <w:rsid w:val="00A66EB2"/>
    <w:rsid w:val="00A778C7"/>
    <w:rsid w:val="00AA376F"/>
    <w:rsid w:val="00AB441E"/>
    <w:rsid w:val="00AB6293"/>
    <w:rsid w:val="00AE0928"/>
    <w:rsid w:val="00AF3B82"/>
    <w:rsid w:val="00B12E95"/>
    <w:rsid w:val="00B22876"/>
    <w:rsid w:val="00B558F0"/>
    <w:rsid w:val="00BD10BB"/>
    <w:rsid w:val="00BD48FE"/>
    <w:rsid w:val="00BD7BD8"/>
    <w:rsid w:val="00BE6ADC"/>
    <w:rsid w:val="00C05BFE"/>
    <w:rsid w:val="00C23CD4"/>
    <w:rsid w:val="00C4588E"/>
    <w:rsid w:val="00C61C0C"/>
    <w:rsid w:val="00C77BE3"/>
    <w:rsid w:val="00C941CB"/>
    <w:rsid w:val="00CC2357"/>
    <w:rsid w:val="00CF071A"/>
    <w:rsid w:val="00D058B8"/>
    <w:rsid w:val="00D37982"/>
    <w:rsid w:val="00D56C11"/>
    <w:rsid w:val="00D834A0"/>
    <w:rsid w:val="00D872DF"/>
    <w:rsid w:val="00D91E21"/>
    <w:rsid w:val="00DA7FCD"/>
    <w:rsid w:val="00E17B99"/>
    <w:rsid w:val="00E365E1"/>
    <w:rsid w:val="00E820A4"/>
    <w:rsid w:val="00EB006A"/>
    <w:rsid w:val="00EB17E0"/>
    <w:rsid w:val="00EB4772"/>
    <w:rsid w:val="00ED169E"/>
    <w:rsid w:val="00ED4235"/>
    <w:rsid w:val="00EF7804"/>
    <w:rsid w:val="00F04346"/>
    <w:rsid w:val="00F075DC"/>
    <w:rsid w:val="00F149E9"/>
    <w:rsid w:val="00F40A8E"/>
    <w:rsid w:val="00F452A1"/>
    <w:rsid w:val="00F5134D"/>
    <w:rsid w:val="00F74202"/>
    <w:rsid w:val="00F87713"/>
    <w:rsid w:val="00FA1F39"/>
    <w:rsid w:val="00FB4360"/>
    <w:rsid w:val="00FD0C70"/>
  </w:rsids>
  <w:docVars>
    <w:docVar w:name="dvdocse" w:val="A10-0117/2026"/>
    <w:docVar w:name="dvlangue" w:val="SL"/>
    <w:docVar w:name="dvnumam" w:val="0"/>
    <w:docVar w:name="dvpe" w:val="785.318"/>
    <w:docVar w:name="dvrapporteur" w:val="Poročevalec: "/>
    <w:docVar w:name="dvtitre" w:val="Sklep Evropskega parlamenta z dne XX. aprila 2026 o zahtevi za odvzem imunitete Diani Iovanovici Şoşoacă(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9D9CC6"/>
  <w15:chartTrackingRefBased/>
  <w15:docId w15:val="{C1B99FF0-E4EE-41DC-96D6-3BBD6EBE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E6DAE"/>
    <w:pPr>
      <w:spacing w:after="240"/>
      <w:ind w:left="567" w:hanging="567"/>
    </w:pPr>
  </w:style>
  <w:style w:type="paragraph" w:customStyle="1" w:styleId="EPComma">
    <w:name w:val="EPComma"/>
    <w:basedOn w:val="Normal"/>
    <w:rsid w:val="008E6DAE"/>
    <w:pPr>
      <w:spacing w:before="480" w:after="240"/>
    </w:pPr>
  </w:style>
  <w:style w:type="paragraph" w:styleId="Revision">
    <w:name w:val="Revision"/>
    <w:hidden/>
    <w:uiPriority w:val="99"/>
    <w:semiHidden/>
    <w:rsid w:val="00BD10BB"/>
    <w:rPr>
      <w:sz w:val="24"/>
      <w:lang w:val="sl-SI"/>
    </w:rPr>
  </w:style>
  <w:style w:type="character" w:styleId="CommentReference">
    <w:name w:val="annotation reference"/>
    <w:basedOn w:val="DefaultParagraphFont"/>
    <w:rsid w:val="00BD10BB"/>
    <w:rPr>
      <w:sz w:val="16"/>
      <w:szCs w:val="16"/>
    </w:rPr>
  </w:style>
  <w:style w:type="paragraph" w:styleId="CommentText">
    <w:name w:val="annotation text"/>
    <w:basedOn w:val="Normal"/>
    <w:link w:val="CommentTextChar"/>
    <w:rsid w:val="00BD10BB"/>
    <w:rPr>
      <w:sz w:val="20"/>
    </w:rPr>
  </w:style>
  <w:style w:type="character" w:customStyle="1" w:styleId="CommentTextChar">
    <w:name w:val="Comment Text Char"/>
    <w:basedOn w:val="DefaultParagraphFont"/>
    <w:link w:val="CommentText"/>
    <w:rsid w:val="00BD10BB"/>
    <w:rPr>
      <w:lang w:val="sl-SI"/>
    </w:rPr>
  </w:style>
  <w:style w:type="paragraph" w:styleId="CommentSubject">
    <w:name w:val="annotation subject"/>
    <w:basedOn w:val="CommentText"/>
    <w:next w:val="CommentText"/>
    <w:link w:val="CommentSubjectChar"/>
    <w:rsid w:val="00BD10BB"/>
    <w:rPr>
      <w:b/>
      <w:bCs/>
    </w:rPr>
  </w:style>
  <w:style w:type="character" w:customStyle="1" w:styleId="CommentSubjectChar">
    <w:name w:val="Comment Subject Char"/>
    <w:basedOn w:val="CommentTextChar"/>
    <w:link w:val="CommentSubject"/>
    <w:rsid w:val="00BD10BB"/>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1417</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2026-04-28T10:55:00Z</dcterms:created>
  <dcterms:modified xsi:type="dcterms:W3CDTF">2026-04-28T10:55:00Z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A10-0117/2026</vt:lpwstr>
  </property>
  <property fmtid="{D5CDD505-2E9C-101B-9397-08002B2CF9AE}" pid="4" name="&lt;Type&gt;">
    <vt:lpwstr>RR</vt:lpwstr>
  </property>
</Properties>
</file>