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FDBEF96" w14:textId="77777777" w:rsidTr="0010095E">
        <w:tblPrEx>
          <w:tblW w:w="9072" w:type="dxa"/>
          <w:tblLook w:val="01E0"/>
        </w:tblPrEx>
        <w:trPr>
          <w:trHeight w:hRule="exact" w:val="1418"/>
        </w:trPr>
        <w:tc>
          <w:tcPr>
            <w:tcW w:w="6804" w:type="dxa"/>
            <w:shd w:val="clear" w:color="auto" w:fill="auto"/>
            <w:vAlign w:val="center"/>
          </w:tcPr>
          <w:p w:rsidR="00751A4A" w:rsidRPr="005227D0" w:rsidP="0010095E" w14:paraId="01F5EC43" w14:textId="66CD1133">
            <w:pPr>
              <w:pStyle w:val="EPName"/>
            </w:pPr>
            <w:r w:rsidRPr="005227D0">
              <w:t>Europaparlamentet</w:t>
            </w:r>
          </w:p>
          <w:p w:rsidR="00751A4A" w:rsidRPr="005227D0" w:rsidP="005F1B17" w14:paraId="52757758" w14:textId="77777777">
            <w:pPr>
              <w:pStyle w:val="EPTerm"/>
              <w:rPr>
                <w:rStyle w:val="HideTWBExt"/>
                <w:noProof w:val="0"/>
                <w:vanish w:val="0"/>
                <w:color w:val="auto"/>
              </w:rPr>
            </w:pPr>
            <w:r w:rsidRPr="005227D0">
              <w:t>2024</w:t>
            </w:r>
            <w:r w:rsidRPr="005227D0" w:rsidR="00817416">
              <w:t>-202</w:t>
            </w:r>
            <w:r w:rsidRPr="005227D0">
              <w:t>9</w:t>
            </w:r>
          </w:p>
        </w:tc>
        <w:tc>
          <w:tcPr>
            <w:tcW w:w="2268" w:type="dxa"/>
            <w:shd w:val="clear" w:color="auto" w:fill="auto"/>
          </w:tcPr>
          <w:p w:rsidR="00751A4A" w:rsidRPr="005227D0" w:rsidP="0010095E" w14:paraId="7F703CDD" w14:textId="77777777">
            <w:pPr>
              <w:pStyle w:val="EPLogo"/>
            </w:pPr>
            <w:r w:rsidRPr="005227D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227D0" w:rsidP="004C5D52" w14:paraId="0383065E" w14:textId="77777777">
      <w:pPr>
        <w:pStyle w:val="LineTop"/>
      </w:pPr>
    </w:p>
    <w:p w:rsidR="00680577" w:rsidRPr="005227D0" w:rsidP="00680577" w14:paraId="5497F274" w14:textId="4ABB6532">
      <w:pPr>
        <w:pStyle w:val="EPBodyTA1"/>
      </w:pPr>
      <w:r w:rsidRPr="005227D0">
        <w:t>ANTAGNA TEXTER</w:t>
      </w:r>
    </w:p>
    <w:p w:rsidR="00D058B8" w:rsidRPr="005227D0" w:rsidP="00D058B8" w14:paraId="643D2FB8" w14:textId="77777777">
      <w:pPr>
        <w:pStyle w:val="LineBottom"/>
      </w:pPr>
    </w:p>
    <w:p w:rsidR="00C72608" w:rsidRPr="005227D0" w:rsidP="00C72608" w14:paraId="68BF1FC2" w14:textId="710145A5">
      <w:pPr>
        <w:pStyle w:val="ATHeading1"/>
      </w:pPr>
      <w:bookmarkStart w:id="0" w:name="TANumber"/>
      <w:r w:rsidRPr="005227D0">
        <w:t>P10_TA(2026)0</w:t>
      </w:r>
      <w:bookmarkEnd w:id="0"/>
      <w:r w:rsidR="00340185">
        <w:t>108</w:t>
      </w:r>
    </w:p>
    <w:p w:rsidR="00C72608" w:rsidRPr="005227D0" w:rsidP="00C72608" w14:paraId="00854D2E" w14:textId="4616CFA4">
      <w:pPr>
        <w:pStyle w:val="ATHeading2"/>
      </w:pPr>
      <w:bookmarkStart w:id="1" w:name="title"/>
      <w:r w:rsidRPr="005227D0">
        <w:t xml:space="preserve">Begäran om upphävande av Diana </w:t>
      </w:r>
      <w:r w:rsidRPr="005227D0">
        <w:t>Iovanovici</w:t>
      </w:r>
      <w:r w:rsidRPr="005227D0">
        <w:t xml:space="preserve"> </w:t>
      </w:r>
      <w:r w:rsidRPr="005227D0">
        <w:t>Şoşoacăs</w:t>
      </w:r>
      <w:r w:rsidRPr="005227D0">
        <w:t xml:space="preserve"> immunitet</w:t>
      </w:r>
      <w:bookmarkEnd w:id="1"/>
    </w:p>
    <w:p w:rsidR="00C72608" w:rsidRPr="005227D0" w:rsidP="00C72608" w14:paraId="78A56D6D" w14:textId="77777777">
      <w:pPr>
        <w:rPr>
          <w:i/>
          <w:vanish/>
        </w:rPr>
      </w:pPr>
      <w:r>
        <w:rPr>
          <w:i/>
        </w:rPr>
        <w:fldChar w:fldCharType="begin"/>
      </w:r>
      <w:r w:rsidRPr="005227D0">
        <w:rPr>
          <w:i/>
        </w:rPr>
        <w:instrText xml:space="preserve"> TC"(</w:instrText>
      </w:r>
      <w:bookmarkStart w:id="2" w:name="DocNumber"/>
      <w:r w:rsidRPr="005227D0">
        <w:rPr>
          <w:i/>
        </w:rPr>
        <w:instrText>A10-0117/2026</w:instrText>
      </w:r>
      <w:bookmarkEnd w:id="2"/>
      <w:r w:rsidRPr="005227D0">
        <w:rPr>
          <w:i/>
        </w:rPr>
        <w:instrText xml:space="preserve"> - Föredragande: Dominik </w:instrText>
      </w:r>
      <w:r w:rsidRPr="005227D0">
        <w:rPr>
          <w:i/>
        </w:rPr>
        <w:instrText>Tarczyński</w:instrText>
      </w:r>
      <w:r w:rsidRPr="005227D0">
        <w:rPr>
          <w:i/>
        </w:rPr>
        <w:instrText xml:space="preserve">)"\l3 \n&gt; \* MERGEFORMAT </w:instrText>
      </w:r>
      <w:r>
        <w:rPr>
          <w:i/>
        </w:rPr>
        <w:fldChar w:fldCharType="end"/>
      </w:r>
    </w:p>
    <w:p w:rsidR="00C72608" w:rsidRPr="005227D0" w:rsidP="00C72608" w14:paraId="776CD36C" w14:textId="77777777">
      <w:pPr>
        <w:rPr>
          <w:vanish/>
        </w:rPr>
      </w:pPr>
      <w:bookmarkStart w:id="3" w:name="Commission"/>
      <w:r w:rsidRPr="005227D0">
        <w:rPr>
          <w:vanish/>
        </w:rPr>
        <w:t>Utskottet för rättsliga frågor</w:t>
      </w:r>
      <w:bookmarkEnd w:id="3"/>
    </w:p>
    <w:p w:rsidR="00C72608" w:rsidRPr="005227D0" w:rsidP="00C72608" w14:paraId="561B9FEE" w14:textId="77777777">
      <w:pPr>
        <w:rPr>
          <w:vanish/>
        </w:rPr>
      </w:pPr>
      <w:bookmarkStart w:id="4" w:name="PE"/>
      <w:r w:rsidRPr="005227D0">
        <w:rPr>
          <w:vanish/>
        </w:rPr>
        <w:t>PE785.318</w:t>
      </w:r>
      <w:bookmarkEnd w:id="4"/>
    </w:p>
    <w:p w:rsidR="00C72608" w:rsidRPr="005227D0" w:rsidP="005227D0" w14:paraId="3C6B2F6B" w14:textId="2EF1B400">
      <w:pPr>
        <w:pStyle w:val="ATHeading3"/>
      </w:pPr>
      <w:bookmarkStart w:id="5" w:name="Sujet"/>
      <w:r w:rsidRPr="005227D0">
        <w:t xml:space="preserve">Europaparlamentets beslut av den </w:t>
      </w:r>
      <w:r w:rsidRPr="005227D0" w:rsidR="00AE7E73">
        <w:t xml:space="preserve">28 april </w:t>
      </w:r>
      <w:r w:rsidRPr="005227D0">
        <w:t xml:space="preserve">2026 om begäran om upphävande av Diana </w:t>
      </w:r>
      <w:r w:rsidRPr="005227D0">
        <w:t>Iovanovici</w:t>
      </w:r>
      <w:r w:rsidRPr="005227D0">
        <w:t xml:space="preserve"> </w:t>
      </w:r>
      <w:r w:rsidRPr="005227D0">
        <w:t>Şoşoacăs</w:t>
      </w:r>
      <w:r w:rsidRPr="005227D0">
        <w:t xml:space="preserve"> immunitet</w:t>
      </w:r>
      <w:bookmarkEnd w:id="5"/>
      <w:r w:rsidRPr="005227D0">
        <w:t xml:space="preserve"> </w:t>
      </w:r>
      <w:bookmarkStart w:id="6" w:name="References"/>
      <w:r w:rsidRPr="005227D0">
        <w:t>(2025/2196(IMM))</w:t>
      </w:r>
      <w:bookmarkEnd w:id="6"/>
    </w:p>
    <w:p w:rsidR="00F72658" w:rsidRPr="005227D0" w:rsidP="00F72658" w14:paraId="18278D63" w14:textId="77777777">
      <w:pPr>
        <w:pStyle w:val="EPComma"/>
      </w:pPr>
      <w:bookmarkStart w:id="7" w:name="TextBodyBegin"/>
      <w:bookmarkEnd w:id="7"/>
      <w:r w:rsidRPr="005227D0">
        <w:rPr>
          <w:i/>
          <w:iCs/>
        </w:rPr>
        <w:t>Europaparlamentet fattar detta beslut</w:t>
      </w:r>
    </w:p>
    <w:p w:rsidR="00F72658" w:rsidRPr="005227D0" w:rsidP="00F72658" w14:paraId="4067BB79" w14:textId="09933C45">
      <w:pPr>
        <w:pStyle w:val="NormalHanging12a"/>
      </w:pPr>
      <w:r w:rsidRPr="005227D0">
        <w:t>–</w:t>
      </w:r>
      <w:r w:rsidRPr="005227D0">
        <w:tab/>
        <w:t>med beaktande av den begäran om upphävande av Diana </w:t>
      </w:r>
      <w:r w:rsidRPr="005227D0">
        <w:t>Iovanovici</w:t>
      </w:r>
      <w:r w:rsidRPr="005227D0">
        <w:t> </w:t>
      </w:r>
      <w:r w:rsidRPr="005227D0">
        <w:t>Şoşoacăs</w:t>
      </w:r>
      <w:r w:rsidRPr="005227D0">
        <w:t xml:space="preserve"> immunitet som mottogs genom en skrivelse av den 24 september 2025 från Rumäniens justitieminister, med en begäran från </w:t>
      </w:r>
      <w:r w:rsidRPr="005227D0" w:rsidR="004444FA">
        <w:t xml:space="preserve">den allmänna </w:t>
      </w:r>
      <w:r w:rsidRPr="005227D0">
        <w:t xml:space="preserve">åklagarmyndigheten </w:t>
      </w:r>
      <w:r w:rsidRPr="005227D0" w:rsidR="004444FA">
        <w:t>knuten till</w:t>
      </w:r>
      <w:r w:rsidRPr="005227D0">
        <w:t xml:space="preserve"> Rumäniens högsta domstol med anledning av brottmålsförfaranden inledda mot Diana </w:t>
      </w:r>
      <w:r w:rsidRPr="005227D0">
        <w:t>Iovanovici</w:t>
      </w:r>
      <w:r w:rsidRPr="005227D0">
        <w:t xml:space="preserve"> </w:t>
      </w:r>
      <w:r w:rsidRPr="005227D0">
        <w:t>Şoşoacă</w:t>
      </w:r>
      <w:r w:rsidRPr="005227D0">
        <w:t>, och som tillkännagavs i kammaren den 9 oktober 2025,</w:t>
      </w:r>
    </w:p>
    <w:p w:rsidR="00F72658" w:rsidRPr="005227D0" w:rsidP="00F72658" w14:paraId="668FE6BF" w14:textId="23DF8289">
      <w:pPr>
        <w:pStyle w:val="NormalHanging12a"/>
      </w:pPr>
      <w:r w:rsidRPr="005227D0">
        <w:t>–</w:t>
      </w:r>
      <w:r w:rsidRPr="005227D0">
        <w:tab/>
        <w:t xml:space="preserve">efter att ha hört Diana </w:t>
      </w:r>
      <w:r w:rsidRPr="005227D0">
        <w:t>Iovanovici</w:t>
      </w:r>
      <w:r w:rsidRPr="005227D0">
        <w:t xml:space="preserve"> </w:t>
      </w:r>
      <w:r w:rsidRPr="005227D0">
        <w:t>Şoşoacă</w:t>
      </w:r>
      <w:r w:rsidRPr="005227D0">
        <w:t xml:space="preserve"> den 24 mars 2026 i enlighet med artikel 9.6 i arbetsordningen,</w:t>
      </w:r>
    </w:p>
    <w:p w:rsidR="00F72658" w:rsidRPr="005227D0" w:rsidP="00F72658" w14:paraId="39942CC4" w14:textId="77777777">
      <w:pPr>
        <w:pStyle w:val="NormalHanging12a"/>
      </w:pPr>
      <w:r w:rsidRPr="005227D0">
        <w:t>–</w:t>
      </w:r>
      <w:r w:rsidRPr="005227D0">
        <w:tab/>
        <w:t>med beaktande av artiklarna 8 och 9 i protokoll nr 7 om Europeiska unionens immunitet och privilegier och artikel 6.2 i akten av den 20 september 1976 om allmänna direkta val av ledamöter av Europaparlamentet,</w:t>
      </w:r>
    </w:p>
    <w:p w:rsidR="00F72658" w:rsidRPr="005227D0" w:rsidP="00F72658" w14:paraId="04862CF4" w14:textId="77777777">
      <w:pPr>
        <w:pStyle w:val="NormalHanging12a"/>
      </w:pPr>
      <w:r w:rsidRPr="005227D0">
        <w:t>–</w:t>
      </w:r>
      <w:r w:rsidRPr="005227D0">
        <w:tab/>
        <w:t>med beaktande av Europeiska unionens domstols domar av den 21 oktober 2008, 19 mars 2010, 6 september 2011, 17 januari 2013 och 19 december 2019</w:t>
      </w:r>
      <w:r>
        <w:rPr>
          <w:vertAlign w:val="superscript"/>
        </w:rPr>
        <w:footnoteReference w:id="2"/>
      </w:r>
      <w:r w:rsidRPr="005227D0">
        <w:t>,</w:t>
      </w:r>
    </w:p>
    <w:p w:rsidR="00F72658" w:rsidRPr="005227D0" w:rsidP="00F72658" w14:paraId="2A7746A3" w14:textId="77777777">
      <w:pPr>
        <w:pStyle w:val="NormalHanging12a"/>
      </w:pPr>
      <w:r w:rsidRPr="005227D0">
        <w:t>–</w:t>
      </w:r>
      <w:r w:rsidRPr="005227D0">
        <w:tab/>
        <w:t>med beaktande av artikel 72.1 och 72.2 i Rumäniens konstitution,</w:t>
      </w:r>
    </w:p>
    <w:p w:rsidR="00F72658" w:rsidRPr="005227D0" w:rsidP="00F72658" w14:paraId="3CDDA552" w14:textId="77777777">
      <w:pPr>
        <w:pStyle w:val="NormalHanging12a"/>
      </w:pPr>
      <w:r w:rsidRPr="005227D0">
        <w:t>–</w:t>
      </w:r>
      <w:r w:rsidRPr="005227D0">
        <w:tab/>
        <w:t>med beaktande av artiklarna 5.2, 6.1 och 9 i arbetsordningen,</w:t>
      </w:r>
    </w:p>
    <w:p w:rsidR="00F72658" w:rsidRPr="005227D0" w:rsidP="00F72658" w14:paraId="1E1C06EB" w14:textId="77777777">
      <w:pPr>
        <w:pStyle w:val="NormalHanging12a"/>
      </w:pPr>
      <w:r w:rsidRPr="005227D0">
        <w:t>–</w:t>
      </w:r>
      <w:r w:rsidRPr="005227D0">
        <w:tab/>
        <w:t xml:space="preserve">med beaktande av betänkandet från utskottet för rättsliga frågor (A10-0117/2026), och </w:t>
      </w:r>
      <w:r w:rsidRPr="005227D0">
        <w:t>av följande skäl:</w:t>
      </w:r>
    </w:p>
    <w:p w:rsidR="00F72658" w:rsidRPr="005227D0" w:rsidP="00F72658" w14:paraId="34422DD4" w14:textId="5698CC2C">
      <w:pPr>
        <w:pStyle w:val="NormalHanging12a"/>
        <w:rPr>
          <w:color w:val="000000"/>
        </w:rPr>
      </w:pPr>
      <w:r w:rsidRPr="005227D0">
        <w:t>A.</w:t>
      </w:r>
      <w:r w:rsidRPr="005227D0">
        <w:tab/>
        <w:t xml:space="preserve">I en skrivelse av den 24 september 2025 översände Rumäniens justitieminister en begäran från åklagarmyndigheten </w:t>
      </w:r>
      <w:r w:rsidRPr="005227D0" w:rsidR="00B545BA">
        <w:t>knuten till</w:t>
      </w:r>
      <w:r w:rsidRPr="005227D0">
        <w:t xml:space="preserve"> Rumäniens högsta domstol om upphävande av immuniteten för Diana </w:t>
      </w:r>
      <w:r w:rsidRPr="005227D0">
        <w:t>Iovanovici</w:t>
      </w:r>
      <w:r w:rsidRPr="005227D0">
        <w:t xml:space="preserve"> </w:t>
      </w:r>
      <w:r w:rsidRPr="005227D0">
        <w:t>Şoşoacă</w:t>
      </w:r>
      <w:r w:rsidRPr="005227D0">
        <w:t>, ledamot av Europaparlamentet vald i Rumänien, med anledning av brottmålsförfaranden avseende flera brott hon påstås ha begått vid olika tidpunkter mellan den 10 december 2021 och den 11 februari 2025.</w:t>
      </w:r>
    </w:p>
    <w:p w:rsidR="00F72658" w:rsidRPr="005227D0" w:rsidP="00F72658" w14:paraId="69E4EA4A" w14:textId="58343FAE">
      <w:pPr>
        <w:pStyle w:val="NormalHanging12a"/>
        <w:keepNext/>
        <w:keepLines/>
        <w:widowControl/>
        <w:rPr>
          <w:color w:val="000000"/>
        </w:rPr>
      </w:pPr>
      <w:r w:rsidRPr="005227D0">
        <w:rPr>
          <w:color w:val="000000"/>
        </w:rPr>
        <w:t>B.</w:t>
      </w:r>
      <w:r w:rsidRPr="005227D0">
        <w:rPr>
          <w:color w:val="000000"/>
        </w:rPr>
        <w:tab/>
        <w:t xml:space="preserve">Enligt begäran </w:t>
      </w:r>
      <w:r w:rsidRPr="005227D0" w:rsidR="00A514E4">
        <w:rPr>
          <w:color w:val="000000"/>
        </w:rPr>
        <w:t xml:space="preserve">har </w:t>
      </w:r>
      <w:r w:rsidRPr="005227D0">
        <w:rPr>
          <w:color w:val="000000"/>
        </w:rPr>
        <w:t>tre personer inkommit med klagomål om att Diana </w:t>
      </w:r>
      <w:r w:rsidRPr="005227D0">
        <w:rPr>
          <w:color w:val="000000"/>
        </w:rPr>
        <w:t>Iovanovici</w:t>
      </w:r>
      <w:r w:rsidRPr="005227D0">
        <w:rPr>
          <w:color w:val="000000"/>
        </w:rPr>
        <w:t> </w:t>
      </w:r>
      <w:r w:rsidRPr="005227D0">
        <w:rPr>
          <w:color w:val="000000"/>
        </w:rPr>
        <w:t>Șoșoacă</w:t>
      </w:r>
      <w:r w:rsidRPr="005227D0">
        <w:rPr>
          <w:color w:val="000000"/>
        </w:rPr>
        <w:t xml:space="preserve"> med flera </w:t>
      </w:r>
      <w:r w:rsidRPr="005227D0" w:rsidR="00A514E4">
        <w:rPr>
          <w:color w:val="000000"/>
        </w:rPr>
        <w:t xml:space="preserve">påstås </w:t>
      </w:r>
      <w:r w:rsidRPr="005227D0">
        <w:rPr>
          <w:color w:val="000000"/>
        </w:rPr>
        <w:t>ha berövat målsägandena och en fjärde person deras frihet i cirka 20 minuter, kl. 15.40–16.00, den 10 december 2021 i en lägenhet i Bukarest. Den påstådda handlingen utgör ett brott enligt artikel 205.1 i Rumäniens strafflag.</w:t>
      </w:r>
    </w:p>
    <w:p w:rsidR="00F72658" w:rsidRPr="005227D0" w:rsidP="00F72658" w14:paraId="0DFD15A4" w14:textId="677BDF55">
      <w:pPr>
        <w:pStyle w:val="NormalHanging12a"/>
        <w:rPr>
          <w:color w:val="000000"/>
        </w:rPr>
      </w:pPr>
      <w:r w:rsidRPr="005227D0">
        <w:rPr>
          <w:color w:val="000000"/>
        </w:rPr>
        <w:t>C.</w:t>
      </w:r>
      <w:r w:rsidRPr="005227D0">
        <w:rPr>
          <w:color w:val="000000"/>
        </w:rPr>
        <w:tab/>
        <w:t xml:space="preserve">Enligt begäran underrättade Rumäniens regering – det nationella Elie Wiesel-institutet för studier om förintelsen i Rumänien – den 28 februari 2024 de rättsliga myndigheterna om att ett pressmeddelande från partiet SOS </w:t>
      </w:r>
      <w:r w:rsidRPr="005227D0">
        <w:rPr>
          <w:color w:val="000000"/>
        </w:rPr>
        <w:t>România</w:t>
      </w:r>
      <w:r w:rsidRPr="005227D0">
        <w:rPr>
          <w:color w:val="000000"/>
        </w:rPr>
        <w:t>, undertecknat av Diana </w:t>
      </w:r>
      <w:r w:rsidRPr="005227D0">
        <w:rPr>
          <w:color w:val="000000"/>
        </w:rPr>
        <w:t>Iovanovici</w:t>
      </w:r>
      <w:r w:rsidRPr="005227D0">
        <w:rPr>
          <w:color w:val="000000"/>
        </w:rPr>
        <w:t xml:space="preserve"> </w:t>
      </w:r>
      <w:r w:rsidRPr="005227D0">
        <w:rPr>
          <w:color w:val="000000"/>
        </w:rPr>
        <w:t>Şoşoacă</w:t>
      </w:r>
      <w:r w:rsidRPr="005227D0">
        <w:rPr>
          <w:color w:val="000000"/>
        </w:rPr>
        <w:t xml:space="preserve"> i egenskap av partiets ordförande, ska ha publicerats den 19 februari 2024 på partiets officiella webbplats, där hon påstås ha förhärligat en person som dömts som krigsförbrytare enligt Rumäniens lag nr 312/1945 för lagföring och bestraffning av </w:t>
      </w:r>
      <w:r w:rsidRPr="005227D0" w:rsidR="00F42DCC">
        <w:rPr>
          <w:color w:val="000000"/>
        </w:rPr>
        <w:t xml:space="preserve">de </w:t>
      </w:r>
      <w:r w:rsidRPr="005227D0">
        <w:rPr>
          <w:color w:val="000000"/>
        </w:rPr>
        <w:t xml:space="preserve">personer som gjort sig skyldiga till </w:t>
      </w:r>
      <w:r w:rsidRPr="005227D0" w:rsidR="00F42DCC">
        <w:rPr>
          <w:color w:val="000000"/>
        </w:rPr>
        <w:t>att leda landet in i</w:t>
      </w:r>
      <w:r w:rsidRPr="005227D0">
        <w:rPr>
          <w:color w:val="000000"/>
        </w:rPr>
        <w:t xml:space="preserve"> katastrofer eller </w:t>
      </w:r>
      <w:r w:rsidRPr="005227D0" w:rsidR="00F42DCC">
        <w:rPr>
          <w:color w:val="000000"/>
        </w:rPr>
        <w:t xml:space="preserve">till </w:t>
      </w:r>
      <w:r w:rsidRPr="005227D0">
        <w:rPr>
          <w:color w:val="000000"/>
        </w:rPr>
        <w:t>krigsförbrytelser. Den påstådda handlingen utgör ett brott enligt artikel 5 i Rumäniens undantagsförordning nr 31/2002.</w:t>
      </w:r>
    </w:p>
    <w:p w:rsidR="00F72658" w:rsidRPr="005227D0" w:rsidP="00F72658" w14:paraId="4133F89D" w14:textId="77777777">
      <w:pPr>
        <w:pStyle w:val="NormalHanging12a"/>
        <w:rPr>
          <w:bCs/>
          <w:iCs/>
          <w:color w:val="000000"/>
        </w:rPr>
      </w:pPr>
      <w:r w:rsidRPr="005227D0">
        <w:rPr>
          <w:color w:val="000000"/>
        </w:rPr>
        <w:t>D.</w:t>
      </w:r>
      <w:r w:rsidRPr="005227D0">
        <w:rPr>
          <w:color w:val="000000"/>
        </w:rPr>
        <w:tab/>
        <w:t xml:space="preserve">Enligt begäran rapporterade centrumet för övervakning och bekämpning av antisemitism i Rumänien den 27 maj 2024 att 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den 13 och 14 maj 2024, medan hon befann sig i det rumänska parlamentets lokaler, ska ha gjort offentliga uttalanden, bland annat via sitt offentliga Facebook-konto, där hon kollektivt anklagade judarna för historiska brott begångna mot det rumänska folket. Den påstådda handlingen utgör ett brott enligt artikel 3 i Rumäniens lag nr 157/2018 om åtgärder för att förebygga och bekämpa antisemitism.</w:t>
      </w:r>
    </w:p>
    <w:p w:rsidR="00F72658" w:rsidRPr="005227D0" w:rsidP="00F72658" w14:paraId="01D5762E" w14:textId="1633BA04">
      <w:pPr>
        <w:pStyle w:val="NormalHanging12a"/>
        <w:rPr>
          <w:bCs/>
          <w:iCs/>
          <w:color w:val="000000"/>
        </w:rPr>
      </w:pPr>
      <w:r w:rsidRPr="005227D0">
        <w:rPr>
          <w:color w:val="000000"/>
        </w:rPr>
        <w:t>E.</w:t>
      </w:r>
      <w:r w:rsidRPr="005227D0">
        <w:rPr>
          <w:color w:val="000000"/>
        </w:rPr>
        <w:tab/>
        <w:t xml:space="preserve">Enligt begäran ska 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den 14 maj 2024, när hon närvarade i det rumänska parlamentets lokaler för att delta i det gemensamma sammanträdet i den rumänska deputeradekammaren och senat</w:t>
      </w:r>
      <w:r w:rsidRPr="005227D0" w:rsidR="00B545BA">
        <w:rPr>
          <w:color w:val="000000"/>
        </w:rPr>
        <w:t>en</w:t>
      </w:r>
      <w:r w:rsidRPr="005227D0">
        <w:rPr>
          <w:color w:val="000000"/>
        </w:rPr>
        <w:t>, ha gjort uttalanden där hon kollektivt anklagade judarna för historiska brott begångna mot det rumänska folket. Den påstådda handlingen utgör ett brott enligt artikel 6.1 i Rumäniens undantagsförordning nr 31/2002.</w:t>
      </w:r>
    </w:p>
    <w:p w:rsidR="00F72658" w:rsidRPr="005227D0" w:rsidP="00F72658" w14:paraId="75237FB3" w14:textId="55F7C0FA">
      <w:pPr>
        <w:pStyle w:val="NormalHanging12a"/>
        <w:rPr>
          <w:bCs/>
          <w:iCs/>
          <w:color w:val="000000"/>
        </w:rPr>
      </w:pPr>
      <w:r w:rsidRPr="005227D0">
        <w:rPr>
          <w:color w:val="000000"/>
        </w:rPr>
        <w:t>F.</w:t>
      </w:r>
      <w:r w:rsidRPr="005227D0">
        <w:rPr>
          <w:color w:val="000000"/>
        </w:rPr>
        <w:tab/>
        <w:t xml:space="preserve">Enligt begäran ska Diana </w:t>
      </w:r>
      <w:r w:rsidRPr="005227D0">
        <w:rPr>
          <w:color w:val="000000"/>
        </w:rPr>
        <w:t>I</w:t>
      </w:r>
      <w:r w:rsidR="00D41489">
        <w:rPr>
          <w:color w:val="000000"/>
        </w:rPr>
        <w:t>o</w:t>
      </w:r>
      <w:r w:rsidRPr="005227D0">
        <w:rPr>
          <w:color w:val="000000"/>
        </w:rPr>
        <w:t>vanovici</w:t>
      </w:r>
      <w:r w:rsidRPr="005227D0">
        <w:rPr>
          <w:color w:val="000000"/>
        </w:rPr>
        <w:t xml:space="preserve"> </w:t>
      </w:r>
      <w:r w:rsidRPr="005227D0">
        <w:rPr>
          <w:color w:val="000000"/>
        </w:rPr>
        <w:t>Șoșoacă</w:t>
      </w:r>
      <w:r w:rsidRPr="005227D0">
        <w:rPr>
          <w:color w:val="000000"/>
        </w:rPr>
        <w:t xml:space="preserve"> den 5 och 6 oktober 2024 ha gjort flera offentliga uttalanden på nätet där hon förhärligade vissa personer och rörelser som anses ha gjort sig skyldiga till eller deltagit i krigsförbrytelser enligt Rumäniens nationella rätt, samt kollektivt anklagade judarna för historiska och religiösa brott. De påstådda handlingarna utgör brott enligt artikel 5 i Rumäniens undantagsförordning nr 31/2002.</w:t>
      </w:r>
    </w:p>
    <w:p w:rsidR="00F72658" w:rsidRPr="005227D0" w:rsidP="00F72658" w14:paraId="6DE6F0AF" w14:textId="1CB31D83">
      <w:pPr>
        <w:pStyle w:val="NormalHanging12a"/>
        <w:rPr>
          <w:color w:val="000000"/>
        </w:rPr>
      </w:pPr>
      <w:r w:rsidRPr="005227D0">
        <w:rPr>
          <w:color w:val="000000"/>
        </w:rPr>
        <w:t>G.</w:t>
      </w:r>
      <w:r w:rsidRPr="005227D0">
        <w:rPr>
          <w:color w:val="000000"/>
        </w:rPr>
        <w:tab/>
        <w:t xml:space="preserve">Enligt begäran ska Diana </w:t>
      </w:r>
      <w:r w:rsidRPr="005227D0">
        <w:rPr>
          <w:color w:val="000000"/>
        </w:rPr>
        <w:t>I</w:t>
      </w:r>
      <w:r w:rsidR="00D41489">
        <w:rPr>
          <w:color w:val="000000"/>
        </w:rPr>
        <w:t>o</w:t>
      </w:r>
      <w:r w:rsidRPr="005227D0">
        <w:rPr>
          <w:color w:val="000000"/>
        </w:rPr>
        <w:t>vanovici</w:t>
      </w:r>
      <w:r w:rsidRPr="005227D0">
        <w:rPr>
          <w:color w:val="000000"/>
        </w:rPr>
        <w:t xml:space="preserve"> </w:t>
      </w:r>
      <w:r w:rsidRPr="005227D0">
        <w:rPr>
          <w:color w:val="000000"/>
        </w:rPr>
        <w:t>Șoșoacă</w:t>
      </w:r>
      <w:r w:rsidRPr="005227D0">
        <w:rPr>
          <w:color w:val="000000"/>
        </w:rPr>
        <w:t xml:space="preserve"> den 1 december 2024 offentligt ha förhärligat en person som dömts för krigsförbrytelser enligt Rumäniens nationella rätt, genom uttalanden på nätet och genom offentligt främjande av legionärsrörelserelaterade, rasistiska och främlingsfientliga idéer och begrepp i förhållande till den judiska gemenskapen. De påstådda handlingarna utgör brott enligt </w:t>
      </w:r>
      <w:r w:rsidRPr="005227D0">
        <w:rPr>
          <w:color w:val="000000"/>
        </w:rPr>
        <w:t>artikel 5 i Rumäniens undantagsförordning nr 31/2002.</w:t>
      </w:r>
    </w:p>
    <w:p w:rsidR="00F72658" w:rsidRPr="005227D0" w:rsidP="00F72658" w14:paraId="4FAC67AE" w14:textId="77777777">
      <w:pPr>
        <w:pStyle w:val="NormalHanging12a"/>
        <w:keepNext/>
        <w:keepLines/>
        <w:widowControl/>
        <w:rPr>
          <w:bCs/>
          <w:iCs/>
          <w:color w:val="000000"/>
        </w:rPr>
      </w:pPr>
      <w:r w:rsidRPr="005227D0">
        <w:rPr>
          <w:color w:val="000000"/>
        </w:rPr>
        <w:t>H.</w:t>
      </w:r>
      <w:r w:rsidRPr="005227D0">
        <w:rPr>
          <w:color w:val="000000"/>
        </w:rPr>
        <w:tab/>
        <w:t xml:space="preserve">Enligt begäran ska 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den 15 december 2024 direkt ha hotat att begå våldsdåd mot två poliser i samband med att dessa utförde sina uppgifter med anknytning till en tidigare ålagd straffavgift. Den påstådda handlingen utgör ett brott enligt artikel 257.1 och 257.4 i Rumäniens strafflag.</w:t>
      </w:r>
    </w:p>
    <w:p w:rsidR="00F72658" w:rsidRPr="005227D0" w:rsidP="00F72658" w14:paraId="24124CAA" w14:textId="5973E1C6">
      <w:pPr>
        <w:pStyle w:val="NormalHanging12a"/>
        <w:rPr>
          <w:bCs/>
          <w:iCs/>
          <w:color w:val="000000"/>
        </w:rPr>
      </w:pPr>
      <w:r w:rsidRPr="005227D0">
        <w:rPr>
          <w:color w:val="000000"/>
        </w:rPr>
        <w:t>I.</w:t>
      </w:r>
      <w:r w:rsidRPr="005227D0">
        <w:rPr>
          <w:color w:val="000000"/>
        </w:rPr>
        <w:tab/>
        <w:t xml:space="preserve">Enligt begäran underrättade det statliga institutet för undersökning av kommunismens brott och minnet av rumänernas exil den 25 februari 2025 de rättsliga myndigheterna om att 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den 11 februari 2025 gjort ett anförande under Europaparlamentets plenarsammanträde där hon</w:t>
      </w:r>
      <w:r w:rsidRPr="005227D0" w:rsidR="00666EEA">
        <w:rPr>
          <w:color w:val="000000"/>
        </w:rPr>
        <w:t xml:space="preserve"> påstås ha</w:t>
      </w:r>
      <w:r w:rsidRPr="005227D0">
        <w:rPr>
          <w:color w:val="000000"/>
        </w:rPr>
        <w:t xml:space="preserve"> </w:t>
      </w:r>
      <w:r w:rsidRPr="005227D0" w:rsidR="00666EEA">
        <w:rPr>
          <w:color w:val="000000"/>
        </w:rPr>
        <w:t xml:space="preserve">rekommenderat </w:t>
      </w:r>
      <w:r w:rsidRPr="005227D0">
        <w:rPr>
          <w:color w:val="000000"/>
        </w:rPr>
        <w:t xml:space="preserve">sina kollegor att utveckla utrikespolitiska strategier baserade på den strategi som tillämpats av </w:t>
      </w:r>
      <w:r w:rsidRPr="005227D0">
        <w:rPr>
          <w:color w:val="000000"/>
        </w:rPr>
        <w:t>Nicolae</w:t>
      </w:r>
      <w:r w:rsidRPr="005227D0">
        <w:rPr>
          <w:color w:val="000000"/>
        </w:rPr>
        <w:t xml:space="preserve"> </w:t>
      </w:r>
      <w:r w:rsidRPr="005227D0">
        <w:rPr>
          <w:color w:val="000000"/>
        </w:rPr>
        <w:t>Ceaușescus</w:t>
      </w:r>
      <w:r w:rsidRPr="005227D0">
        <w:rPr>
          <w:color w:val="000000"/>
        </w:rPr>
        <w:t>, dömd för folkmord enligt en dom av den 25 december 1989 från Bukarests territoriella militärdomstol. Den påstådda handlingen utgör ett brott enligt artikel 5 i Rumäniens undantagsförordning nr 31/2002.</w:t>
      </w:r>
    </w:p>
    <w:p w:rsidR="00F72658" w:rsidRPr="005227D0" w:rsidP="00F72658" w14:paraId="6D13D00D" w14:textId="77777777">
      <w:pPr>
        <w:pStyle w:val="NormalHanging12a"/>
        <w:rPr>
          <w:bCs/>
          <w:iCs/>
          <w:color w:val="000000"/>
        </w:rPr>
      </w:pPr>
      <w:r w:rsidRPr="005227D0">
        <w:rPr>
          <w:color w:val="000000"/>
        </w:rPr>
        <w:t>J.</w:t>
      </w:r>
      <w:r w:rsidRPr="005227D0">
        <w:rPr>
          <w:color w:val="000000"/>
        </w:rPr>
        <w:tab/>
        <w:t xml:space="preserve">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valdes in i Europaparlamentet i EU-valet i juni 2024 och var därmed inte ledamot av Europaparlamentet vid tidpunkten för någon av de handlingar som enligt begäran ska ha begåtts den 10 december 2021, den 19 februari 2024 och den 13 och 14 maj 2024. 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var ledamot av Europaparlamentet vid tidpunkten för de handlingar som enligt begäran ska ha begåtts den 5 och 6 oktober 2024, den 1 december 2024, den 15 december 2024 och den 11 februari 2025. Utöver klagomålen eller brottmålsförfarandena mot 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avseende de handlingar som ska ha begåtts den 10 december 2021 och den 19 februari 2024 inleddes alla andra brottmålsförfaranden efter det att hon valts till ledamot av Europaparlamentet.</w:t>
      </w:r>
    </w:p>
    <w:p w:rsidR="00F72658" w:rsidRPr="005227D0" w:rsidP="00F72658" w14:paraId="2C2168B4" w14:textId="77777777">
      <w:pPr>
        <w:pStyle w:val="NormalHanging12a"/>
        <w:rPr>
          <w:bCs/>
          <w:iCs/>
          <w:color w:val="000000"/>
        </w:rPr>
      </w:pPr>
      <w:r w:rsidRPr="005227D0">
        <w:rPr>
          <w:color w:val="000000"/>
        </w:rPr>
        <w:t>K.</w:t>
      </w:r>
      <w:r w:rsidRPr="005227D0">
        <w:rPr>
          <w:color w:val="000000"/>
        </w:rPr>
        <w:tab/>
        <w:t>Enligt artikel 8 i protokoll nr 7 om Europeiska unionens immunitet och privilegier får Europaparlamentets ledamöter inte förhöras, kvarhållas eller lagföras på grund av yttranden de gjort eller röster de avlagt under utövandet av sitt ämbete.</w:t>
      </w:r>
    </w:p>
    <w:p w:rsidR="00F72658" w:rsidRPr="005227D0" w:rsidP="00F72658" w14:paraId="18BA7D1C" w14:textId="77777777">
      <w:pPr>
        <w:pStyle w:val="NormalHanging12a"/>
        <w:rPr>
          <w:bCs/>
          <w:iCs/>
          <w:color w:val="000000"/>
        </w:rPr>
      </w:pPr>
      <w:r w:rsidRPr="005227D0">
        <w:rPr>
          <w:color w:val="000000"/>
        </w:rPr>
        <w:t>L.</w:t>
      </w:r>
      <w:r w:rsidRPr="005227D0">
        <w:rPr>
          <w:color w:val="000000"/>
        </w:rPr>
        <w:tab/>
        <w:t xml:space="preserve">Det brott som ska ha begåtts den 11 februari 2025 avseende ett påstått förhärligande av </w:t>
      </w:r>
      <w:r w:rsidRPr="005227D0">
        <w:rPr>
          <w:color w:val="000000"/>
        </w:rPr>
        <w:t>Nicolae</w:t>
      </w:r>
      <w:r w:rsidRPr="005227D0">
        <w:rPr>
          <w:color w:val="000000"/>
        </w:rPr>
        <w:t xml:space="preserve"> </w:t>
      </w:r>
      <w:r w:rsidRPr="005227D0">
        <w:rPr>
          <w:color w:val="000000"/>
        </w:rPr>
        <w:t>Ceaușescu</w:t>
      </w:r>
      <w:r w:rsidRPr="005227D0">
        <w:rPr>
          <w:color w:val="000000"/>
        </w:rPr>
        <w:t xml:space="preserve">, dömd krigsförbrytare enligt Rumäniens nationella rätt, rör ett uttalande från henne under Europaparlamentets plenarsammanträde i Strasbourg inom ramen för en debatt om en bredare övergripande EU-strategi för Mellanöstern. Detta uttalande rör därmed ett yttrande som 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gjort eller en röst som hon avlagt under utövandet av sitt ämbete i den mening som avses i artikel 8 i protokoll nr 7 om Europeiska unionens immunitet och privilegier.</w:t>
      </w:r>
    </w:p>
    <w:p w:rsidR="00F72658" w:rsidRPr="005227D0" w:rsidP="00F72658" w14:paraId="455E6C18" w14:textId="673F092C">
      <w:pPr>
        <w:pStyle w:val="NormalHanging12a"/>
        <w:rPr>
          <w:bCs/>
          <w:iCs/>
          <w:color w:val="000000"/>
        </w:rPr>
      </w:pPr>
      <w:r w:rsidRPr="005227D0">
        <w:rPr>
          <w:color w:val="000000"/>
        </w:rPr>
        <w:t>M.</w:t>
      </w:r>
      <w:r w:rsidRPr="005227D0">
        <w:rPr>
          <w:color w:val="000000"/>
        </w:rPr>
        <w:tab/>
        <w:t xml:space="preserve">Inga av de andra påstådda brotten </w:t>
      </w:r>
      <w:r w:rsidRPr="005227D0" w:rsidR="00830430">
        <w:rPr>
          <w:color w:val="000000"/>
        </w:rPr>
        <w:t>utgör</w:t>
      </w:r>
      <w:r w:rsidRPr="005227D0">
        <w:rPr>
          <w:color w:val="000000"/>
        </w:rPr>
        <w:t xml:space="preserve">, liksom den återstående begäran om upphävande av Diana </w:t>
      </w:r>
      <w:r w:rsidRPr="005227D0">
        <w:rPr>
          <w:color w:val="000000"/>
        </w:rPr>
        <w:t>Iovanovici</w:t>
      </w:r>
      <w:r w:rsidRPr="005227D0">
        <w:rPr>
          <w:color w:val="000000"/>
        </w:rPr>
        <w:t xml:space="preserve"> </w:t>
      </w:r>
      <w:r w:rsidRPr="005227D0">
        <w:rPr>
          <w:color w:val="000000"/>
        </w:rPr>
        <w:t>Șoșoacăs</w:t>
      </w:r>
      <w:r w:rsidRPr="005227D0">
        <w:rPr>
          <w:color w:val="000000"/>
        </w:rPr>
        <w:t xml:space="preserve"> immunitet</w:t>
      </w:r>
      <w:r w:rsidRPr="005227D0" w:rsidR="00830430">
        <w:rPr>
          <w:color w:val="000000"/>
        </w:rPr>
        <w:t xml:space="preserve"> inte har</w:t>
      </w:r>
      <w:r w:rsidRPr="005227D0">
        <w:rPr>
          <w:color w:val="000000"/>
        </w:rPr>
        <w:t xml:space="preserve"> något samband med</w:t>
      </w:r>
      <w:r w:rsidRPr="005227D0" w:rsidR="00830430">
        <w:rPr>
          <w:color w:val="000000"/>
        </w:rPr>
        <w:t>,</w:t>
      </w:r>
      <w:r w:rsidRPr="005227D0">
        <w:rPr>
          <w:color w:val="000000"/>
        </w:rPr>
        <w:t xml:space="preserve"> </w:t>
      </w:r>
      <w:r w:rsidRPr="005227D0" w:rsidR="00042C87">
        <w:rPr>
          <w:color w:val="000000"/>
        </w:rPr>
        <w:t>ett</w:t>
      </w:r>
      <w:r w:rsidRPr="005227D0" w:rsidR="00830430">
        <w:rPr>
          <w:color w:val="000000"/>
        </w:rPr>
        <w:t xml:space="preserve"> </w:t>
      </w:r>
      <w:r w:rsidRPr="005227D0">
        <w:rPr>
          <w:color w:val="000000"/>
        </w:rPr>
        <w:t>yttrande som Diana </w:t>
      </w:r>
      <w:r w:rsidRPr="005227D0">
        <w:rPr>
          <w:color w:val="000000"/>
        </w:rPr>
        <w:t>Iovanovici</w:t>
      </w:r>
      <w:r w:rsidRPr="005227D0">
        <w:rPr>
          <w:color w:val="000000"/>
        </w:rPr>
        <w:t xml:space="preserve"> </w:t>
      </w:r>
      <w:r w:rsidRPr="005227D0">
        <w:rPr>
          <w:color w:val="000000"/>
        </w:rPr>
        <w:t>Șoșoacă</w:t>
      </w:r>
      <w:r w:rsidRPr="005227D0">
        <w:rPr>
          <w:color w:val="000000"/>
        </w:rPr>
        <w:t xml:space="preserve"> gjort eller röster som hon avlagt under utövandet av sitt ämbete i den mening som avses i artikel 8 i protokoll nr 7 om Europeiska unionens immunitet och privilegier.</w:t>
      </w:r>
    </w:p>
    <w:p w:rsidR="00F72658" w:rsidRPr="005227D0" w:rsidP="00F72658" w14:paraId="5265B527" w14:textId="430506FE">
      <w:pPr>
        <w:pStyle w:val="NormalHanging12a"/>
        <w:keepNext/>
        <w:keepLines/>
        <w:widowControl/>
        <w:rPr>
          <w:bCs/>
          <w:iCs/>
          <w:color w:val="000000"/>
        </w:rPr>
      </w:pPr>
      <w:r w:rsidRPr="005227D0">
        <w:rPr>
          <w:color w:val="000000"/>
        </w:rPr>
        <w:t>N.</w:t>
      </w:r>
      <w:r w:rsidRPr="005227D0">
        <w:rPr>
          <w:color w:val="000000"/>
        </w:rPr>
        <w:tab/>
        <w:t xml:space="preserve">I artikel 9 första stycket a i protokoll nr 7 om Europeiska unionens immunitet och privilegier anges att Europaparlamentets ledamöter under Europaparlamentets sessioner, vad avser deras egen </w:t>
      </w:r>
      <w:r w:rsidRPr="005227D0" w:rsidR="00646127">
        <w:rPr>
          <w:color w:val="000000"/>
        </w:rPr>
        <w:t>medlems</w:t>
      </w:r>
      <w:r w:rsidRPr="005227D0">
        <w:rPr>
          <w:color w:val="000000"/>
        </w:rPr>
        <w:t>stats territorium, ska åtnjuta den immunitet som beviljas parlamentsledamöter i deras land.</w:t>
      </w:r>
    </w:p>
    <w:p w:rsidR="00F72658" w:rsidRPr="005227D0" w:rsidP="00F72658" w14:paraId="22E36A3E" w14:textId="77777777">
      <w:pPr>
        <w:pStyle w:val="NormalHanging12a"/>
        <w:rPr>
          <w:color w:val="000000"/>
        </w:rPr>
      </w:pPr>
      <w:r w:rsidRPr="005227D0">
        <w:rPr>
          <w:color w:val="000000"/>
        </w:rPr>
        <w:t>O.</w:t>
      </w:r>
      <w:r w:rsidRPr="005227D0">
        <w:rPr>
          <w:color w:val="000000"/>
        </w:rPr>
        <w:tab/>
        <w:t>I artikel 72.1 och 72.2 i Rumäniens konstitution anges följande:</w:t>
      </w:r>
    </w:p>
    <w:p w:rsidR="00F72658" w:rsidRPr="005227D0" w:rsidP="005227D0" w14:paraId="096F9488" w14:textId="77777777">
      <w:pPr>
        <w:pStyle w:val="NormalHanging12a"/>
        <w:ind w:left="1134"/>
        <w:rPr>
          <w:color w:val="000000"/>
        </w:rPr>
      </w:pPr>
      <w:r w:rsidRPr="005227D0">
        <w:rPr>
          <w:color w:val="000000"/>
        </w:rPr>
        <w:t>”1.</w:t>
      </w:r>
      <w:r w:rsidRPr="005227D0">
        <w:rPr>
          <w:color w:val="000000"/>
        </w:rPr>
        <w:tab/>
        <w:t>Rättsligt ansvar får inte utkrävas av ledamöter av deputeradekammaren eller senatorer för de röster som avläggs eller för de politiska åsikter som framförs under deras respektive ämbetsutövning.</w:t>
      </w:r>
    </w:p>
    <w:p w:rsidR="00F72658" w:rsidRPr="005227D0" w:rsidP="005227D0" w14:paraId="18A1EE3D" w14:textId="784FCD99">
      <w:pPr>
        <w:pStyle w:val="NormalHanging12a"/>
        <w:ind w:left="1134"/>
        <w:rPr>
          <w:color w:val="000000"/>
        </w:rPr>
      </w:pPr>
      <w:r w:rsidRPr="005227D0">
        <w:rPr>
          <w:color w:val="000000"/>
        </w:rPr>
        <w:t>2.</w:t>
      </w:r>
      <w:r w:rsidRPr="005227D0">
        <w:rPr>
          <w:color w:val="000000"/>
        </w:rPr>
        <w:tab/>
        <w:t xml:space="preserve">Ledamöter av deputeradekammaren och senatorer får underställas straffrättsliga förfaranden eller lagföring för handlingar som inte har en anknytning till de röster som de avlägger eller de politiska åsikter som de framför i samband med sin ämbetsutövning, men de får visiteras, kvarhållas eller anhållas endast efter medgivande från den kammare vars ledamöter de är, och efter att de har hörts. Endast </w:t>
      </w:r>
      <w:r w:rsidRPr="005227D0" w:rsidR="00183978">
        <w:rPr>
          <w:color w:val="000000"/>
        </w:rPr>
        <w:t xml:space="preserve">den allmänna </w:t>
      </w:r>
      <w:r w:rsidRPr="005227D0">
        <w:rPr>
          <w:color w:val="000000"/>
        </w:rPr>
        <w:t xml:space="preserve">åklagarmyndigheten </w:t>
      </w:r>
      <w:r w:rsidRPr="005227D0" w:rsidR="00183978">
        <w:rPr>
          <w:color w:val="000000"/>
        </w:rPr>
        <w:t>knuten till</w:t>
      </w:r>
      <w:r w:rsidRPr="005227D0">
        <w:rPr>
          <w:color w:val="000000"/>
        </w:rPr>
        <w:t xml:space="preserve"> högsta domstolen får genomföra utredning och lagföring. Högsta domstolens jurisdiktion ska gälla.”</w:t>
      </w:r>
    </w:p>
    <w:p w:rsidR="00F72658" w:rsidRPr="005227D0" w:rsidP="00F72658" w14:paraId="173D62EB" w14:textId="77777777">
      <w:pPr>
        <w:pStyle w:val="NormalHanging12a"/>
        <w:rPr>
          <w:color w:val="000000"/>
        </w:rPr>
      </w:pPr>
      <w:r w:rsidRPr="005227D0">
        <w:rPr>
          <w:color w:val="000000"/>
        </w:rPr>
        <w:t>P.</w:t>
      </w:r>
      <w:r w:rsidRPr="005227D0">
        <w:rPr>
          <w:color w:val="000000"/>
        </w:rPr>
        <w:tab/>
        <w:t>Syftet med den immunitet som föreskrivs i protokoll nr 7 om Europeiska unionens immunitet och privilegier är att skydda parlamentet och dess ledamöter mot rättsliga förfaranden som rör verksamhet som bedrivs inom ramen för utövandet av det parlamentariska ämbetet och som inte kan skiljas från detta.</w:t>
      </w:r>
    </w:p>
    <w:p w:rsidR="00F72658" w:rsidRPr="005227D0" w:rsidP="00F72658" w14:paraId="29089329" w14:textId="77777777">
      <w:pPr>
        <w:pStyle w:val="NormalHanging12a"/>
        <w:rPr>
          <w:color w:val="000000"/>
        </w:rPr>
      </w:pPr>
      <w:r w:rsidRPr="005227D0">
        <w:rPr>
          <w:color w:val="000000"/>
        </w:rPr>
        <w:t>Q.</w:t>
      </w:r>
      <w:r w:rsidRPr="005227D0">
        <w:rPr>
          <w:color w:val="000000"/>
        </w:rPr>
        <w:tab/>
        <w:t>Enligt artikel 5.2 i arbetsordningen är parlamentarisk immunitet inte en ledamots personliga privilegium, utan en garanti för hela parlamentets och dess ledamöters oberoende.</w:t>
      </w:r>
    </w:p>
    <w:p w:rsidR="00F72658" w:rsidRPr="005227D0" w:rsidP="00F72658" w14:paraId="490251CD" w14:textId="67ABE371">
      <w:pPr>
        <w:pStyle w:val="NormalHanging12a"/>
        <w:rPr>
          <w:color w:val="000000"/>
        </w:rPr>
      </w:pPr>
      <w:r w:rsidRPr="005227D0">
        <w:rPr>
          <w:color w:val="000000"/>
        </w:rPr>
        <w:t>R.</w:t>
      </w:r>
      <w:r w:rsidRPr="005227D0">
        <w:rPr>
          <w:color w:val="000000"/>
        </w:rPr>
        <w:tab/>
        <w:t xml:space="preserve">I detta fall har parlamentet inte funnit några belägg för </w:t>
      </w:r>
      <w:r w:rsidRPr="005227D0">
        <w:rPr>
          <w:i/>
          <w:iCs/>
          <w:color w:val="000000"/>
        </w:rPr>
        <w:t>fumus</w:t>
      </w:r>
      <w:r w:rsidRPr="005227D0">
        <w:rPr>
          <w:i/>
          <w:iCs/>
          <w:color w:val="000000"/>
        </w:rPr>
        <w:t xml:space="preserve"> </w:t>
      </w:r>
      <w:r w:rsidRPr="005227D0">
        <w:rPr>
          <w:i/>
          <w:iCs/>
          <w:color w:val="000000"/>
        </w:rPr>
        <w:t>persecutionis</w:t>
      </w:r>
      <w:r w:rsidRPr="005227D0">
        <w:rPr>
          <w:color w:val="000000"/>
        </w:rPr>
        <w:t xml:space="preserve">, det vill säga faktiska omständigheter som tyder på att </w:t>
      </w:r>
      <w:r w:rsidRPr="005227D0" w:rsidR="00532FF8">
        <w:rPr>
          <w:color w:val="000000"/>
        </w:rPr>
        <w:t>avsikten med det</w:t>
      </w:r>
      <w:r w:rsidRPr="005227D0">
        <w:rPr>
          <w:color w:val="000000"/>
        </w:rPr>
        <w:t xml:space="preserve"> rättsliga </w:t>
      </w:r>
      <w:r w:rsidRPr="005227D0" w:rsidR="00532FF8">
        <w:rPr>
          <w:color w:val="000000"/>
        </w:rPr>
        <w:t xml:space="preserve">förfarandet i fråga är </w:t>
      </w:r>
      <w:r w:rsidRPr="005227D0">
        <w:rPr>
          <w:color w:val="000000"/>
        </w:rPr>
        <w:t xml:space="preserve">att skada Diana </w:t>
      </w:r>
      <w:r w:rsidRPr="005227D0">
        <w:rPr>
          <w:color w:val="000000"/>
        </w:rPr>
        <w:t>Iovanovici</w:t>
      </w:r>
      <w:r w:rsidRPr="005227D0">
        <w:rPr>
          <w:color w:val="000000"/>
        </w:rPr>
        <w:t xml:space="preserve"> </w:t>
      </w:r>
      <w:r w:rsidRPr="005227D0">
        <w:rPr>
          <w:color w:val="000000"/>
        </w:rPr>
        <w:t>Șoșoacăs</w:t>
      </w:r>
      <w:r w:rsidRPr="005227D0">
        <w:rPr>
          <w:color w:val="000000"/>
        </w:rPr>
        <w:t xml:space="preserve"> politiska verksamhet </w:t>
      </w:r>
      <w:r w:rsidRPr="005227D0" w:rsidR="00532FF8">
        <w:rPr>
          <w:color w:val="000000"/>
        </w:rPr>
        <w:t>i hennes egenskap av</w:t>
      </w:r>
      <w:r w:rsidRPr="005227D0">
        <w:rPr>
          <w:color w:val="000000"/>
        </w:rPr>
        <w:t xml:space="preserve"> ledamot av Europaparlamentet</w:t>
      </w:r>
      <w:r w:rsidRPr="005227D0" w:rsidR="00532FF8">
        <w:rPr>
          <w:color w:val="000000"/>
        </w:rPr>
        <w:t xml:space="preserve"> och därmed parlamentets oberoende</w:t>
      </w:r>
      <w:r w:rsidRPr="005227D0">
        <w:rPr>
          <w:color w:val="000000"/>
        </w:rPr>
        <w:t>.</w:t>
      </w:r>
    </w:p>
    <w:p w:rsidR="00F72658" w:rsidRPr="005227D0" w:rsidP="00F72658" w14:paraId="7909115E" w14:textId="77777777">
      <w:pPr>
        <w:pStyle w:val="NormalHanging12a"/>
        <w:rPr>
          <w:color w:val="000000"/>
        </w:rPr>
      </w:pPr>
      <w:r w:rsidRPr="005227D0">
        <w:rPr>
          <w:color w:val="000000"/>
        </w:rPr>
        <w:t>S.</w:t>
      </w:r>
      <w:r w:rsidRPr="005227D0">
        <w:rPr>
          <w:color w:val="000000"/>
        </w:rPr>
        <w:tab/>
        <w:t>Å ena sidan kan parlamentet inte likställas med en domstol, och å andra sidan kan parlamentsledamoten, inom ramen för ett förfarande för att upphäva immunitet, inte betraktas som ”anklagad”</w:t>
      </w:r>
      <w:r>
        <w:rPr>
          <w:color w:val="000000"/>
          <w:vertAlign w:val="superscript"/>
        </w:rPr>
        <w:footnoteReference w:id="3"/>
      </w:r>
      <w:r w:rsidRPr="005227D0">
        <w:rPr>
          <w:color w:val="000000"/>
        </w:rPr>
        <w:t>.</w:t>
      </w:r>
    </w:p>
    <w:p w:rsidR="00F72658" w:rsidRPr="005227D0" w:rsidP="00F72658" w14:paraId="6BEC3291" w14:textId="77777777">
      <w:pPr>
        <w:pStyle w:val="NormalHanging12a"/>
        <w:rPr>
          <w:color w:val="000000"/>
        </w:rPr>
      </w:pPr>
      <w:r w:rsidRPr="005227D0">
        <w:rPr>
          <w:color w:val="000000"/>
        </w:rPr>
        <w:t>1.</w:t>
      </w:r>
      <w:r w:rsidRPr="005227D0">
        <w:rPr>
          <w:color w:val="000000"/>
        </w:rPr>
        <w:tab/>
        <w:t xml:space="preserve">Europaparlamentet beslutar att upphäva Diana </w:t>
      </w:r>
      <w:r w:rsidRPr="005227D0">
        <w:rPr>
          <w:color w:val="000000"/>
        </w:rPr>
        <w:t>Iovanovici</w:t>
      </w:r>
      <w:r w:rsidRPr="005227D0">
        <w:rPr>
          <w:color w:val="000000"/>
        </w:rPr>
        <w:t xml:space="preserve"> </w:t>
      </w:r>
      <w:r w:rsidRPr="005227D0">
        <w:rPr>
          <w:color w:val="000000"/>
        </w:rPr>
        <w:t>Şoşoacăs</w:t>
      </w:r>
      <w:r w:rsidRPr="005227D0">
        <w:rPr>
          <w:color w:val="000000"/>
        </w:rPr>
        <w:t xml:space="preserve"> immunitet med avseende på de påstådda brott som avses i skälen B, C, D, E, F, G och H.</w:t>
      </w:r>
    </w:p>
    <w:p w:rsidR="00F72658" w:rsidRPr="005227D0" w:rsidP="00F72658" w14:paraId="5F5CC269" w14:textId="77777777">
      <w:pPr>
        <w:pStyle w:val="NormalHanging12a"/>
        <w:rPr>
          <w:color w:val="000000"/>
        </w:rPr>
      </w:pPr>
      <w:r w:rsidRPr="005227D0">
        <w:rPr>
          <w:color w:val="000000"/>
        </w:rPr>
        <w:t>2.</w:t>
      </w:r>
      <w:r w:rsidRPr="005227D0">
        <w:rPr>
          <w:color w:val="000000"/>
        </w:rPr>
        <w:tab/>
        <w:t xml:space="preserve">Europaparlamentet beslutar att inte upphäva Diana </w:t>
      </w:r>
      <w:r w:rsidRPr="005227D0">
        <w:rPr>
          <w:color w:val="000000"/>
        </w:rPr>
        <w:t>Iovanovici</w:t>
      </w:r>
      <w:r w:rsidRPr="005227D0">
        <w:rPr>
          <w:color w:val="000000"/>
        </w:rPr>
        <w:t xml:space="preserve"> </w:t>
      </w:r>
      <w:r w:rsidRPr="005227D0">
        <w:rPr>
          <w:color w:val="000000"/>
        </w:rPr>
        <w:t>Şoşoacăs</w:t>
      </w:r>
      <w:r w:rsidRPr="005227D0">
        <w:rPr>
          <w:color w:val="000000"/>
        </w:rPr>
        <w:t xml:space="preserve"> immunitet med avseende på det påstådda brott som avses i skäl I.</w:t>
      </w:r>
    </w:p>
    <w:p w:rsidR="00DB6677" w:rsidRPr="00DB6677" w:rsidP="00DB6677" w14:paraId="049B18FB" w14:textId="0EED103A">
      <w:pPr>
        <w:pStyle w:val="NormalHanging12a"/>
      </w:pPr>
      <w:r w:rsidRPr="005227D0">
        <w:t>3.</w:t>
      </w:r>
      <w:r w:rsidRPr="005227D0">
        <w:tab/>
        <w:t xml:space="preserve">Europaparlamentet uppdrar åt talmannen att omedelbart översända detta beslut och det ansvariga utskottets betänkande till de behöriga myndigheterna i Rumänien och till Diana </w:t>
      </w:r>
      <w:r w:rsidRPr="005227D0">
        <w:t>Iovanovici</w:t>
      </w:r>
      <w:r w:rsidRPr="005227D0">
        <w:t xml:space="preserve"> </w:t>
      </w:r>
      <w:r w:rsidRPr="005227D0">
        <w:t>Şoşoacă</w:t>
      </w:r>
      <w:r w:rsidRPr="005227D0">
        <w:t>.</w:t>
      </w:r>
    </w:p>
    <w:p w:rsidR="00E365E1" w:rsidRPr="00DB6677" w:rsidP="00C72608" w14:paraId="630FA1A3" w14:textId="027D8E1D"/>
    <w:sectPr w:rsidSect="00DB6677">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677" w14:paraId="7EE702F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677" w14:paraId="2EFA737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677" w14:paraId="5C558E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72608" w:rsidRPr="00DB6677" w14:paraId="55C747EA" w14:textId="77777777">
      <w:r w:rsidRPr="00DB6677">
        <w:separator/>
      </w:r>
    </w:p>
  </w:footnote>
  <w:footnote w:type="continuationSeparator" w:id="1">
    <w:p w:rsidR="00C72608" w:rsidRPr="00DB6677" w14:paraId="0C9FFB93" w14:textId="77777777">
      <w:r w:rsidRPr="00DB6677">
        <w:continuationSeparator/>
      </w:r>
    </w:p>
  </w:footnote>
  <w:footnote w:id="2">
    <w:p w:rsidR="00F72658" w:rsidRPr="00DB6677" w:rsidP="00DB6677" w14:paraId="7866C89C" w14:textId="7B1916FF">
      <w:pPr>
        <w:pStyle w:val="FootnoteText"/>
        <w:ind w:left="567" w:hanging="567"/>
        <w:rPr>
          <w:sz w:val="24"/>
          <w:lang w:val="sv-SE"/>
        </w:rPr>
      </w:pPr>
      <w:r w:rsidRPr="00DB6677">
        <w:rPr>
          <w:rStyle w:val="FootnoteReference"/>
          <w:sz w:val="24"/>
          <w:lang w:val="sv-SE"/>
        </w:rPr>
        <w:footnoteRef/>
      </w:r>
      <w:r w:rsidRPr="00DB6677" w:rsidR="00DB6677">
        <w:rPr>
          <w:sz w:val="24"/>
          <w:lang w:val="sv-SE"/>
        </w:rPr>
        <w:t xml:space="preserve"> </w:t>
      </w:r>
      <w:r w:rsidRPr="00DB6677" w:rsidR="00DB6677">
        <w:rPr>
          <w:sz w:val="24"/>
          <w:lang w:val="sv-SE"/>
        </w:rPr>
        <w:tab/>
      </w:r>
      <w:r w:rsidRPr="00DB6677">
        <w:rPr>
          <w:sz w:val="24"/>
          <w:lang w:val="sv-SE"/>
        </w:rPr>
        <w:t xml:space="preserve">Domstolens dom av den 21 oktober 2008, </w:t>
      </w:r>
      <w:r w:rsidRPr="00DB6677">
        <w:rPr>
          <w:sz w:val="24"/>
          <w:lang w:val="sv-SE"/>
        </w:rPr>
        <w:t>Marra</w:t>
      </w:r>
      <w:r w:rsidRPr="00DB6677">
        <w:rPr>
          <w:sz w:val="24"/>
          <w:lang w:val="sv-SE"/>
        </w:rPr>
        <w:t xml:space="preserve">/De Gregorio och Clemente, C-200/07 och C-201/07, ECLI:EU:C:2008:579, tribunalens dom av den 19 mars 2010, </w:t>
      </w:r>
      <w:r w:rsidRPr="00DB6677">
        <w:rPr>
          <w:sz w:val="24"/>
          <w:lang w:val="sv-SE"/>
        </w:rPr>
        <w:t>Gollnisch</w:t>
      </w:r>
      <w:r w:rsidRPr="00DB6677">
        <w:rPr>
          <w:sz w:val="24"/>
          <w:lang w:val="sv-SE"/>
        </w:rPr>
        <w:t xml:space="preserve">/parlamentet, T-42/06, ECLI:EU:T:2010:102, domstolens dom av den 6 september 2011, </w:t>
      </w:r>
      <w:r w:rsidRPr="00DB6677">
        <w:rPr>
          <w:sz w:val="24"/>
          <w:lang w:val="sv-SE"/>
        </w:rPr>
        <w:t>Patriciello</w:t>
      </w:r>
      <w:r w:rsidRPr="00DB6677">
        <w:rPr>
          <w:sz w:val="24"/>
          <w:lang w:val="sv-SE"/>
        </w:rPr>
        <w:t xml:space="preserve">, C-163/10, ECLI: EU:C:2011:543, tribunalens dom av den 17 januari 2013, </w:t>
      </w:r>
      <w:r w:rsidRPr="00DB6677">
        <w:rPr>
          <w:sz w:val="24"/>
          <w:lang w:val="sv-SE"/>
        </w:rPr>
        <w:t>Gollnisch</w:t>
      </w:r>
      <w:r w:rsidRPr="00DB6677">
        <w:rPr>
          <w:sz w:val="24"/>
          <w:lang w:val="sv-SE"/>
        </w:rPr>
        <w:t xml:space="preserve">/parlamentet, T-346/11 och T-347/11, ECLI:EU:T:2013:23, domstolens dom av den 19 december 2019, </w:t>
      </w:r>
      <w:r w:rsidRPr="00DB6677">
        <w:rPr>
          <w:sz w:val="24"/>
          <w:lang w:val="sv-SE"/>
        </w:rPr>
        <w:t>Jungqueras</w:t>
      </w:r>
      <w:r w:rsidRPr="00DB6677">
        <w:rPr>
          <w:sz w:val="24"/>
          <w:lang w:val="sv-SE"/>
        </w:rPr>
        <w:t xml:space="preserve"> </w:t>
      </w:r>
      <w:r w:rsidRPr="00DB6677">
        <w:rPr>
          <w:sz w:val="24"/>
          <w:lang w:val="sv-SE"/>
        </w:rPr>
        <w:t>Vies</w:t>
      </w:r>
      <w:r w:rsidRPr="00DB6677">
        <w:rPr>
          <w:sz w:val="24"/>
          <w:lang w:val="sv-SE"/>
        </w:rPr>
        <w:t>, C-502/19, ECLI:EU:C:2019:1115.</w:t>
      </w:r>
    </w:p>
  </w:footnote>
  <w:footnote w:id="3">
    <w:p w:rsidR="00F72658" w:rsidRPr="00DB6677" w:rsidP="00DB6677" w14:paraId="1A2B03DB" w14:textId="2949757B">
      <w:pPr>
        <w:pStyle w:val="FootnoteText"/>
        <w:ind w:left="567" w:hanging="567"/>
        <w:rPr>
          <w:sz w:val="24"/>
          <w:lang w:val="sv-SE"/>
        </w:rPr>
      </w:pPr>
      <w:r w:rsidRPr="00DB6677">
        <w:rPr>
          <w:rStyle w:val="FootnoteReference"/>
          <w:sz w:val="24"/>
          <w:lang w:val="sv-SE"/>
        </w:rPr>
        <w:footnoteRef/>
      </w:r>
      <w:r w:rsidRPr="00DB6677" w:rsidR="00DB6677">
        <w:rPr>
          <w:sz w:val="24"/>
          <w:lang w:val="sv-SE"/>
        </w:rPr>
        <w:t xml:space="preserve"> </w:t>
      </w:r>
      <w:r w:rsidRPr="00DB6677" w:rsidR="00DB6677">
        <w:rPr>
          <w:sz w:val="24"/>
          <w:lang w:val="sv-SE"/>
        </w:rPr>
        <w:tab/>
      </w:r>
      <w:r w:rsidRPr="00DB6677">
        <w:rPr>
          <w:sz w:val="24"/>
          <w:lang w:val="sv-SE"/>
        </w:rPr>
        <w:t xml:space="preserve">Tribunalens dom av den 30 april 2019, </w:t>
      </w:r>
      <w:r w:rsidRPr="00DB6677">
        <w:rPr>
          <w:sz w:val="24"/>
          <w:lang w:val="sv-SE"/>
        </w:rPr>
        <w:t>Briois</w:t>
      </w:r>
      <w:r w:rsidRPr="00DB6677">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677" w14:paraId="264CF699"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677" w14:paraId="339D7E5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B6677" w14:paraId="05958A3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83978413">
    <w:abstractNumId w:val="9"/>
  </w:num>
  <w:num w:numId="2" w16cid:durableId="429664687">
    <w:abstractNumId w:val="9"/>
  </w:num>
  <w:num w:numId="3" w16cid:durableId="131599495">
    <w:abstractNumId w:val="7"/>
  </w:num>
  <w:num w:numId="4" w16cid:durableId="1431201973">
    <w:abstractNumId w:val="7"/>
  </w:num>
  <w:num w:numId="5" w16cid:durableId="453063420">
    <w:abstractNumId w:val="6"/>
  </w:num>
  <w:num w:numId="6" w16cid:durableId="774137329">
    <w:abstractNumId w:val="6"/>
  </w:num>
  <w:num w:numId="7" w16cid:durableId="1147282785">
    <w:abstractNumId w:val="5"/>
  </w:num>
  <w:num w:numId="8" w16cid:durableId="1050615921">
    <w:abstractNumId w:val="5"/>
  </w:num>
  <w:num w:numId="9" w16cid:durableId="153377523">
    <w:abstractNumId w:val="4"/>
  </w:num>
  <w:num w:numId="10" w16cid:durableId="1691755335">
    <w:abstractNumId w:val="4"/>
  </w:num>
  <w:num w:numId="11" w16cid:durableId="1246916821">
    <w:abstractNumId w:val="8"/>
  </w:num>
  <w:num w:numId="12" w16cid:durableId="1557080474">
    <w:abstractNumId w:val="8"/>
  </w:num>
  <w:num w:numId="13" w16cid:durableId="1606615045">
    <w:abstractNumId w:val="3"/>
  </w:num>
  <w:num w:numId="14" w16cid:durableId="1601791737">
    <w:abstractNumId w:val="3"/>
  </w:num>
  <w:num w:numId="15" w16cid:durableId="970524981">
    <w:abstractNumId w:val="2"/>
  </w:num>
  <w:num w:numId="16" w16cid:durableId="1915626270">
    <w:abstractNumId w:val="2"/>
  </w:num>
  <w:num w:numId="17" w16cid:durableId="814227238">
    <w:abstractNumId w:val="1"/>
  </w:num>
  <w:num w:numId="18" w16cid:durableId="1390036917">
    <w:abstractNumId w:val="1"/>
  </w:num>
  <w:num w:numId="19" w16cid:durableId="370618255">
    <w:abstractNumId w:val="0"/>
  </w:num>
  <w:num w:numId="20" w16cid:durableId="1285191090">
    <w:abstractNumId w:val="0"/>
  </w:num>
  <w:num w:numId="21" w16cid:durableId="185944061">
    <w:abstractNumId w:val="9"/>
  </w:num>
  <w:num w:numId="22" w16cid:durableId="752553950">
    <w:abstractNumId w:val="7"/>
  </w:num>
  <w:num w:numId="23" w16cid:durableId="1759982050">
    <w:abstractNumId w:val="6"/>
  </w:num>
  <w:num w:numId="24" w16cid:durableId="1885678207">
    <w:abstractNumId w:val="5"/>
  </w:num>
  <w:num w:numId="25" w16cid:durableId="1059523213">
    <w:abstractNumId w:val="4"/>
  </w:num>
  <w:num w:numId="26" w16cid:durableId="1970894419">
    <w:abstractNumId w:val="8"/>
  </w:num>
  <w:num w:numId="27" w16cid:durableId="175076278">
    <w:abstractNumId w:val="3"/>
  </w:num>
  <w:num w:numId="28" w16cid:durableId="810253073">
    <w:abstractNumId w:val="2"/>
  </w:num>
  <w:num w:numId="29" w16cid:durableId="2084134735">
    <w:abstractNumId w:val="1"/>
  </w:num>
  <w:num w:numId="30" w16cid:durableId="1677267471">
    <w:abstractNumId w:val="0"/>
  </w:num>
  <w:num w:numId="31" w16cid:durableId="1948073899">
    <w:abstractNumId w:val="9"/>
  </w:num>
  <w:num w:numId="32" w16cid:durableId="222524721">
    <w:abstractNumId w:val="7"/>
  </w:num>
  <w:num w:numId="33" w16cid:durableId="1450317772">
    <w:abstractNumId w:val="6"/>
  </w:num>
  <w:num w:numId="34" w16cid:durableId="470292862">
    <w:abstractNumId w:val="5"/>
  </w:num>
  <w:num w:numId="35" w16cid:durableId="1923249221">
    <w:abstractNumId w:val="4"/>
  </w:num>
  <w:num w:numId="36" w16cid:durableId="1826121692">
    <w:abstractNumId w:val="8"/>
  </w:num>
  <w:num w:numId="37" w16cid:durableId="856622565">
    <w:abstractNumId w:val="3"/>
  </w:num>
  <w:num w:numId="38" w16cid:durableId="565259031">
    <w:abstractNumId w:val="2"/>
  </w:num>
  <w:num w:numId="39" w16cid:durableId="364251383">
    <w:abstractNumId w:val="1"/>
  </w:num>
  <w:num w:numId="40" w16cid:durableId="1718967678">
    <w:abstractNumId w:val="0"/>
  </w:num>
  <w:num w:numId="41" w16cid:durableId="1405756694">
    <w:abstractNumId w:val="10"/>
  </w:num>
  <w:num w:numId="42" w16cid:durableId="73863721">
    <w:abstractNumId w:val="10"/>
  </w:num>
  <w:num w:numId="43" w16cid:durableId="1772312086">
    <w:abstractNumId w:val="10"/>
  </w:num>
  <w:num w:numId="44" w16cid:durableId="20161050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608"/>
    <w:rsid w:val="00002272"/>
    <w:rsid w:val="00042C87"/>
    <w:rsid w:val="00064002"/>
    <w:rsid w:val="000677B9"/>
    <w:rsid w:val="000831BA"/>
    <w:rsid w:val="000A42CC"/>
    <w:rsid w:val="000E7DD9"/>
    <w:rsid w:val="0010095E"/>
    <w:rsid w:val="00102D0B"/>
    <w:rsid w:val="00125B37"/>
    <w:rsid w:val="00183978"/>
    <w:rsid w:val="00187494"/>
    <w:rsid w:val="001F32AE"/>
    <w:rsid w:val="00266853"/>
    <w:rsid w:val="002767FF"/>
    <w:rsid w:val="002B18FE"/>
    <w:rsid w:val="002B5493"/>
    <w:rsid w:val="00340185"/>
    <w:rsid w:val="00343214"/>
    <w:rsid w:val="00361C00"/>
    <w:rsid w:val="00395FA1"/>
    <w:rsid w:val="003E15D4"/>
    <w:rsid w:val="004002C0"/>
    <w:rsid w:val="00411CCE"/>
    <w:rsid w:val="0041666E"/>
    <w:rsid w:val="00421060"/>
    <w:rsid w:val="004444FA"/>
    <w:rsid w:val="00471C19"/>
    <w:rsid w:val="004867E3"/>
    <w:rsid w:val="00494A28"/>
    <w:rsid w:val="004C0004"/>
    <w:rsid w:val="004C5D52"/>
    <w:rsid w:val="0050519A"/>
    <w:rsid w:val="005072A1"/>
    <w:rsid w:val="00514517"/>
    <w:rsid w:val="005227D0"/>
    <w:rsid w:val="00532FF8"/>
    <w:rsid w:val="00545827"/>
    <w:rsid w:val="00560270"/>
    <w:rsid w:val="005C2568"/>
    <w:rsid w:val="005F1B17"/>
    <w:rsid w:val="006037C0"/>
    <w:rsid w:val="00646127"/>
    <w:rsid w:val="006631B6"/>
    <w:rsid w:val="00666EEA"/>
    <w:rsid w:val="00680577"/>
    <w:rsid w:val="006F74FA"/>
    <w:rsid w:val="00731ADD"/>
    <w:rsid w:val="00734777"/>
    <w:rsid w:val="00747932"/>
    <w:rsid w:val="00751A4A"/>
    <w:rsid w:val="00756632"/>
    <w:rsid w:val="00762C74"/>
    <w:rsid w:val="00786EC0"/>
    <w:rsid w:val="007D1690"/>
    <w:rsid w:val="007E22AD"/>
    <w:rsid w:val="00817416"/>
    <w:rsid w:val="0083043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14E4"/>
    <w:rsid w:val="00A778C7"/>
    <w:rsid w:val="00AB441E"/>
    <w:rsid w:val="00AB6293"/>
    <w:rsid w:val="00AE0928"/>
    <w:rsid w:val="00AE7E73"/>
    <w:rsid w:val="00AF3B82"/>
    <w:rsid w:val="00B12E95"/>
    <w:rsid w:val="00B22876"/>
    <w:rsid w:val="00B545BA"/>
    <w:rsid w:val="00B558F0"/>
    <w:rsid w:val="00BD0139"/>
    <w:rsid w:val="00BD48FE"/>
    <w:rsid w:val="00BD7BD8"/>
    <w:rsid w:val="00BE6ADC"/>
    <w:rsid w:val="00C05BFE"/>
    <w:rsid w:val="00C23CD4"/>
    <w:rsid w:val="00C61C0C"/>
    <w:rsid w:val="00C72608"/>
    <w:rsid w:val="00C941CB"/>
    <w:rsid w:val="00CC2357"/>
    <w:rsid w:val="00CF071A"/>
    <w:rsid w:val="00D058B8"/>
    <w:rsid w:val="00D41489"/>
    <w:rsid w:val="00D56C11"/>
    <w:rsid w:val="00D834A0"/>
    <w:rsid w:val="00D872DF"/>
    <w:rsid w:val="00D91E21"/>
    <w:rsid w:val="00DA7FCD"/>
    <w:rsid w:val="00DB6677"/>
    <w:rsid w:val="00DE6988"/>
    <w:rsid w:val="00E365E1"/>
    <w:rsid w:val="00E820A4"/>
    <w:rsid w:val="00EB006A"/>
    <w:rsid w:val="00EB4772"/>
    <w:rsid w:val="00ED169E"/>
    <w:rsid w:val="00ED4235"/>
    <w:rsid w:val="00F04346"/>
    <w:rsid w:val="00F075DC"/>
    <w:rsid w:val="00F149E9"/>
    <w:rsid w:val="00F42DCC"/>
    <w:rsid w:val="00F5134D"/>
    <w:rsid w:val="00F72658"/>
    <w:rsid w:val="00F74202"/>
    <w:rsid w:val="00F87713"/>
    <w:rsid w:val="00FB4360"/>
    <w:rsid w:val="00FD0C70"/>
  </w:rsids>
  <w:docVars>
    <w:docVar w:name="dvdocse" w:val="A10-0117/2026"/>
    <w:docVar w:name="dvlangue" w:val="SV"/>
    <w:docVar w:name="dvnumam" w:val="0"/>
    <w:docVar w:name="dvpe" w:val="785.318"/>
    <w:docVar w:name="dvrapporteur" w:val="Föredragande: "/>
    <w:docVar w:name="dvtitre" w:val="Europaparlamentets beslut av den xx xx 2026 om begäran om upphävande av Diana Iovanovici Şoşoacăs immunitet(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5DFD472"/>
  <w15:chartTrackingRefBased/>
  <w15:docId w15:val="{4306F55B-B01E-4E3C-A2F4-E27326073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2658"/>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F72658"/>
    <w:pPr>
      <w:spacing w:after="240"/>
      <w:ind w:left="567" w:hanging="567"/>
    </w:pPr>
  </w:style>
  <w:style w:type="paragraph" w:styleId="Header">
    <w:name w:val="header"/>
    <w:basedOn w:val="Normal"/>
    <w:link w:val="HeaderChar"/>
    <w:rsid w:val="00F72658"/>
    <w:pPr>
      <w:tabs>
        <w:tab w:val="center" w:pos="4513"/>
        <w:tab w:val="right" w:pos="9026"/>
      </w:tabs>
    </w:pPr>
  </w:style>
  <w:style w:type="character" w:customStyle="1" w:styleId="HeaderChar">
    <w:name w:val="Header Char"/>
    <w:basedOn w:val="DefaultParagraphFont"/>
    <w:link w:val="Header"/>
    <w:rsid w:val="00F72658"/>
    <w:rPr>
      <w:sz w:val="24"/>
      <w:lang w:val="sv-SE"/>
    </w:rPr>
  </w:style>
  <w:style w:type="paragraph" w:customStyle="1" w:styleId="EPFooter">
    <w:name w:val="EPFooter"/>
    <w:basedOn w:val="Normal"/>
    <w:rsid w:val="00F72658"/>
    <w:pPr>
      <w:tabs>
        <w:tab w:val="center" w:pos="4535"/>
        <w:tab w:val="right" w:pos="9071"/>
      </w:tabs>
      <w:spacing w:before="240" w:after="240"/>
    </w:pPr>
    <w:rPr>
      <w:color w:val="010000"/>
      <w:sz w:val="22"/>
    </w:rPr>
  </w:style>
  <w:style w:type="paragraph" w:customStyle="1" w:styleId="EPComma">
    <w:name w:val="EPComma"/>
    <w:basedOn w:val="Normal"/>
    <w:rsid w:val="00F72658"/>
    <w:pPr>
      <w:spacing w:before="480" w:after="240"/>
    </w:pPr>
  </w:style>
  <w:style w:type="paragraph" w:styleId="Revision">
    <w:name w:val="Revision"/>
    <w:hidden/>
    <w:uiPriority w:val="99"/>
    <w:semiHidden/>
    <w:rsid w:val="00AE7E73"/>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1507</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2026-04-28T10:46:00Z</dcterms:created>
  <dcterms:modified xsi:type="dcterms:W3CDTF">2026-04-28T10:46:00Z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A10-0117/2026</vt:lpwstr>
  </property>
  <property fmtid="{D5CDD505-2E9C-101B-9397-08002B2CF9AE}" pid="4" name="&lt;Type&gt;">
    <vt:lpwstr>RR</vt:lpwstr>
  </property>
</Properties>
</file>