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600283B" w14:textId="77777777" w:rsidTr="0010095E">
        <w:tblPrEx>
          <w:tblW w:w="9072" w:type="dxa"/>
          <w:tblLook w:val="01E0"/>
        </w:tblPrEx>
        <w:trPr>
          <w:trHeight w:hRule="exact" w:val="1418"/>
        </w:trPr>
        <w:tc>
          <w:tcPr>
            <w:tcW w:w="6804" w:type="dxa"/>
            <w:shd w:val="clear" w:color="auto" w:fill="auto"/>
            <w:vAlign w:val="center"/>
          </w:tcPr>
          <w:p w:rsidR="00751A4A" w:rsidRPr="009B60D5" w:rsidP="0010095E" w14:paraId="4E85306E" w14:textId="77777777">
            <w:pPr>
              <w:pStyle w:val="EPName"/>
            </w:pPr>
            <w:r w:rsidRPr="009B60D5">
              <w:t>Euroopa Parlament</w:t>
            </w:r>
          </w:p>
          <w:p w:rsidR="00751A4A" w:rsidRPr="009B60D5" w:rsidP="005F1B17" w14:paraId="669FBA8F" w14:textId="77777777">
            <w:pPr>
              <w:pStyle w:val="EPTerm"/>
              <w:rPr>
                <w:rStyle w:val="HideTWBExt"/>
                <w:noProof w:val="0"/>
                <w:vanish w:val="0"/>
                <w:color w:val="auto"/>
              </w:rPr>
            </w:pPr>
            <w:r w:rsidRPr="009B60D5">
              <w:t>2024</w:t>
            </w:r>
            <w:r w:rsidRPr="009B60D5" w:rsidR="00817416">
              <w:t>-202</w:t>
            </w:r>
            <w:r w:rsidRPr="009B60D5">
              <w:t>9</w:t>
            </w:r>
          </w:p>
        </w:tc>
        <w:tc>
          <w:tcPr>
            <w:tcW w:w="2268" w:type="dxa"/>
            <w:shd w:val="clear" w:color="auto" w:fill="auto"/>
          </w:tcPr>
          <w:p w:rsidR="00751A4A" w:rsidRPr="009B60D5" w:rsidP="0010095E" w14:paraId="18C4EE8C" w14:textId="77777777">
            <w:pPr>
              <w:pStyle w:val="EPLogo"/>
            </w:pPr>
            <w:r w:rsidRPr="009B60D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9B60D5" w:rsidP="004C5D52" w14:paraId="5F144230" w14:textId="77777777">
      <w:pPr>
        <w:pStyle w:val="LineTop"/>
      </w:pPr>
    </w:p>
    <w:p w:rsidR="00680577" w:rsidRPr="009B60D5" w:rsidP="00680577" w14:paraId="273C14B7" w14:textId="77777777">
      <w:pPr>
        <w:pStyle w:val="EPBodyTA1"/>
      </w:pPr>
      <w:r w:rsidRPr="009B60D5">
        <w:t>VASTUVÕETUD TEKSTID</w:t>
      </w:r>
    </w:p>
    <w:p w:rsidR="00D058B8" w:rsidRPr="009B60D5" w:rsidP="00D058B8" w14:paraId="46F36BD3" w14:textId="77777777">
      <w:pPr>
        <w:pStyle w:val="LineBottom"/>
      </w:pPr>
    </w:p>
    <w:p w:rsidR="004032D2" w:rsidRPr="009B60D5" w:rsidP="004032D2" w14:paraId="037C521A" w14:textId="18A2A1AF">
      <w:pPr>
        <w:pStyle w:val="ATHeading1"/>
      </w:pPr>
      <w:bookmarkStart w:id="0" w:name="TANumber"/>
      <w:r w:rsidRPr="009B60D5">
        <w:t>P10_TA(2026)0</w:t>
      </w:r>
      <w:r w:rsidRPr="009B60D5" w:rsidR="008B372B">
        <w:t>109</w:t>
      </w:r>
      <w:bookmarkEnd w:id="0"/>
    </w:p>
    <w:p w:rsidR="004032D2" w:rsidRPr="009B60D5" w:rsidP="004032D2" w14:paraId="536657C2" w14:textId="77777777">
      <w:pPr>
        <w:pStyle w:val="ATHeading2"/>
      </w:pPr>
      <w:bookmarkStart w:id="1" w:name="title"/>
      <w:r w:rsidRPr="009B60D5">
        <w:t>Grzegorz Brauni puutumatuse äravõtmise taotlus</w:t>
      </w:r>
      <w:bookmarkEnd w:id="1"/>
    </w:p>
    <w:p w:rsidR="004032D2" w:rsidRPr="009B60D5" w:rsidP="004032D2" w14:paraId="18417CAE" w14:textId="77777777">
      <w:pPr>
        <w:rPr>
          <w:i/>
          <w:vanish/>
        </w:rPr>
      </w:pPr>
      <w:r>
        <w:rPr>
          <w:i/>
        </w:rPr>
        <w:fldChar w:fldCharType="begin"/>
      </w:r>
      <w:r w:rsidRPr="009B60D5">
        <w:rPr>
          <w:i/>
        </w:rPr>
        <w:instrText xml:space="preserve"> TC"(</w:instrText>
      </w:r>
      <w:bookmarkStart w:id="2" w:name="DocNumber"/>
      <w:r w:rsidRPr="009B60D5">
        <w:rPr>
          <w:i/>
        </w:rPr>
        <w:instrText>A10-0118/2026</w:instrText>
      </w:r>
      <w:bookmarkEnd w:id="2"/>
      <w:r w:rsidRPr="009B60D5">
        <w:rPr>
          <w:i/>
        </w:rPr>
        <w:instrText xml:space="preserve"> - Raportöör: Adrián Vázquez Lázara)"\l3 \n&gt; \* MERGEFORMAT </w:instrText>
      </w:r>
      <w:r>
        <w:rPr>
          <w:i/>
        </w:rPr>
        <w:fldChar w:fldCharType="end"/>
      </w:r>
    </w:p>
    <w:p w:rsidR="004032D2" w:rsidRPr="009B60D5" w:rsidP="004032D2" w14:paraId="2358D277" w14:textId="77777777">
      <w:pPr>
        <w:rPr>
          <w:vanish/>
        </w:rPr>
      </w:pPr>
      <w:bookmarkStart w:id="3" w:name="Commission"/>
      <w:r w:rsidRPr="009B60D5">
        <w:rPr>
          <w:vanish/>
        </w:rPr>
        <w:t>Õiguskomisjon</w:t>
      </w:r>
      <w:bookmarkEnd w:id="3"/>
    </w:p>
    <w:p w:rsidR="004032D2" w:rsidRPr="009B60D5" w:rsidP="004032D2" w14:paraId="218EDC00" w14:textId="77777777">
      <w:pPr>
        <w:rPr>
          <w:vanish/>
        </w:rPr>
      </w:pPr>
      <w:bookmarkStart w:id="4" w:name="PE"/>
      <w:r w:rsidRPr="009B60D5">
        <w:rPr>
          <w:vanish/>
        </w:rPr>
        <w:t>PE785.498</w:t>
      </w:r>
      <w:bookmarkEnd w:id="4"/>
    </w:p>
    <w:p w:rsidR="004032D2" w:rsidRPr="009B60D5" w:rsidP="004032D2" w14:paraId="009AAB65" w14:textId="494E4AB1">
      <w:pPr>
        <w:pStyle w:val="ATHeading3"/>
      </w:pPr>
      <w:bookmarkStart w:id="5" w:name="Sujet"/>
      <w:r w:rsidRPr="009B60D5">
        <w:t xml:space="preserve">Euroopa Parlamendi </w:t>
      </w:r>
      <w:r w:rsidRPr="009B60D5" w:rsidR="00DD42E1">
        <w:t>28</w:t>
      </w:r>
      <w:r w:rsidR="00666A20">
        <w:t>.</w:t>
      </w:r>
      <w:r w:rsidRPr="009B60D5" w:rsidR="00DD42E1">
        <w:t> aprilli</w:t>
      </w:r>
      <w:r w:rsidRPr="009B60D5">
        <w:t xml:space="preserve"> 2026. aasta otsus Grzegorz Brauni puutumatuse äravõtmise taotluse kohta</w:t>
      </w:r>
      <w:bookmarkEnd w:id="5"/>
      <w:r w:rsidRPr="009B60D5">
        <w:t xml:space="preserve"> </w:t>
      </w:r>
      <w:bookmarkStart w:id="6" w:name="References"/>
      <w:r w:rsidRPr="009B60D5">
        <w:t>(2025/2241(IMM))</w:t>
      </w:r>
      <w:bookmarkEnd w:id="6"/>
    </w:p>
    <w:p w:rsidR="00560D97" w:rsidRPr="009B60D5" w:rsidP="00560D97" w14:paraId="08AA9029" w14:textId="77777777">
      <w:pPr>
        <w:pStyle w:val="EPComma"/>
      </w:pPr>
      <w:bookmarkStart w:id="7" w:name="TextBodyBegin"/>
      <w:bookmarkEnd w:id="7"/>
      <w:r w:rsidRPr="009B60D5">
        <w:rPr>
          <w:i/>
        </w:rPr>
        <w:t>Euroopa Parlament</w:t>
      </w:r>
      <w:r w:rsidRPr="009B60D5">
        <w:t>,</w:t>
      </w:r>
    </w:p>
    <w:p w:rsidR="00560D97" w:rsidRPr="009B60D5" w:rsidP="00560D97" w14:paraId="126938DC" w14:textId="23D349D0">
      <w:pPr>
        <w:pStyle w:val="NormalHanging12a"/>
      </w:pPr>
      <w:r w:rsidRPr="009B60D5">
        <w:t>–</w:t>
      </w:r>
      <w:r w:rsidRPr="009B60D5">
        <w:tab/>
        <w:t>võttes arvesse Grzegorz Brauni puutumatuse äravõtmise taotlust, mis saadi Poola peaprokuröri 31. oktoobri 2025. aasta kirjaga, milles edastati Poola</w:t>
      </w:r>
      <w:r w:rsidRPr="009B60D5" w:rsidR="00DD42E1">
        <w:t xml:space="preserve"> Vabariigi</w:t>
      </w:r>
      <w:r w:rsidRPr="009B60D5">
        <w:t xml:space="preserve"> politseiameti peadirektori taotlus seoses Grzegorz Brauni suhtes alustatud kriminaalmenetlusega, ja mis tehti teatavaks Euroopa Parlamendi täiskogu istungil 13. novembril 2025. aastal,</w:t>
      </w:r>
    </w:p>
    <w:p w:rsidR="00560D97" w:rsidRPr="009B60D5" w:rsidP="00560D97" w14:paraId="69B6F9BB" w14:textId="26E190BE">
      <w:pPr>
        <w:pStyle w:val="NormalHanging12a"/>
      </w:pPr>
      <w:r w:rsidRPr="009B60D5">
        <w:t>–</w:t>
      </w:r>
      <w:r w:rsidRPr="009B60D5">
        <w:tab/>
        <w:t xml:space="preserve">võttes arvesse asjaolu, et Grzegorz Brauni puhul loetakse, et ta loobus </w:t>
      </w:r>
      <w:r w:rsidRPr="009B60D5" w:rsidR="00DD42E1">
        <w:t xml:space="preserve">vastavalt </w:t>
      </w:r>
      <w:r w:rsidRPr="009B60D5">
        <w:t>kodukorra artikli 9 lõike</w:t>
      </w:r>
      <w:r w:rsidRPr="009B60D5" w:rsidR="00DD42E1">
        <w:t>le</w:t>
      </w:r>
      <w:r w:rsidRPr="009B60D5">
        <w:t> 6 õigusest anda selgitusi,</w:t>
      </w:r>
    </w:p>
    <w:p w:rsidR="00560D97" w:rsidRPr="009B60D5" w:rsidP="00560D97" w14:paraId="2B976269" w14:textId="77777777">
      <w:pPr>
        <w:pStyle w:val="NormalHanging12a"/>
      </w:pPr>
      <w:r w:rsidRPr="009B60D5">
        <w:t>–</w:t>
      </w:r>
      <w:r w:rsidRPr="009B60D5">
        <w:tab/>
        <w:t>võttes arvesse protokolli nr 7 (Euroopa Liidu privileegide ja immuniteetide kohta) artikleid 8 ja 9 ning otsestel ja üldistel valimistel Euroopa Parlamendi liikmete valimist käsitleva 20. septembri 1976. aasta akti artikli 6 lõiget 2,</w:t>
      </w:r>
    </w:p>
    <w:p w:rsidR="00560D97" w:rsidRPr="009B60D5" w:rsidP="00560D97" w14:paraId="69A72A10" w14:textId="77777777">
      <w:pPr>
        <w:pStyle w:val="NormalHanging12a"/>
      </w:pPr>
      <w:r w:rsidRPr="009B60D5">
        <w:t>–</w:t>
      </w:r>
      <w:r w:rsidRPr="009B60D5">
        <w:tab/>
        <w:t>võttes arvesse Euroopa Liidu Kohtu 21. oktoobri 2008. aasta, 19. märtsi 2010. aasta, 6. septembri 2011. aasta, 17. jaanuari 2013. aasta ja 19. detsembri 2019. aasta otsuseid</w:t>
      </w:r>
      <w:r>
        <w:rPr>
          <w:rStyle w:val="FootnoteReference"/>
          <w:color w:val="000000"/>
        </w:rPr>
        <w:footnoteReference w:id="2"/>
      </w:r>
      <w:r w:rsidRPr="009B60D5">
        <w:t>,</w:t>
      </w:r>
    </w:p>
    <w:p w:rsidR="00560D97" w:rsidRPr="009B60D5" w:rsidP="00560D97" w14:paraId="4D05926F" w14:textId="77777777">
      <w:pPr>
        <w:pStyle w:val="NormalHanging12a"/>
      </w:pPr>
      <w:r w:rsidRPr="009B60D5">
        <w:t>–</w:t>
      </w:r>
      <w:r w:rsidRPr="009B60D5">
        <w:tab/>
        <w:t>võttes arvesse Poola Vabariigi põhiseaduse artikli 105 lõikeid 2 ja 5,</w:t>
      </w:r>
    </w:p>
    <w:p w:rsidR="00560D97" w:rsidRPr="009B60D5" w:rsidP="00560D97" w14:paraId="69CF985E" w14:textId="77777777">
      <w:pPr>
        <w:pStyle w:val="NormalHanging12a"/>
      </w:pPr>
      <w:r w:rsidRPr="009B60D5">
        <w:t>–</w:t>
      </w:r>
      <w:r w:rsidRPr="009B60D5">
        <w:tab/>
        <w:t>võttes arvesse kodukorra artikli 5 lõiget 2, artikli 6 lõiget 1 ja artiklit 9,</w:t>
      </w:r>
    </w:p>
    <w:p w:rsidR="00560D97" w:rsidRPr="009B60D5" w:rsidP="00560D97" w14:paraId="5C154B81" w14:textId="77777777">
      <w:pPr>
        <w:pStyle w:val="NormalHanging12a"/>
      </w:pPr>
      <w:r w:rsidRPr="009B60D5">
        <w:t>–</w:t>
      </w:r>
      <w:r w:rsidRPr="009B60D5">
        <w:tab/>
        <w:t>võttes arvesse õiguskomisjoni raportit (A10-0118/2026),</w:t>
      </w:r>
    </w:p>
    <w:p w:rsidR="00560D97" w:rsidRPr="009B60D5" w:rsidP="00560D97" w14:paraId="37FE6948" w14:textId="1D12818A">
      <w:pPr>
        <w:pStyle w:val="NormalHanging12a"/>
      </w:pPr>
      <w:r w:rsidRPr="009B60D5">
        <w:t>A.</w:t>
      </w:r>
      <w:r w:rsidRPr="009B60D5">
        <w:tab/>
        <w:t>arvestades, et Poola peaprokurör edastas 31. oktoobri 2025. aasta kirjaga Poola</w:t>
      </w:r>
      <w:r w:rsidRPr="009B60D5" w:rsidR="00DD42E1">
        <w:t xml:space="preserve"> Vabariigi</w:t>
      </w:r>
      <w:r w:rsidRPr="009B60D5">
        <w:t xml:space="preserve"> politseiameti peadirektori taotluse võtta ära Poolast valitud Euroopa Parlamendi liikme Grzegorz Brauni puutumatus seoses väidetava süüteoga, mis pandi </w:t>
      </w:r>
      <w:r w:rsidRPr="009B60D5">
        <w:t>toime 2025. aastal;</w:t>
      </w:r>
    </w:p>
    <w:p w:rsidR="00560D97" w:rsidRPr="009B60D5" w:rsidP="00560D97" w14:paraId="3619CBB2" w14:textId="77777777">
      <w:pPr>
        <w:pStyle w:val="NormalHanging12a"/>
      </w:pPr>
      <w:r w:rsidRPr="009B60D5">
        <w:rPr>
          <w:shd w:val="clear" w:color="auto" w:fill="FFFFFF"/>
        </w:rPr>
        <w:t>B.</w:t>
      </w:r>
      <w:r w:rsidRPr="009B60D5">
        <w:rPr>
          <w:shd w:val="clear" w:color="auto" w:fill="FFFFFF"/>
        </w:rPr>
        <w:tab/>
      </w:r>
      <w:r w:rsidRPr="009B60D5">
        <w:t>arvestades, et taotluse kohaselt takistas väidetavalt Grzegorz Braun 10. juulil 2025 juudi usukogukonna massimõrva 84. aastapäeva mälestusürituse ajal liiklust Jedwabne avalikul teel, seistes koos rühma inimestega keset teed; arvestades, et tema väidetav tegu on 20. mai 1971. aasta väärteoseadustiku artikli 90 lõike 1 kohaselt käsitatav süüteona;</w:t>
      </w:r>
    </w:p>
    <w:p w:rsidR="00560D97" w:rsidRPr="009B60D5" w:rsidP="00560D97" w14:paraId="16A82BA8" w14:textId="77777777">
      <w:pPr>
        <w:pStyle w:val="NormalHanging12a"/>
        <w:rPr>
          <w:szCs w:val="24"/>
          <w:shd w:val="clear" w:color="auto" w:fill="FFFFFF"/>
        </w:rPr>
      </w:pPr>
      <w:r w:rsidRPr="009B60D5">
        <w:rPr>
          <w:shd w:val="clear" w:color="auto" w:fill="FFFFFF"/>
        </w:rPr>
        <w:t>C.</w:t>
      </w:r>
      <w:r w:rsidRPr="009B60D5">
        <w:rPr>
          <w:shd w:val="clear" w:color="auto" w:fill="FFFFFF"/>
        </w:rPr>
        <w:tab/>
      </w:r>
      <w:r w:rsidRPr="009B60D5">
        <w:t>arvestades, et taotluse kohaselt seisis ta 10. juulil 2025 Jedwabnes koos inimeste rühmaga juudi rahva massimõrva 84. aastapäeva mälestamisürituse ajal juudi kalmistu sissepääsu lähedal keset avalikku teed ega täitnud väidetavalt korraldusi, mille andis politseiametnik, kes nõudis Grzegorz Braunilt seaduse järgimist ja sõidukite läbilaskmist; arvestades, et sellise tegevusega takistas ta tahtlikult ja olulisel määral ametiülesannete täitmist; arvestades, et tema väidetav tegu on 20. mai 1971. aasta väärteoseadustiku artikli 65a kohaselt käsitatav süüteona;</w:t>
      </w:r>
    </w:p>
    <w:p w:rsidR="00560D97" w:rsidRPr="009B60D5" w:rsidP="00560D97" w14:paraId="4C9F8427" w14:textId="77777777">
      <w:pPr>
        <w:pStyle w:val="NormalHanging12a"/>
        <w:rPr>
          <w:szCs w:val="24"/>
          <w:shd w:val="clear" w:color="auto" w:fill="FFFFFF"/>
        </w:rPr>
      </w:pPr>
      <w:r w:rsidRPr="009B60D5">
        <w:t>D.</w:t>
      </w:r>
      <w:r w:rsidRPr="009B60D5">
        <w:tab/>
        <w:t>arvestades, et Grzegorz Braun valiti Euroopa Parlamenti 2024. aasta juunis toimunud Euroopa Parlamendi valimistel ja ta oli väidetavate süütegude toimepanemise ajal Euroopa Parlamendi liige;</w:t>
      </w:r>
    </w:p>
    <w:p w:rsidR="00560D97" w:rsidRPr="009B60D5" w:rsidP="00560D97" w14:paraId="1E9DA7E2" w14:textId="77777777">
      <w:pPr>
        <w:pStyle w:val="NormalHanging12a"/>
      </w:pPr>
      <w:r w:rsidRPr="009B60D5">
        <w:t>E.</w:t>
      </w:r>
      <w:r w:rsidRPr="009B60D5">
        <w:tab/>
        <w:t>arvestades, et väidetavad süüteod ja neile järgnenud taotlus võtta ära Grzegorz Brauni puutumatus ei ole seotud Grzegorz Brauni kui parlamendiliikme kohustuste täitmisel avaldatud arvamuse ega antud häälega protokolli nr 7 (Euroopa Liidu privileegide ja immuniteetide kohta) artikli 8 tähenduses;</w:t>
      </w:r>
    </w:p>
    <w:p w:rsidR="00560D97" w:rsidRPr="009B60D5" w:rsidP="00560D97" w14:paraId="213E492B" w14:textId="77777777">
      <w:pPr>
        <w:pStyle w:val="NormalHanging12a"/>
      </w:pPr>
      <w:r w:rsidRPr="009B60D5">
        <w:t>F.</w:t>
      </w:r>
      <w:r w:rsidRPr="009B60D5">
        <w:tab/>
        <w:t>arvestades, et protokolli nr 7 (Euroopa Liidu privileegide ja immuniteetide kohta) artikli 9 esimese lõigu punktis a on sätestatud, et Euroopa Parlamendi istungjärkude ajal on Euroopa Parlamendi liikmetel oma riigi territooriumil samasugune immuniteet nagu selle riigi parlamendi liikmetel;</w:t>
      </w:r>
    </w:p>
    <w:p w:rsidR="00560D97" w:rsidRPr="009B60D5" w:rsidP="00560D97" w14:paraId="6D89B5B5" w14:textId="1A383DB9">
      <w:pPr>
        <w:pStyle w:val="NormalHanging12a"/>
      </w:pPr>
      <w:r w:rsidRPr="009B60D5">
        <w:t>G.</w:t>
      </w:r>
      <w:r w:rsidRPr="009B60D5">
        <w:tab/>
        <w:t xml:space="preserve">arvestades, et Poola </w:t>
      </w:r>
      <w:r w:rsidRPr="009B60D5" w:rsidR="00061DDA">
        <w:t xml:space="preserve">Vabariigi </w:t>
      </w:r>
      <w:r w:rsidRPr="009B60D5">
        <w:t>põhiseaduse artikli 105 lõigete 2 ja 5 kohaselt ei või parlamendiliikme suhtes alates valimistulemuste teatavakstegemise päevast kuni tema mandaadi lõppemiseni kohaldada kriminaalvastutust ilma Seimi nõusolekuta ja teda ei või kinni pidada ega vahistada ilma Seimi nõusolekuta, välja arvatud juhul, kui ta tabatakse süüteo toimepanemiselt ja kui tema kinnipidamine on vajalik, et tagada menetluse nõuetekohane läbiviimine;</w:t>
      </w:r>
    </w:p>
    <w:p w:rsidR="00560D97" w:rsidRPr="009B60D5" w:rsidP="00560D97" w14:paraId="570CDEB5" w14:textId="2FFBB350">
      <w:pPr>
        <w:pStyle w:val="NormalHanging12a"/>
      </w:pPr>
      <w:r w:rsidRPr="009B60D5">
        <w:t>H.</w:t>
      </w:r>
      <w:r w:rsidRPr="009B60D5">
        <w:tab/>
        <w:t xml:space="preserve">arvestades, et protokollis nr 7 (Euroopa Liidu privileegide ja immuniteetide kohta) sätesatud puutumatuse eesmärk on kaitsta </w:t>
      </w:r>
      <w:r w:rsidRPr="009B60D5" w:rsidR="00061DDA">
        <w:t>Euroopa P</w:t>
      </w:r>
      <w:r w:rsidRPr="009B60D5">
        <w:t>arlamenti ja selle liikmeid kohtumenetluse eest, kus käsitletakse parlamendiliikme kohustuste täitmise käigus toimunud ja nendega lahutamatult seotud tegevust;</w:t>
      </w:r>
    </w:p>
    <w:p w:rsidR="00560D97" w:rsidRPr="009B60D5" w:rsidP="00560D97" w14:paraId="23C8ACA2" w14:textId="2DC2EF7B">
      <w:pPr>
        <w:pStyle w:val="NormalHanging12a"/>
      </w:pPr>
      <w:r w:rsidRPr="009B60D5">
        <w:t>I.</w:t>
      </w:r>
      <w:r w:rsidRPr="009B60D5">
        <w:tab/>
        <w:t xml:space="preserve">arvestades, et kodukorra artikli 5 lõike 2 kohaselt ei ole </w:t>
      </w:r>
      <w:r w:rsidRPr="009B60D5" w:rsidR="00061DDA">
        <w:t xml:space="preserve">parlamentaarne </w:t>
      </w:r>
      <w:r w:rsidRPr="009B60D5">
        <w:t xml:space="preserve">puutumatus parlamendiliikme isiklik eesõigus, vaid </w:t>
      </w:r>
      <w:r w:rsidRPr="009B60D5" w:rsidR="00061DDA">
        <w:t>Euroopa P</w:t>
      </w:r>
      <w:r w:rsidRPr="009B60D5">
        <w:t>arlamendi kui terviku ja selle liikmete sõltumatuse tagatis;</w:t>
      </w:r>
    </w:p>
    <w:p w:rsidR="00560D97" w:rsidRPr="009B60D5" w:rsidP="00560D97" w14:paraId="64938563" w14:textId="3C688877">
      <w:pPr>
        <w:pStyle w:val="NormalHanging12a"/>
      </w:pPr>
      <w:r w:rsidRPr="009B60D5">
        <w:t>J.</w:t>
      </w:r>
      <w:r w:rsidRPr="009B60D5">
        <w:tab/>
        <w:t xml:space="preserve">arvestades, et Euroopa Parlament ei ole selle juhtumi puhul leidnud tõendeid </w:t>
      </w:r>
      <w:r w:rsidRPr="009B60D5">
        <w:rPr>
          <w:i/>
          <w:iCs/>
        </w:rPr>
        <w:t>fumus persecutionis</w:t>
      </w:r>
      <w:r w:rsidRPr="009B60D5">
        <w:t>’e kohta, s.t mis</w:t>
      </w:r>
      <w:r w:rsidRPr="009B60D5" w:rsidR="00BF5442">
        <w:t>ki ei</w:t>
      </w:r>
      <w:r w:rsidRPr="009B60D5">
        <w:t xml:space="preserve"> viita sellele, et kohtumenetluse eesmärk on kahjustada </w:t>
      </w:r>
      <w:bookmarkStart w:id="8" w:name="_Hlk223449412"/>
      <w:r w:rsidRPr="009B60D5">
        <w:t>Grzegorz Brauni</w:t>
      </w:r>
      <w:bookmarkEnd w:id="8"/>
      <w:r w:rsidRPr="009B60D5" w:rsidR="00BF5442">
        <w:t xml:space="preserve"> poliitilist tegevust</w:t>
      </w:r>
      <w:r w:rsidRPr="009B60D5">
        <w:t xml:space="preserve"> Euroopa Parlamendi liikme</w:t>
      </w:r>
      <w:r w:rsidRPr="009B60D5" w:rsidR="00BF5442">
        <w:t>na ja seega Euroopa Parlamendi sõltumatust</w:t>
      </w:r>
      <w:r w:rsidRPr="009B60D5">
        <w:t>;</w:t>
      </w:r>
    </w:p>
    <w:p w:rsidR="00560D97" w:rsidRPr="009B60D5" w:rsidP="00560D97" w14:paraId="0A710C32" w14:textId="11481AF8">
      <w:pPr>
        <w:pStyle w:val="NormalHanging12a"/>
      </w:pPr>
      <w:r w:rsidRPr="009B60D5">
        <w:t>K.</w:t>
      </w:r>
      <w:r w:rsidRPr="009B60D5">
        <w:tab/>
        <w:t xml:space="preserve">arvestades, et esiteks ei saa </w:t>
      </w:r>
      <w:r w:rsidRPr="009B60D5" w:rsidR="00BF5442">
        <w:t>Euroopa P</w:t>
      </w:r>
      <w:r w:rsidRPr="009B60D5">
        <w:t xml:space="preserve">arlamenti võrdsustada kohtuga ja teiseks ei tohi </w:t>
      </w:r>
      <w:r w:rsidRPr="009B60D5">
        <w:t>parlamendiliiget pidada puutumatuse äravõtmise menetluse raames süüdistatavaks</w:t>
      </w:r>
      <w:r>
        <w:rPr>
          <w:vertAlign w:val="superscript"/>
        </w:rPr>
        <w:footnoteReference w:id="3"/>
      </w:r>
      <w:r w:rsidRPr="009B60D5">
        <w:t>;</w:t>
      </w:r>
    </w:p>
    <w:p w:rsidR="00560D97" w:rsidRPr="009B60D5" w:rsidP="00560D97" w14:paraId="2DED9CDA" w14:textId="77777777">
      <w:pPr>
        <w:pStyle w:val="NormalHanging12a"/>
      </w:pPr>
      <w:r w:rsidRPr="009B60D5">
        <w:t>1.</w:t>
      </w:r>
      <w:r w:rsidRPr="009B60D5">
        <w:tab/>
        <w:t>otsustab Grzegorz Brauni puutumatuse ära võtta;</w:t>
      </w:r>
    </w:p>
    <w:p w:rsidR="00E365E1" w:rsidRPr="009B60D5" w:rsidP="009B60D5" w14:paraId="5BBD84AF" w14:textId="25F3788D">
      <w:pPr>
        <w:pStyle w:val="NormalHanging12a"/>
      </w:pPr>
      <w:r w:rsidRPr="009B60D5">
        <w:t>2.</w:t>
      </w:r>
      <w:r w:rsidRPr="009B60D5">
        <w:tab/>
        <w:t>teeb presidendile ülesandeks edastada käesolev otsus ja vastutava parlamendikomisjoni raport viivitamata Poola Vabariigi pädevale ametiasutusele ja Grzegorz Braunile.</w:t>
      </w:r>
    </w:p>
    <w:sectPr w:rsidSect="001D6F0B">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D6F0B" w14:paraId="4BF9B8C8"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D6F0B" w14:paraId="22C90488"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D6F0B" w14:paraId="18B21BBE"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032D2" w:rsidRPr="001D6F0B" w14:paraId="5B8A073C" w14:textId="77777777">
      <w:r w:rsidRPr="001D6F0B">
        <w:separator/>
      </w:r>
    </w:p>
  </w:footnote>
  <w:footnote w:type="continuationSeparator" w:id="1">
    <w:p w:rsidR="004032D2" w:rsidRPr="001D6F0B" w14:paraId="3220DB03" w14:textId="77777777">
      <w:r w:rsidRPr="001D6F0B">
        <w:continuationSeparator/>
      </w:r>
    </w:p>
  </w:footnote>
  <w:footnote w:id="2">
    <w:p w:rsidR="00560D97" w:rsidRPr="001D6F0B" w:rsidP="001D6F0B" w14:paraId="5E28B8F7" w14:textId="17327653">
      <w:pPr>
        <w:pStyle w:val="FootnoteText"/>
        <w:ind w:left="567" w:hanging="567"/>
        <w:rPr>
          <w:sz w:val="24"/>
          <w:lang w:val="et-EE"/>
        </w:rPr>
      </w:pPr>
      <w:r w:rsidRPr="001D6F0B">
        <w:rPr>
          <w:rStyle w:val="FootnoteReference"/>
          <w:sz w:val="24"/>
          <w:lang w:val="et-EE"/>
        </w:rPr>
        <w:footnoteRef/>
      </w:r>
      <w:r w:rsidRPr="001D6F0B" w:rsidR="001D6F0B">
        <w:rPr>
          <w:sz w:val="24"/>
          <w:lang w:val="et-EE"/>
        </w:rPr>
        <w:tab/>
      </w:r>
      <w:r w:rsidRPr="001D6F0B">
        <w:rPr>
          <w:sz w:val="24"/>
          <w:lang w:val="et-EE"/>
        </w:rPr>
        <w:t xml:space="preserve">Kohtuotsus, Euroopa Kohus, 21. oktoober 2008, Marra </w:t>
      </w:r>
      <w:r w:rsidRPr="001D6F0B">
        <w:rPr>
          <w:i/>
          <w:sz w:val="24"/>
          <w:lang w:val="et-EE"/>
        </w:rPr>
        <w:t>vs</w:t>
      </w:r>
      <w:r w:rsidRPr="001D6F0B">
        <w:rPr>
          <w:sz w:val="24"/>
          <w:lang w:val="et-EE"/>
        </w:rPr>
        <w:t xml:space="preserve">. De Gregorio ja Clemente, C-200/07 ja C-201/07, ECLI:EU:C:2008:579; kohtuotsus, Üldkohus, 19. märts 2010, Gollnisch </w:t>
      </w:r>
      <w:r w:rsidRPr="001D6F0B">
        <w:rPr>
          <w:i/>
          <w:sz w:val="24"/>
          <w:lang w:val="et-EE"/>
        </w:rPr>
        <w:t>vs.</w:t>
      </w:r>
      <w:r w:rsidRPr="001D6F0B">
        <w:rPr>
          <w:sz w:val="24"/>
          <w:lang w:val="et-EE"/>
        </w:rPr>
        <w:t xml:space="preserve"> parlament, T-42/06, ECLI:EU:T:2010:102; kohtuotsus, Euroopa Kohus, 6. september 2011, Patriciello, C-163/10, ECLI: EU:C:2011:543; kohtuotsus, Üldkohus, 17. jaanuar 2013, Gollnisch </w:t>
      </w:r>
      <w:r w:rsidRPr="001D6F0B">
        <w:rPr>
          <w:i/>
          <w:iCs/>
          <w:sz w:val="24"/>
          <w:lang w:val="et-EE"/>
        </w:rPr>
        <w:t>vs.</w:t>
      </w:r>
      <w:r w:rsidRPr="001D6F0B">
        <w:rPr>
          <w:sz w:val="24"/>
          <w:lang w:val="et-EE"/>
        </w:rPr>
        <w:t xml:space="preserve"> parlament, T-346/11 ja T-347/11, ECLI:EU:T:2013:23; kohtuotsus, Euroopa Kohus, 19. detsember 2019, Junqueras Vies, C-502/19, ECLI:EU:C:2019:1115.</w:t>
      </w:r>
    </w:p>
  </w:footnote>
  <w:footnote w:id="3">
    <w:p w:rsidR="00560D97" w:rsidRPr="001D6F0B" w:rsidP="001D6F0B" w14:paraId="5B4CB57E" w14:textId="05F20980">
      <w:pPr>
        <w:pStyle w:val="FootnoteText"/>
        <w:ind w:left="567" w:hanging="567"/>
        <w:rPr>
          <w:sz w:val="24"/>
          <w:lang w:val="et-EE"/>
        </w:rPr>
      </w:pPr>
      <w:r w:rsidRPr="001D6F0B">
        <w:rPr>
          <w:rStyle w:val="FootnoteReference"/>
          <w:sz w:val="24"/>
          <w:lang w:val="et-EE"/>
        </w:rPr>
        <w:footnoteRef/>
      </w:r>
      <w:r w:rsidRPr="001D6F0B" w:rsidR="001D6F0B">
        <w:rPr>
          <w:sz w:val="24"/>
          <w:lang w:val="et-EE"/>
        </w:rPr>
        <w:tab/>
      </w:r>
      <w:r w:rsidRPr="001D6F0B">
        <w:rPr>
          <w:sz w:val="24"/>
          <w:lang w:val="et-EE"/>
        </w:rPr>
        <w:t xml:space="preserve">Kohtuotsus, Üldkohus, 30. aprill 2019, Briois </w:t>
      </w:r>
      <w:r w:rsidRPr="001D6F0B">
        <w:rPr>
          <w:i/>
          <w:sz w:val="24"/>
          <w:lang w:val="et-EE"/>
        </w:rPr>
        <w:t>vs.</w:t>
      </w:r>
      <w:r w:rsidRPr="001D6F0B">
        <w:rPr>
          <w:sz w:val="24"/>
          <w:lang w:val="et-EE"/>
        </w:rPr>
        <w:t xml:space="preserve"> </w:t>
      </w:r>
      <w:r w:rsidR="002C6556">
        <w:rPr>
          <w:sz w:val="24"/>
          <w:lang w:val="et-EE"/>
        </w:rPr>
        <w:t>Euroopa P</w:t>
      </w:r>
      <w:r w:rsidRPr="001D6F0B">
        <w:rPr>
          <w:sz w:val="24"/>
          <w:lang w:val="et-EE"/>
        </w:rPr>
        <w:t>arlament,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D6F0B" w14:paraId="4B314EBE"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D6F0B" w14:paraId="3B7E30EB"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D6F0B" w14:paraId="16B32C9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23218577">
    <w:abstractNumId w:val="9"/>
  </w:num>
  <w:num w:numId="2" w16cid:durableId="1099761251">
    <w:abstractNumId w:val="9"/>
  </w:num>
  <w:num w:numId="3" w16cid:durableId="603730847">
    <w:abstractNumId w:val="7"/>
  </w:num>
  <w:num w:numId="4" w16cid:durableId="1249117430">
    <w:abstractNumId w:val="7"/>
  </w:num>
  <w:num w:numId="5" w16cid:durableId="1788040278">
    <w:abstractNumId w:val="6"/>
  </w:num>
  <w:num w:numId="6" w16cid:durableId="2083916220">
    <w:abstractNumId w:val="6"/>
  </w:num>
  <w:num w:numId="7" w16cid:durableId="658726879">
    <w:abstractNumId w:val="5"/>
  </w:num>
  <w:num w:numId="8" w16cid:durableId="1031879834">
    <w:abstractNumId w:val="5"/>
  </w:num>
  <w:num w:numId="9" w16cid:durableId="1549612153">
    <w:abstractNumId w:val="4"/>
  </w:num>
  <w:num w:numId="10" w16cid:durableId="884413062">
    <w:abstractNumId w:val="4"/>
  </w:num>
  <w:num w:numId="11" w16cid:durableId="212009624">
    <w:abstractNumId w:val="8"/>
  </w:num>
  <w:num w:numId="12" w16cid:durableId="906568341">
    <w:abstractNumId w:val="8"/>
  </w:num>
  <w:num w:numId="13" w16cid:durableId="1454054831">
    <w:abstractNumId w:val="3"/>
  </w:num>
  <w:num w:numId="14" w16cid:durableId="795179080">
    <w:abstractNumId w:val="3"/>
  </w:num>
  <w:num w:numId="15" w16cid:durableId="2028821906">
    <w:abstractNumId w:val="2"/>
  </w:num>
  <w:num w:numId="16" w16cid:durableId="326055986">
    <w:abstractNumId w:val="2"/>
  </w:num>
  <w:num w:numId="17" w16cid:durableId="770513401">
    <w:abstractNumId w:val="1"/>
  </w:num>
  <w:num w:numId="18" w16cid:durableId="910846102">
    <w:abstractNumId w:val="1"/>
  </w:num>
  <w:num w:numId="19" w16cid:durableId="2025357093">
    <w:abstractNumId w:val="0"/>
  </w:num>
  <w:num w:numId="20" w16cid:durableId="311566047">
    <w:abstractNumId w:val="0"/>
  </w:num>
  <w:num w:numId="21" w16cid:durableId="1334407305">
    <w:abstractNumId w:val="9"/>
  </w:num>
  <w:num w:numId="22" w16cid:durableId="1968780728">
    <w:abstractNumId w:val="7"/>
  </w:num>
  <w:num w:numId="23" w16cid:durableId="1989363786">
    <w:abstractNumId w:val="6"/>
  </w:num>
  <w:num w:numId="24" w16cid:durableId="1434400827">
    <w:abstractNumId w:val="5"/>
  </w:num>
  <w:num w:numId="25" w16cid:durableId="1341349592">
    <w:abstractNumId w:val="4"/>
  </w:num>
  <w:num w:numId="26" w16cid:durableId="1721897732">
    <w:abstractNumId w:val="8"/>
  </w:num>
  <w:num w:numId="27" w16cid:durableId="1611743549">
    <w:abstractNumId w:val="3"/>
  </w:num>
  <w:num w:numId="28" w16cid:durableId="1944528687">
    <w:abstractNumId w:val="2"/>
  </w:num>
  <w:num w:numId="29" w16cid:durableId="825972912">
    <w:abstractNumId w:val="1"/>
  </w:num>
  <w:num w:numId="30" w16cid:durableId="1013459029">
    <w:abstractNumId w:val="0"/>
  </w:num>
  <w:num w:numId="31" w16cid:durableId="642126275">
    <w:abstractNumId w:val="9"/>
  </w:num>
  <w:num w:numId="32" w16cid:durableId="1345984107">
    <w:abstractNumId w:val="7"/>
  </w:num>
  <w:num w:numId="33" w16cid:durableId="2052529503">
    <w:abstractNumId w:val="6"/>
  </w:num>
  <w:num w:numId="34" w16cid:durableId="370302141">
    <w:abstractNumId w:val="5"/>
  </w:num>
  <w:num w:numId="35" w16cid:durableId="87311464">
    <w:abstractNumId w:val="4"/>
  </w:num>
  <w:num w:numId="36" w16cid:durableId="415784603">
    <w:abstractNumId w:val="8"/>
  </w:num>
  <w:num w:numId="37" w16cid:durableId="1481771404">
    <w:abstractNumId w:val="3"/>
  </w:num>
  <w:num w:numId="38" w16cid:durableId="906839747">
    <w:abstractNumId w:val="2"/>
  </w:num>
  <w:num w:numId="39" w16cid:durableId="1785732593">
    <w:abstractNumId w:val="1"/>
  </w:num>
  <w:num w:numId="40" w16cid:durableId="515075660">
    <w:abstractNumId w:val="0"/>
  </w:num>
  <w:num w:numId="41" w16cid:durableId="815419801">
    <w:abstractNumId w:val="10"/>
  </w:num>
  <w:num w:numId="42" w16cid:durableId="2091652548">
    <w:abstractNumId w:val="10"/>
  </w:num>
  <w:num w:numId="43" w16cid:durableId="453603122">
    <w:abstractNumId w:val="10"/>
  </w:num>
  <w:num w:numId="44" w16cid:durableId="20472443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2D2"/>
    <w:rsid w:val="00002272"/>
    <w:rsid w:val="00061DDA"/>
    <w:rsid w:val="00064002"/>
    <w:rsid w:val="000677B9"/>
    <w:rsid w:val="000831BA"/>
    <w:rsid w:val="000A42CC"/>
    <w:rsid w:val="000E7DD9"/>
    <w:rsid w:val="0010095E"/>
    <w:rsid w:val="00115490"/>
    <w:rsid w:val="00125B37"/>
    <w:rsid w:val="00187494"/>
    <w:rsid w:val="001D6F0B"/>
    <w:rsid w:val="001F32AE"/>
    <w:rsid w:val="0027558D"/>
    <w:rsid w:val="002767FF"/>
    <w:rsid w:val="002B18FE"/>
    <w:rsid w:val="002B5493"/>
    <w:rsid w:val="002C6556"/>
    <w:rsid w:val="00343214"/>
    <w:rsid w:val="00361C00"/>
    <w:rsid w:val="00395FA1"/>
    <w:rsid w:val="003E15D4"/>
    <w:rsid w:val="004032D2"/>
    <w:rsid w:val="00411CCE"/>
    <w:rsid w:val="0041666E"/>
    <w:rsid w:val="00421060"/>
    <w:rsid w:val="00471C19"/>
    <w:rsid w:val="004867E3"/>
    <w:rsid w:val="00494A28"/>
    <w:rsid w:val="004C0004"/>
    <w:rsid w:val="004C5D52"/>
    <w:rsid w:val="0050519A"/>
    <w:rsid w:val="005072A1"/>
    <w:rsid w:val="00514517"/>
    <w:rsid w:val="00545827"/>
    <w:rsid w:val="00560270"/>
    <w:rsid w:val="00560D97"/>
    <w:rsid w:val="005C2568"/>
    <w:rsid w:val="005F1B17"/>
    <w:rsid w:val="006037C0"/>
    <w:rsid w:val="006631B6"/>
    <w:rsid w:val="00666A20"/>
    <w:rsid w:val="00680577"/>
    <w:rsid w:val="006F6D83"/>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372B"/>
    <w:rsid w:val="008C2AC6"/>
    <w:rsid w:val="00930C23"/>
    <w:rsid w:val="0093193B"/>
    <w:rsid w:val="009509D8"/>
    <w:rsid w:val="00950B64"/>
    <w:rsid w:val="00981893"/>
    <w:rsid w:val="009B60D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5442"/>
    <w:rsid w:val="00C03987"/>
    <w:rsid w:val="00C05BFE"/>
    <w:rsid w:val="00C23CD4"/>
    <w:rsid w:val="00C61C0C"/>
    <w:rsid w:val="00C941CB"/>
    <w:rsid w:val="00CC2357"/>
    <w:rsid w:val="00CF071A"/>
    <w:rsid w:val="00D058B8"/>
    <w:rsid w:val="00D25ABA"/>
    <w:rsid w:val="00D56C11"/>
    <w:rsid w:val="00D834A0"/>
    <w:rsid w:val="00D872DF"/>
    <w:rsid w:val="00D91E21"/>
    <w:rsid w:val="00DA7FCD"/>
    <w:rsid w:val="00DD42E1"/>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18/2026"/>
    <w:docVar w:name="dvlangue" w:val="ET"/>
    <w:docVar w:name="dvnumam" w:val="0"/>
    <w:docVar w:name="dvpe" w:val="785.498"/>
    <w:docVar w:name="dvrapporteur" w:val="Raportöör: "/>
    <w:docVar w:name="dvtitre" w:val="Euroopa Parlamendi .... 2026. aasta otsus Grzegorz Brauni puutumatuse äravõtmise taotluse kohta(2025/2241(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10609C5"/>
  <w15:chartTrackingRefBased/>
  <w15:docId w15:val="{104CC8DB-6B48-43E3-BCCC-2BF878562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60D97"/>
    <w:pPr>
      <w:spacing w:after="240"/>
      <w:ind w:left="567" w:hanging="567"/>
    </w:pPr>
  </w:style>
  <w:style w:type="paragraph" w:customStyle="1" w:styleId="EPComma">
    <w:name w:val="EPComma"/>
    <w:basedOn w:val="Normal"/>
    <w:rsid w:val="00560D97"/>
    <w:pPr>
      <w:spacing w:before="480" w:after="240"/>
    </w:pPr>
  </w:style>
  <w:style w:type="paragraph" w:styleId="Revision">
    <w:name w:val="Revision"/>
    <w:hidden/>
    <w:uiPriority w:val="99"/>
    <w:semiHidden/>
    <w:rsid w:val="00DD42E1"/>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644</Words>
  <Characters>4428</Characters>
  <Application>Microsoft Office Word</Application>
  <DocSecurity>0</DocSecurity>
  <Lines>553</Lines>
  <Paragraphs>563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2026-05-29T10:25:00Z</dcterms:created>
  <dcterms:modified xsi:type="dcterms:W3CDTF">2026-05-29T10:25:00Z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A10-0118/2026</vt:lpwstr>
  </property>
  <property fmtid="{D5CDD505-2E9C-101B-9397-08002B2CF9AE}" pid="4" name="&lt;Type&gt;">
    <vt:lpwstr>RR</vt:lpwstr>
  </property>
</Properties>
</file>