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C2242D" w14:textId="77777777" w:rsidTr="0010095E">
        <w:tblPrEx>
          <w:tblW w:w="9072" w:type="dxa"/>
          <w:tblLook w:val="01E0"/>
        </w:tblPrEx>
        <w:trPr>
          <w:trHeight w:hRule="exact" w:val="1418"/>
        </w:trPr>
        <w:tc>
          <w:tcPr>
            <w:tcW w:w="6804" w:type="dxa"/>
            <w:shd w:val="clear" w:color="auto" w:fill="auto"/>
            <w:vAlign w:val="center"/>
          </w:tcPr>
          <w:p w:rsidR="00751A4A" w:rsidRPr="00D10666" w:rsidP="0010095E" w14:paraId="74FEB71D" w14:textId="77777777">
            <w:pPr>
              <w:pStyle w:val="EPName"/>
            </w:pPr>
            <w:r w:rsidRPr="00D10666">
              <w:t>Euroopan parlamentti</w:t>
            </w:r>
          </w:p>
          <w:p w:rsidR="00751A4A" w:rsidRPr="00D10666" w:rsidP="005F1B17" w14:paraId="6AC3C7F9" w14:textId="77777777">
            <w:pPr>
              <w:pStyle w:val="EPTerm"/>
              <w:rPr>
                <w:rStyle w:val="HideTWBExt"/>
                <w:noProof w:val="0"/>
                <w:vanish w:val="0"/>
                <w:color w:val="auto"/>
              </w:rPr>
            </w:pPr>
            <w:r w:rsidRPr="00D10666">
              <w:t>2024</w:t>
            </w:r>
            <w:r w:rsidRPr="00D10666" w:rsidR="00817416">
              <w:t>-202</w:t>
            </w:r>
            <w:r w:rsidRPr="00D10666">
              <w:t>9</w:t>
            </w:r>
          </w:p>
        </w:tc>
        <w:tc>
          <w:tcPr>
            <w:tcW w:w="2268" w:type="dxa"/>
            <w:shd w:val="clear" w:color="auto" w:fill="auto"/>
          </w:tcPr>
          <w:p w:rsidR="00751A4A" w:rsidRPr="00D10666" w:rsidP="0010095E" w14:paraId="73DB7FC8" w14:textId="77777777">
            <w:pPr>
              <w:pStyle w:val="EPLogo"/>
            </w:pPr>
            <w:r w:rsidRPr="00D106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10666" w:rsidP="004C5D52" w14:paraId="20F2AA64" w14:textId="77777777">
      <w:pPr>
        <w:pStyle w:val="LineTop"/>
      </w:pPr>
    </w:p>
    <w:p w:rsidR="00680577" w:rsidRPr="00D10666" w:rsidP="00680577" w14:paraId="187F8237" w14:textId="77777777">
      <w:pPr>
        <w:pStyle w:val="EPBodyTA1"/>
      </w:pPr>
      <w:r w:rsidRPr="00D10666">
        <w:t>HYVÄKSYTYT TEKSTIT</w:t>
      </w:r>
    </w:p>
    <w:p w:rsidR="00D058B8" w:rsidRPr="00D10666" w:rsidP="00D058B8" w14:paraId="6EB3412F" w14:textId="77777777">
      <w:pPr>
        <w:pStyle w:val="LineBottom"/>
      </w:pPr>
    </w:p>
    <w:p w:rsidR="00E12A16" w:rsidRPr="00D10666" w:rsidP="00E12A16" w14:paraId="6DD893AB" w14:textId="0D2A9C74">
      <w:pPr>
        <w:pStyle w:val="ATHeading1"/>
      </w:pPr>
      <w:bookmarkStart w:id="0" w:name="TANumber"/>
      <w:r w:rsidRPr="00D10666">
        <w:t>P10_TA(2026)0</w:t>
      </w:r>
      <w:r w:rsidRPr="00D10666" w:rsidR="00D10666">
        <w:t>109</w:t>
      </w:r>
      <w:bookmarkEnd w:id="0"/>
    </w:p>
    <w:p w:rsidR="00E12A16" w:rsidRPr="00D10666" w:rsidP="00E12A16" w14:paraId="28A60108" w14:textId="77777777">
      <w:pPr>
        <w:pStyle w:val="ATHeading2"/>
      </w:pPr>
      <w:bookmarkStart w:id="1" w:name="title"/>
      <w:r w:rsidRPr="00D10666">
        <w:t xml:space="preserve">Grzegorz Braunin koskemattomuuden pidättämistä koskeva pyyntö </w:t>
      </w:r>
      <w:bookmarkEnd w:id="1"/>
    </w:p>
    <w:p w:rsidR="00E12A16" w:rsidRPr="00D10666" w:rsidP="00E12A16" w14:paraId="038257C4" w14:textId="77777777">
      <w:pPr>
        <w:rPr>
          <w:i/>
          <w:vanish/>
        </w:rPr>
      </w:pPr>
      <w:r>
        <w:rPr>
          <w:i/>
        </w:rPr>
        <w:fldChar w:fldCharType="begin"/>
      </w:r>
      <w:r w:rsidRPr="00D10666">
        <w:rPr>
          <w:i/>
        </w:rPr>
        <w:instrText xml:space="preserve"> TC"(</w:instrText>
      </w:r>
      <w:bookmarkStart w:id="2" w:name="DocNumber"/>
      <w:r w:rsidRPr="00D10666">
        <w:rPr>
          <w:i/>
        </w:rPr>
        <w:instrText>A10-0118/2026</w:instrText>
      </w:r>
      <w:bookmarkEnd w:id="2"/>
      <w:r w:rsidRPr="00D10666">
        <w:rPr>
          <w:i/>
        </w:rPr>
        <w:instrText xml:space="preserve"> - Esittelijä: Adrián Vázquez Lázara)"\l3 \n&gt; \* MERGEFORMAT </w:instrText>
      </w:r>
      <w:r>
        <w:rPr>
          <w:i/>
        </w:rPr>
        <w:fldChar w:fldCharType="end"/>
      </w:r>
    </w:p>
    <w:p w:rsidR="00E12A16" w:rsidRPr="00D10666" w:rsidP="00E12A16" w14:paraId="3A6DB519" w14:textId="77777777">
      <w:pPr>
        <w:rPr>
          <w:vanish/>
        </w:rPr>
      </w:pPr>
      <w:bookmarkStart w:id="3" w:name="Commission"/>
      <w:r w:rsidRPr="00D10666">
        <w:rPr>
          <w:vanish/>
        </w:rPr>
        <w:t>Oikeudellisten asioiden valiokunta</w:t>
      </w:r>
      <w:bookmarkEnd w:id="3"/>
    </w:p>
    <w:p w:rsidR="00E12A16" w:rsidRPr="00D10666" w:rsidP="00E12A16" w14:paraId="1DC95115" w14:textId="77777777">
      <w:pPr>
        <w:rPr>
          <w:vanish/>
        </w:rPr>
      </w:pPr>
      <w:bookmarkStart w:id="4" w:name="PE"/>
      <w:r w:rsidRPr="00D10666">
        <w:rPr>
          <w:vanish/>
        </w:rPr>
        <w:t>PE785.498</w:t>
      </w:r>
      <w:bookmarkEnd w:id="4"/>
    </w:p>
    <w:p w:rsidR="00E12A16" w:rsidRPr="00D10666" w:rsidP="00E12A16" w14:paraId="4F3853AB" w14:textId="3F06ADEC">
      <w:pPr>
        <w:pStyle w:val="ATHeading3"/>
      </w:pPr>
      <w:bookmarkStart w:id="5" w:name="Sujet"/>
      <w:r w:rsidRPr="00D10666">
        <w:t xml:space="preserve">Euroopan parlamentin päätös </w:t>
      </w:r>
      <w:r w:rsidRPr="00D10666" w:rsidR="00F90065">
        <w:t>28</w:t>
      </w:r>
      <w:r w:rsidRPr="00D10666">
        <w:t>. huhtikuuta 2026 Grzegorz Braunin koskemattomuuden pidättämistä koskevasta pyynnöstä</w:t>
      </w:r>
      <w:bookmarkEnd w:id="5"/>
      <w:r w:rsidRPr="00D10666">
        <w:t xml:space="preserve"> </w:t>
      </w:r>
      <w:bookmarkStart w:id="6" w:name="References"/>
      <w:r w:rsidRPr="00D10666">
        <w:t>(2025/2241(IMM))</w:t>
      </w:r>
      <w:bookmarkEnd w:id="6"/>
    </w:p>
    <w:p w:rsidR="003A0C7A" w:rsidRPr="00D10666" w:rsidP="00F90065" w14:paraId="39B82AB5" w14:textId="77777777">
      <w:pPr>
        <w:pStyle w:val="EPComma"/>
        <w:widowControl/>
      </w:pPr>
      <w:bookmarkStart w:id="7" w:name="TextBodyBegin"/>
      <w:bookmarkEnd w:id="7"/>
      <w:r w:rsidRPr="00D10666">
        <w:rPr>
          <w:i/>
          <w:iCs/>
        </w:rPr>
        <w:t>Euroopan parlamentti</w:t>
      </w:r>
      <w:r w:rsidRPr="00D10666">
        <w:t>, joka</w:t>
      </w:r>
    </w:p>
    <w:p w:rsidR="003A0C7A" w:rsidRPr="00D10666" w:rsidP="00F90065" w14:paraId="694B300D" w14:textId="02D07FBD">
      <w:pPr>
        <w:pStyle w:val="NormalHanging12a"/>
        <w:widowControl/>
      </w:pPr>
      <w:r w:rsidRPr="00D10666">
        <w:t>–</w:t>
      </w:r>
      <w:r w:rsidRPr="00D10666">
        <w:tab/>
        <w:t>ottaa huomioon Grzegorz Braunin koskemattomuuden pidättämistä koskevan pyynnön, jonka toimitti Puolan</w:t>
      </w:r>
      <w:r w:rsidRPr="00D10666" w:rsidR="00F90065">
        <w:t xml:space="preserve"> tasavallan</w:t>
      </w:r>
      <w:r w:rsidRPr="00D10666">
        <w:t xml:space="preserve"> valtakunnansyyttäjä 31. lokakuuta 2025 päivätyllä kirjeellä, jolla välitettiin Puolan poliisiylipäällikön pyyntö Grzegorz Braunia vastaan vireillä olevassa rikosasiassa, ja josta ilmoitettiin täysistunnossa 13. marraskuuta 2025,</w:t>
      </w:r>
    </w:p>
    <w:p w:rsidR="003A0C7A" w:rsidRPr="00D10666" w:rsidP="00F90065" w14:paraId="047F5BD0" w14:textId="77777777">
      <w:pPr>
        <w:pStyle w:val="NormalHanging12a"/>
        <w:widowControl/>
      </w:pPr>
      <w:r w:rsidRPr="00D10666">
        <w:t>–</w:t>
      </w:r>
      <w:r w:rsidRPr="00D10666">
        <w:tab/>
        <w:t>ottaa huomioon, että Grzegorz Braunin katsotaan luopuneen oikeudestaan tulla kuulluksi työjärjestyksen 9 artiklan 6 kohdan mukaisesti,</w:t>
      </w:r>
    </w:p>
    <w:p w:rsidR="003A0C7A" w:rsidRPr="00D10666" w:rsidP="00F90065" w14:paraId="24F1DC0F" w14:textId="77777777">
      <w:pPr>
        <w:pStyle w:val="NormalHanging12a"/>
        <w:widowControl/>
      </w:pPr>
      <w:r w:rsidRPr="00D10666">
        <w:t>–</w:t>
      </w:r>
      <w:r w:rsidRPr="00D10666">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3A0C7A" w:rsidRPr="00D10666" w:rsidP="00F90065" w14:paraId="6D93E657" w14:textId="77777777">
      <w:pPr>
        <w:pStyle w:val="NormalHanging12a"/>
        <w:widowControl/>
      </w:pPr>
      <w:r w:rsidRPr="00D10666">
        <w:t>–</w:t>
      </w:r>
      <w:r w:rsidRPr="00D10666">
        <w:tab/>
        <w:t>ottaa huomioon Euroopan unionin tuomioistuimen 21. lokakuuta 2008, 19. maaliskuuta 2010, 6. syyskuuta 2011, 17. tammikuuta 2013 ja 19. joulukuuta 2019 antamat tuomiot</w:t>
      </w:r>
      <w:r>
        <w:rPr>
          <w:rStyle w:val="FootnoteReference"/>
          <w:color w:val="000000"/>
        </w:rPr>
        <w:footnoteReference w:id="2"/>
      </w:r>
      <w:r w:rsidRPr="00D10666">
        <w:t>,</w:t>
      </w:r>
    </w:p>
    <w:p w:rsidR="003A0C7A" w:rsidRPr="00D10666" w:rsidP="00F90065" w14:paraId="5DF88EF7" w14:textId="77777777">
      <w:pPr>
        <w:pStyle w:val="NormalHanging12a"/>
        <w:widowControl/>
      </w:pPr>
      <w:r w:rsidRPr="00D10666">
        <w:t>–</w:t>
      </w:r>
      <w:r w:rsidRPr="00D10666">
        <w:tab/>
        <w:t>ottaa huomioon Puolan tasavallan perustuslain 105 pykälän 2 ja 5 momentin</w:t>
      </w:r>
    </w:p>
    <w:p w:rsidR="003A0C7A" w:rsidRPr="00D10666" w:rsidP="00F90065" w14:paraId="23918135" w14:textId="77777777">
      <w:pPr>
        <w:pStyle w:val="NormalHanging12a"/>
        <w:widowControl/>
      </w:pPr>
      <w:r w:rsidRPr="00D10666">
        <w:t>–</w:t>
      </w:r>
      <w:r w:rsidRPr="00D10666">
        <w:tab/>
        <w:t>ottaa huomioon työjärjestyksen 5 artiklan 2 kohdan, 6 artiklan 1 kohdan ja 9 artiklan,</w:t>
      </w:r>
    </w:p>
    <w:p w:rsidR="003A0C7A" w:rsidRPr="00D10666" w:rsidP="00F90065" w14:paraId="2016A22D" w14:textId="77777777">
      <w:pPr>
        <w:pStyle w:val="NormalHanging12a"/>
        <w:widowControl/>
      </w:pPr>
      <w:r w:rsidRPr="00D10666">
        <w:t>–</w:t>
      </w:r>
      <w:r w:rsidRPr="00D10666">
        <w:tab/>
        <w:t>ottaa huomioon oikeudellisten asioiden valiokunnan mietinnön (A10-0118/2026),</w:t>
      </w:r>
    </w:p>
    <w:p w:rsidR="003A0C7A" w:rsidRPr="00D10666" w:rsidP="00F90065" w14:paraId="1F585C9C" w14:textId="404297FC">
      <w:pPr>
        <w:pStyle w:val="NormalHanging12a"/>
        <w:widowControl/>
      </w:pPr>
      <w:r w:rsidRPr="00D10666">
        <w:t>A.</w:t>
      </w:r>
      <w:r w:rsidRPr="00D10666">
        <w:tab/>
        <w:t xml:space="preserve">ottaa huomioon, että Puolan </w:t>
      </w:r>
      <w:r w:rsidRPr="00D10666" w:rsidR="00FC2765">
        <w:t xml:space="preserve">tasavallan </w:t>
      </w:r>
      <w:r w:rsidRPr="00D10666">
        <w:t>valtakunnansyyttäjä toimitti 31. lokakuuta 2025 päivätyllä kirjeellä Puolan poliisiylipäällikön esittämän pyynnön, joka koskee Puola</w:t>
      </w:r>
      <w:r w:rsidRPr="00D10666" w:rsidR="00F90065">
        <w:t>n tasavalla</w:t>
      </w:r>
      <w:r w:rsidRPr="00D10666">
        <w:t>sta valitun Euroopan parlamentin jäsenen Grzegorz Braunin koskemattomuuden pidättämistä ja joka liittyy useisiin vuonna 2025 väitteiden mukaan tapahtuneisiin rikoksiin;</w:t>
      </w:r>
    </w:p>
    <w:p w:rsidR="003A0C7A" w:rsidRPr="00D10666" w:rsidP="00F90065" w14:paraId="1BE5925C" w14:textId="77777777">
      <w:pPr>
        <w:pStyle w:val="NormalHanging12a"/>
        <w:widowControl/>
      </w:pPr>
      <w:r w:rsidRPr="00D10666">
        <w:rPr>
          <w:shd w:val="clear" w:color="auto" w:fill="FFFFFF"/>
        </w:rPr>
        <w:t>B.</w:t>
      </w:r>
      <w:r w:rsidRPr="00D10666">
        <w:rPr>
          <w:shd w:val="clear" w:color="auto" w:fill="FFFFFF"/>
        </w:rPr>
        <w:tab/>
      </w:r>
      <w:r w:rsidRPr="00D10666">
        <w:t xml:space="preserve">ottaa huomioon, että pyynnön mukaan Grzegorz Braunin väitetään estäneen liikennettä yleisellä tiellä seisomalla ihmisjoukon kanssa keskellä tietä </w:t>
      </w:r>
      <w:r w:rsidRPr="00D10666">
        <w:t>Jedwabnessa</w:t>
      </w:r>
      <w:r w:rsidRPr="00D10666">
        <w:t xml:space="preserve"> 10. heinäkuuta 2025 juutalaisväestön joukkomurhan 84. vuosipäivän vieton aikaan; ottaa huomioon, että väitetty teko on 20 päivänä toukokuuta 1971 rikkomuksista annetun lain 90 pykälän 1 momentissa tarkoitettu rikos;</w:t>
      </w:r>
    </w:p>
    <w:p w:rsidR="003A0C7A" w:rsidRPr="00D10666" w:rsidP="00F90065" w14:paraId="512C840D" w14:textId="77777777">
      <w:pPr>
        <w:pStyle w:val="NormalHanging12a"/>
        <w:widowControl/>
        <w:rPr>
          <w:szCs w:val="24"/>
          <w:shd w:val="clear" w:color="auto" w:fill="FFFFFF"/>
        </w:rPr>
      </w:pPr>
      <w:r w:rsidRPr="00D10666">
        <w:rPr>
          <w:shd w:val="clear" w:color="auto" w:fill="FFFFFF"/>
        </w:rPr>
        <w:t>C.</w:t>
      </w:r>
      <w:r w:rsidRPr="00D10666">
        <w:rPr>
          <w:shd w:val="clear" w:color="auto" w:fill="FFFFFF"/>
        </w:rPr>
        <w:tab/>
        <w:t>ottaa huomioon,</w:t>
      </w:r>
      <w:r w:rsidRPr="00D10666">
        <w:t xml:space="preserve"> että pyynnön mukaan</w:t>
      </w:r>
      <w:r w:rsidRPr="00D10666">
        <w:rPr>
          <w:shd w:val="clear" w:color="auto" w:fill="FFFFFF"/>
        </w:rPr>
        <w:t xml:space="preserve"> </w:t>
      </w:r>
      <w:r w:rsidRPr="00D10666">
        <w:t xml:space="preserve">Grzegorz Braun ei väitetysti noudattanut poliisin määräyksiä </w:t>
      </w:r>
      <w:r w:rsidRPr="00D10666">
        <w:t>seistessään</w:t>
      </w:r>
      <w:r w:rsidRPr="00D10666">
        <w:t xml:space="preserve"> ihmisjoukon kanssa keskellä yleistä tietä </w:t>
      </w:r>
      <w:r w:rsidRPr="00D10666">
        <w:t>Jedwabnessa</w:t>
      </w:r>
      <w:r w:rsidRPr="00D10666">
        <w:t xml:space="preserve"> lähellä juutalaisen hautausmaan sisäänkäyntiä 10. heinäkuuta 2025 juutalaisväestön joukkomurhan 84. vuosipäivän vieton aikaan, mikä haittasi tarkoituksellisesti ja merkittävästi virkavelvollisuuksien hoitamista, kun poliisi kehotti häntä käyttäytymään lain mukaisesti ja sallimaan ajoneuvojen kulun; ottaa huomioon, että väitetty teko on 20 päivänä toukokuuta 1971 rikkomuksista annetun lain 65 a pykälässä tarkoitettu rikos;</w:t>
      </w:r>
    </w:p>
    <w:p w:rsidR="003A0C7A" w:rsidRPr="00D10666" w:rsidP="00F90065" w14:paraId="33D2BC24" w14:textId="77777777">
      <w:pPr>
        <w:pStyle w:val="NormalHanging12a"/>
        <w:widowControl/>
        <w:rPr>
          <w:szCs w:val="24"/>
          <w:shd w:val="clear" w:color="auto" w:fill="FFFFFF"/>
        </w:rPr>
      </w:pPr>
      <w:r w:rsidRPr="00D10666">
        <w:t>D.</w:t>
      </w:r>
      <w:r w:rsidRPr="00D10666">
        <w:tab/>
      </w:r>
      <w:r w:rsidRPr="00D10666">
        <w:rPr>
          <w:shd w:val="clear" w:color="auto" w:fill="FFFFFF"/>
        </w:rPr>
        <w:t>ottaa huomioon,</w:t>
      </w:r>
      <w:r w:rsidRPr="00D10666">
        <w:t xml:space="preserve"> että Grzegorz Braun </w:t>
      </w:r>
      <w:r w:rsidRPr="00D10666">
        <w:rPr>
          <w:shd w:val="clear" w:color="auto" w:fill="FFFFFF"/>
        </w:rPr>
        <w:t>valittiin Euroopan parlamenttiin kesäkuussa 2024 pidetyissä Euroopan parlamentin vaaleissa, mikä tarkoittaa, että hän oli Euroopan parlamentin jäsen väitettyjen rikosten tekohetkellä;</w:t>
      </w:r>
    </w:p>
    <w:p w:rsidR="003A0C7A" w:rsidRPr="00D10666" w:rsidP="00F90065" w14:paraId="36888D9E" w14:textId="691ACC63">
      <w:pPr>
        <w:pStyle w:val="NormalHanging12a"/>
        <w:widowControl/>
      </w:pPr>
      <w:r w:rsidRPr="00D10666">
        <w:t>E.</w:t>
      </w:r>
      <w:r w:rsidRPr="00D10666">
        <w:tab/>
        <w:t xml:space="preserve">toteaa, että väitetyt rikokset </w:t>
      </w:r>
      <w:r w:rsidRPr="00D10666" w:rsidR="00650EA9">
        <w:t xml:space="preserve">ja niiden </w:t>
      </w:r>
      <w:r w:rsidRPr="00D10666" w:rsidR="00650EA9">
        <w:t>johdosta</w:t>
      </w:r>
      <w:r w:rsidRPr="00D10666" w:rsidR="00650EA9">
        <w:t xml:space="preserve"> esitetty Grzegorz Braunin koskemattomuuden pidättämistä koskeva pyyntö </w:t>
      </w:r>
      <w:r w:rsidRPr="00D10666">
        <w:t xml:space="preserve">eivät </w:t>
      </w:r>
      <w:r w:rsidRPr="00D10666" w:rsidR="00A122E7">
        <w:t>liity</w:t>
      </w:r>
      <w:r w:rsidRPr="00D10666">
        <w:t xml:space="preserve"> Euroopan unionin erioikeuksista ja vapauksista tehdyssä pöytäkirjassa N:o 7 olevassa 8 artiklassa tarkoitettu</w:t>
      </w:r>
      <w:r w:rsidR="008F6017">
        <w:t>un</w:t>
      </w:r>
      <w:r w:rsidRPr="00D10666">
        <w:t xml:space="preserve"> </w:t>
      </w:r>
      <w:r w:rsidRPr="00D10666" w:rsidR="00650EA9">
        <w:t xml:space="preserve">hänen </w:t>
      </w:r>
      <w:r w:rsidRPr="00D10666">
        <w:t>tehtäviään hoitaessaan ilmaisem</w:t>
      </w:r>
      <w:r w:rsidR="008F6017">
        <w:t>aan</w:t>
      </w:r>
      <w:r w:rsidRPr="00D10666">
        <w:t xml:space="preserve"> mielipite</w:t>
      </w:r>
      <w:r w:rsidR="008F6017">
        <w:t>eseen</w:t>
      </w:r>
      <w:r w:rsidRPr="00D10666">
        <w:t xml:space="preserve"> tai äänestyks</w:t>
      </w:r>
      <w:r w:rsidR="008F6017">
        <w:t>ee</w:t>
      </w:r>
      <w:r w:rsidRPr="00D10666" w:rsidR="00A122E7">
        <w:t>n</w:t>
      </w:r>
      <w:r w:rsidRPr="00D10666">
        <w:t>;</w:t>
      </w:r>
    </w:p>
    <w:p w:rsidR="003A0C7A" w:rsidRPr="00D10666" w:rsidP="00F90065" w14:paraId="2FADA663" w14:textId="1BB77A44">
      <w:pPr>
        <w:pStyle w:val="NormalHanging12a"/>
        <w:widowControl/>
      </w:pPr>
      <w:r w:rsidRPr="00D10666">
        <w:t>F.</w:t>
      </w:r>
      <w:r w:rsidRPr="00D10666">
        <w:tab/>
        <w:t>ottaa huomioon, että Euroopan unionin erioikeuksista ja vapauksista tehdyssä pöytäkirjassa N:o 7 olevan 9 artiklan ensimmäisen kohdan a alakohdassa määrätään, että Euroopan parlamentin</w:t>
      </w:r>
      <w:r w:rsidRPr="00D10666" w:rsidR="00044FAA">
        <w:t xml:space="preserve"> istuntojen ajan sen</w:t>
      </w:r>
      <w:r w:rsidRPr="00D10666">
        <w:t xml:space="preserve"> jäsenillä on oman </w:t>
      </w:r>
      <w:r w:rsidRPr="00D10666" w:rsidR="00F90065">
        <w:t>jäsen</w:t>
      </w:r>
      <w:r w:rsidRPr="00D10666">
        <w:t>valtionsa alueella sen jäsenvaltion kansanedustajille myönnetty koskemattomuus;</w:t>
      </w:r>
    </w:p>
    <w:p w:rsidR="003A0C7A" w:rsidRPr="00D10666" w:rsidP="00F90065" w14:paraId="33D50273" w14:textId="72F7BC36">
      <w:pPr>
        <w:pStyle w:val="NormalHanging12a"/>
        <w:widowControl/>
      </w:pPr>
      <w:r w:rsidRPr="00D10666">
        <w:t>G.</w:t>
      </w:r>
      <w:r w:rsidRPr="00D10666">
        <w:tab/>
        <w:t xml:space="preserve">ottaa huomioon, että Puolan </w:t>
      </w:r>
      <w:r w:rsidRPr="00D10666" w:rsidR="00F90065">
        <w:t xml:space="preserve">tasavallan </w:t>
      </w:r>
      <w:r w:rsidRPr="00D10666">
        <w:t>perustuslain 105 pykälän 2 ja 5 momentin mukaan vaalien tulosten julkistamispäivästä parlamentin jäsenen toimikauden päättymispäivään saakka jäsentä ei voida asettaa rikosoikeudelliseen vastuuseen ilman Puolan parlamentin alahuoneen suostumusta eikä häntä voida pidättää tai vangita ilman alahuoneen suostumusta, paitsi silloin, kun jäsen tavataan itse teossa tai kun hänen pidättämisensä on tarpeen asianmukaisen menettelyn varmistamiseksi;</w:t>
      </w:r>
    </w:p>
    <w:p w:rsidR="003A0C7A" w:rsidRPr="00D10666" w:rsidP="00F90065" w14:paraId="0DCBD17E" w14:textId="77777777">
      <w:pPr>
        <w:pStyle w:val="NormalHanging12a"/>
        <w:widowControl/>
      </w:pPr>
      <w:r w:rsidRPr="00D10666">
        <w:t>H.</w:t>
      </w:r>
      <w:r w:rsidRPr="00D10666">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3A0C7A" w:rsidRPr="00D10666" w:rsidP="00F90065" w14:paraId="5F308ED6" w14:textId="77777777">
      <w:pPr>
        <w:pStyle w:val="NormalHanging12a"/>
        <w:widowControl/>
      </w:pPr>
      <w:r w:rsidRPr="00D10666">
        <w:t>I.</w:t>
      </w:r>
      <w:r w:rsidRPr="00D10666">
        <w:tab/>
        <w:t>ottaa huomioon, että Euroopan parlamentin työjärjestyksen 5 artiklan 2 kohdan mukaan parlamentaarinen koskemattomuus ei ole jäsenen henkilökohtainen erioikeus vaan tae koko parlamentin ja sen jäsenten riippumattomuudesta;</w:t>
      </w:r>
    </w:p>
    <w:p w:rsidR="00F90065" w:rsidRPr="00D10666" w:rsidP="00F90065" w14:paraId="7B867F5F" w14:textId="1A45A761">
      <w:pPr>
        <w:pStyle w:val="NormalHanging12a"/>
        <w:widowControl/>
      </w:pPr>
      <w:r w:rsidRPr="00D10666">
        <w:t>J.</w:t>
      </w:r>
      <w:r w:rsidRPr="00D10666">
        <w:tab/>
        <w:t xml:space="preserve">ottaa huomioon, että tässä tapauksessa parlamentti ei löytänyt todisteita </w:t>
      </w:r>
      <w:r w:rsidRPr="00D10666">
        <w:rPr>
          <w:i/>
        </w:rPr>
        <w:t>fumus</w:t>
      </w:r>
      <w:r w:rsidRPr="00D10666">
        <w:rPr>
          <w:i/>
        </w:rPr>
        <w:t> </w:t>
      </w:r>
      <w:r w:rsidRPr="00D10666">
        <w:rPr>
          <w:i/>
        </w:rPr>
        <w:t>persecutionis</w:t>
      </w:r>
      <w:r w:rsidRPr="00D10666">
        <w:t xml:space="preserve"> -tilanteesta </w:t>
      </w:r>
      <w:r w:rsidRPr="00D10666" w:rsidR="00BD180A">
        <w:t xml:space="preserve">eli ei vaikuta siltä, että </w:t>
      </w:r>
      <w:r w:rsidRPr="00D10666">
        <w:t xml:space="preserve">kyseisen oikeusmenettelyn tarkoituksena olisi vahingoittaa </w:t>
      </w:r>
      <w:bookmarkStart w:id="8" w:name="_Hlk223449412"/>
      <w:r w:rsidRPr="00D10666">
        <w:t>Grzegorz Braunin</w:t>
      </w:r>
      <w:bookmarkEnd w:id="8"/>
      <w:r w:rsidRPr="00D10666">
        <w:t xml:space="preserve"> poliittista toimintaa Euroopan parlamentin jäsenenä</w:t>
      </w:r>
      <w:r w:rsidRPr="00D10666">
        <w:t xml:space="preserve"> ja siten parlamentin riippumattomuutta;</w:t>
      </w:r>
    </w:p>
    <w:p w:rsidR="003A0C7A" w:rsidRPr="00D10666" w:rsidP="00F90065" w14:paraId="2F098EC2" w14:textId="77777777">
      <w:pPr>
        <w:pStyle w:val="NormalHanging12a"/>
        <w:widowControl/>
      </w:pPr>
      <w:r w:rsidRPr="00D10666">
        <w:t>K.</w:t>
      </w:r>
      <w:r w:rsidRPr="00D10666">
        <w:tab/>
        <w:t>ottaa huomioon, että parlamenttia ei voida rinnastaa tuomioistuimeen eikä parlamentin jäsentä voida pitää koskemattomuuden pidättämistä koskevassa menettelyssä ”syytettynä”</w:t>
      </w:r>
      <w:r>
        <w:rPr>
          <w:vertAlign w:val="superscript"/>
        </w:rPr>
        <w:footnoteReference w:id="3"/>
      </w:r>
      <w:r w:rsidRPr="00D10666">
        <w:t>;</w:t>
      </w:r>
    </w:p>
    <w:p w:rsidR="003A0C7A" w:rsidRPr="00D10666" w:rsidP="00F90065" w14:paraId="1CB668EB" w14:textId="77777777">
      <w:pPr>
        <w:pStyle w:val="NormalHanging12a"/>
        <w:widowControl/>
      </w:pPr>
      <w:r w:rsidRPr="00D10666">
        <w:t>1.</w:t>
      </w:r>
      <w:r w:rsidRPr="00D10666">
        <w:tab/>
        <w:t>päättää pidättää Grzegorz Braunin koskemattomuuden;</w:t>
      </w:r>
    </w:p>
    <w:p w:rsidR="00640C88" w:rsidRPr="00D10666" w:rsidP="00F90065" w14:paraId="1CE3BAF1" w14:textId="0504038A">
      <w:pPr>
        <w:pStyle w:val="NormalHanging12a"/>
        <w:widowControl/>
      </w:pPr>
      <w:r w:rsidRPr="00D10666">
        <w:t>2.</w:t>
      </w:r>
      <w:r w:rsidRPr="00D10666">
        <w:tab/>
        <w:t>kehottaa puhemiestä välittämään tämän päätöksen sekä asiasta vastaavan valiokunnan mietinnön viipymättä Puolan tasavallan toimivaltaiselle viranomaiselle ja Grzegorz Braunille.</w:t>
      </w:r>
    </w:p>
    <w:sectPr w:rsidSect="00640C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12A16" w:rsidRPr="00640C88" w14:paraId="5D11684C" w14:textId="77777777">
      <w:r w:rsidRPr="00640C88">
        <w:separator/>
      </w:r>
    </w:p>
  </w:footnote>
  <w:footnote w:type="continuationSeparator" w:id="1">
    <w:p w:rsidR="00E12A16" w:rsidRPr="00640C88" w14:paraId="13275F07" w14:textId="77777777">
      <w:r w:rsidRPr="00640C88">
        <w:continuationSeparator/>
      </w:r>
    </w:p>
  </w:footnote>
  <w:footnote w:id="2">
    <w:p w:rsidR="003A0C7A" w:rsidRPr="00640C88" w:rsidP="00640C88" w14:paraId="5241DA72" w14:textId="06ED98D4">
      <w:pPr>
        <w:pStyle w:val="FootnoteText"/>
        <w:ind w:left="567" w:hanging="567"/>
        <w:rPr>
          <w:sz w:val="24"/>
          <w:lang w:val="fi-FI"/>
        </w:rPr>
      </w:pPr>
      <w:r w:rsidRPr="00640C88">
        <w:rPr>
          <w:rStyle w:val="FootnoteReference"/>
          <w:sz w:val="24"/>
          <w:lang w:val="fi-FI"/>
        </w:rPr>
        <w:footnoteRef/>
      </w:r>
      <w:r w:rsidRPr="00640C88" w:rsidR="00640C88">
        <w:rPr>
          <w:sz w:val="24"/>
          <w:lang w:val="fi-FI"/>
        </w:rPr>
        <w:t xml:space="preserve"> </w:t>
      </w:r>
      <w:r w:rsidRPr="00640C88" w:rsidR="00640C88">
        <w:rPr>
          <w:sz w:val="24"/>
          <w:lang w:val="fi-FI"/>
        </w:rPr>
        <w:tab/>
      </w:r>
      <w:r w:rsidRPr="00640C88">
        <w:rPr>
          <w:sz w:val="24"/>
          <w:lang w:val="fi-FI"/>
        </w:rPr>
        <w:t xml:space="preserve">Yhteisöjen tuomioistuimen tuomio 21.10.2008, </w:t>
      </w:r>
      <w:r w:rsidRPr="00640C88">
        <w:rPr>
          <w:sz w:val="24"/>
          <w:lang w:val="fi-FI"/>
        </w:rPr>
        <w:t>Marra</w:t>
      </w:r>
      <w:r w:rsidRPr="00640C88">
        <w:rPr>
          <w:sz w:val="24"/>
          <w:lang w:val="fi-FI"/>
        </w:rPr>
        <w:t xml:space="preserve"> v. De </w:t>
      </w:r>
      <w:r w:rsidRPr="00640C88">
        <w:rPr>
          <w:sz w:val="24"/>
          <w:lang w:val="fi-FI"/>
        </w:rPr>
        <w:t>Gregorio</w:t>
      </w:r>
      <w:r w:rsidRPr="00640C88">
        <w:rPr>
          <w:sz w:val="24"/>
          <w:lang w:val="fi-FI"/>
        </w:rPr>
        <w:t xml:space="preserve"> ja </w:t>
      </w:r>
      <w:r w:rsidRPr="00640C88">
        <w:rPr>
          <w:sz w:val="24"/>
          <w:lang w:val="fi-FI"/>
        </w:rPr>
        <w:t>Clemente</w:t>
      </w:r>
      <w:r w:rsidRPr="00640C88">
        <w:rPr>
          <w:sz w:val="24"/>
          <w:lang w:val="fi-FI"/>
        </w:rPr>
        <w:t xml:space="preserve">, C-200/07 ja C-201/07, ECLI:EU:C:2008:579, unionin yleisen tuomioistuimen tuomio 19.3.2010, </w:t>
      </w:r>
      <w:r w:rsidRPr="00640C88">
        <w:rPr>
          <w:sz w:val="24"/>
          <w:lang w:val="fi-FI"/>
        </w:rPr>
        <w:t>Gollnisch</w:t>
      </w:r>
      <w:r w:rsidRPr="00640C88">
        <w:rPr>
          <w:sz w:val="24"/>
          <w:lang w:val="fi-FI"/>
        </w:rPr>
        <w:t xml:space="preserve"> v. parlamentti, T-42/06, ECLI:EU:T:2010:102, unionin tuomioistuimen tuomio 6.9.2011, </w:t>
      </w:r>
      <w:r w:rsidRPr="00640C88">
        <w:rPr>
          <w:sz w:val="24"/>
          <w:lang w:val="fi-FI"/>
        </w:rPr>
        <w:t>Patriciello</w:t>
      </w:r>
      <w:r w:rsidRPr="00640C88">
        <w:rPr>
          <w:sz w:val="24"/>
          <w:lang w:val="fi-FI"/>
        </w:rPr>
        <w:t xml:space="preserve">, C-163/10, ECLI: EU:C:2011:543, unionin yleisen tuomioistuimen tuomio 17.1.2013, </w:t>
      </w:r>
      <w:r w:rsidRPr="00640C88">
        <w:rPr>
          <w:sz w:val="24"/>
          <w:lang w:val="fi-FI"/>
        </w:rPr>
        <w:t>Gollnisch</w:t>
      </w:r>
      <w:r w:rsidRPr="00640C88">
        <w:rPr>
          <w:sz w:val="24"/>
          <w:lang w:val="fi-FI"/>
        </w:rPr>
        <w:t xml:space="preserve"> v. parlamentti, T-346/11 ja T-347/11, ECLI:EU:T:2013:23 sekä unionin tuomioistuimen tuomio 19.12.2019, </w:t>
      </w:r>
      <w:r w:rsidRPr="00640C88">
        <w:rPr>
          <w:sz w:val="24"/>
          <w:lang w:val="fi-FI"/>
        </w:rPr>
        <w:t>Junqueras</w:t>
      </w:r>
      <w:r w:rsidRPr="00640C88">
        <w:rPr>
          <w:sz w:val="24"/>
          <w:lang w:val="fi-FI"/>
        </w:rPr>
        <w:t xml:space="preserve"> Vies, C-502/19, ECLI:EU:C:2019:1115.</w:t>
      </w:r>
    </w:p>
  </w:footnote>
  <w:footnote w:id="3">
    <w:p w:rsidR="003A0C7A" w:rsidRPr="00640C88" w:rsidP="00640C88" w14:paraId="436617BD" w14:textId="54BC3060">
      <w:pPr>
        <w:pStyle w:val="FootnoteText"/>
        <w:ind w:left="567" w:hanging="567"/>
        <w:rPr>
          <w:sz w:val="24"/>
          <w:lang w:val="fi-FI"/>
        </w:rPr>
      </w:pPr>
      <w:r w:rsidRPr="00640C88">
        <w:rPr>
          <w:rStyle w:val="FootnoteReference"/>
          <w:sz w:val="24"/>
          <w:lang w:val="fi-FI"/>
        </w:rPr>
        <w:footnoteRef/>
      </w:r>
      <w:r w:rsidRPr="00640C88" w:rsidR="00640C88">
        <w:rPr>
          <w:sz w:val="24"/>
          <w:lang w:val="fi-FI"/>
        </w:rPr>
        <w:t xml:space="preserve"> </w:t>
      </w:r>
      <w:r w:rsidRPr="00640C88" w:rsidR="00640C88">
        <w:rPr>
          <w:sz w:val="24"/>
          <w:lang w:val="fi-FI"/>
        </w:rPr>
        <w:tab/>
      </w:r>
      <w:r w:rsidRPr="00640C88">
        <w:rPr>
          <w:sz w:val="24"/>
          <w:lang w:val="fi-FI"/>
        </w:rPr>
        <w:t xml:space="preserve">Unionin yleisen tuomioistuimen tuomio 30.4.2019, </w:t>
      </w:r>
      <w:r w:rsidRPr="00640C88">
        <w:rPr>
          <w:sz w:val="24"/>
          <w:lang w:val="fi-FI"/>
        </w:rPr>
        <w:t>Briois</w:t>
      </w:r>
      <w:r w:rsidRPr="00640C88">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02746323">
    <w:abstractNumId w:val="9"/>
  </w:num>
  <w:num w:numId="2" w16cid:durableId="136726309">
    <w:abstractNumId w:val="9"/>
  </w:num>
  <w:num w:numId="3" w16cid:durableId="859777598">
    <w:abstractNumId w:val="7"/>
  </w:num>
  <w:num w:numId="4" w16cid:durableId="380517686">
    <w:abstractNumId w:val="7"/>
  </w:num>
  <w:num w:numId="5" w16cid:durableId="2015303433">
    <w:abstractNumId w:val="6"/>
  </w:num>
  <w:num w:numId="6" w16cid:durableId="1561819921">
    <w:abstractNumId w:val="6"/>
  </w:num>
  <w:num w:numId="7" w16cid:durableId="1929077623">
    <w:abstractNumId w:val="5"/>
  </w:num>
  <w:num w:numId="8" w16cid:durableId="988898276">
    <w:abstractNumId w:val="5"/>
  </w:num>
  <w:num w:numId="9" w16cid:durableId="532113963">
    <w:abstractNumId w:val="4"/>
  </w:num>
  <w:num w:numId="10" w16cid:durableId="1022627770">
    <w:abstractNumId w:val="4"/>
  </w:num>
  <w:num w:numId="11" w16cid:durableId="889656704">
    <w:abstractNumId w:val="8"/>
  </w:num>
  <w:num w:numId="12" w16cid:durableId="820119962">
    <w:abstractNumId w:val="8"/>
  </w:num>
  <w:num w:numId="13" w16cid:durableId="893810236">
    <w:abstractNumId w:val="3"/>
  </w:num>
  <w:num w:numId="14" w16cid:durableId="326439290">
    <w:abstractNumId w:val="3"/>
  </w:num>
  <w:num w:numId="15" w16cid:durableId="722556659">
    <w:abstractNumId w:val="2"/>
  </w:num>
  <w:num w:numId="16" w16cid:durableId="1171986718">
    <w:abstractNumId w:val="2"/>
  </w:num>
  <w:num w:numId="17" w16cid:durableId="1528135304">
    <w:abstractNumId w:val="1"/>
  </w:num>
  <w:num w:numId="18" w16cid:durableId="805976353">
    <w:abstractNumId w:val="1"/>
  </w:num>
  <w:num w:numId="19" w16cid:durableId="125271627">
    <w:abstractNumId w:val="0"/>
  </w:num>
  <w:num w:numId="20" w16cid:durableId="2036418383">
    <w:abstractNumId w:val="0"/>
  </w:num>
  <w:num w:numId="21" w16cid:durableId="2139179288">
    <w:abstractNumId w:val="9"/>
  </w:num>
  <w:num w:numId="22" w16cid:durableId="1117018551">
    <w:abstractNumId w:val="7"/>
  </w:num>
  <w:num w:numId="23" w16cid:durableId="73087295">
    <w:abstractNumId w:val="6"/>
  </w:num>
  <w:num w:numId="24" w16cid:durableId="1260064734">
    <w:abstractNumId w:val="5"/>
  </w:num>
  <w:num w:numId="25" w16cid:durableId="2014214631">
    <w:abstractNumId w:val="4"/>
  </w:num>
  <w:num w:numId="26" w16cid:durableId="907232165">
    <w:abstractNumId w:val="8"/>
  </w:num>
  <w:num w:numId="27" w16cid:durableId="1420443529">
    <w:abstractNumId w:val="3"/>
  </w:num>
  <w:num w:numId="28" w16cid:durableId="206916590">
    <w:abstractNumId w:val="2"/>
  </w:num>
  <w:num w:numId="29" w16cid:durableId="412236900">
    <w:abstractNumId w:val="1"/>
  </w:num>
  <w:num w:numId="30" w16cid:durableId="1977831857">
    <w:abstractNumId w:val="0"/>
  </w:num>
  <w:num w:numId="31" w16cid:durableId="1644237924">
    <w:abstractNumId w:val="9"/>
  </w:num>
  <w:num w:numId="32" w16cid:durableId="1831863877">
    <w:abstractNumId w:val="7"/>
  </w:num>
  <w:num w:numId="33" w16cid:durableId="1564410543">
    <w:abstractNumId w:val="6"/>
  </w:num>
  <w:num w:numId="34" w16cid:durableId="773329772">
    <w:abstractNumId w:val="5"/>
  </w:num>
  <w:num w:numId="35" w16cid:durableId="255097675">
    <w:abstractNumId w:val="4"/>
  </w:num>
  <w:num w:numId="36" w16cid:durableId="1182159561">
    <w:abstractNumId w:val="8"/>
  </w:num>
  <w:num w:numId="37" w16cid:durableId="65878090">
    <w:abstractNumId w:val="3"/>
  </w:num>
  <w:num w:numId="38" w16cid:durableId="1560481091">
    <w:abstractNumId w:val="2"/>
  </w:num>
  <w:num w:numId="39" w16cid:durableId="878853826">
    <w:abstractNumId w:val="1"/>
  </w:num>
  <w:num w:numId="40" w16cid:durableId="787896669">
    <w:abstractNumId w:val="0"/>
  </w:num>
  <w:num w:numId="41" w16cid:durableId="28533491">
    <w:abstractNumId w:val="10"/>
  </w:num>
  <w:num w:numId="42" w16cid:durableId="683749889">
    <w:abstractNumId w:val="10"/>
  </w:num>
  <w:num w:numId="43" w16cid:durableId="340551628">
    <w:abstractNumId w:val="10"/>
  </w:num>
  <w:num w:numId="44" w16cid:durableId="21112003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A16"/>
    <w:rsid w:val="00002272"/>
    <w:rsid w:val="00044FAA"/>
    <w:rsid w:val="00064002"/>
    <w:rsid w:val="000677B9"/>
    <w:rsid w:val="000831BA"/>
    <w:rsid w:val="000A42CC"/>
    <w:rsid w:val="000E7DD9"/>
    <w:rsid w:val="0010095E"/>
    <w:rsid w:val="00125B37"/>
    <w:rsid w:val="00187494"/>
    <w:rsid w:val="00196F3A"/>
    <w:rsid w:val="001F32AE"/>
    <w:rsid w:val="002767FF"/>
    <w:rsid w:val="002B18FE"/>
    <w:rsid w:val="002B5493"/>
    <w:rsid w:val="00312D65"/>
    <w:rsid w:val="00343214"/>
    <w:rsid w:val="00361C00"/>
    <w:rsid w:val="00395FA1"/>
    <w:rsid w:val="003A0C7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C88"/>
    <w:rsid w:val="00650EA9"/>
    <w:rsid w:val="006631B6"/>
    <w:rsid w:val="00680577"/>
    <w:rsid w:val="006B516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6017"/>
    <w:rsid w:val="00930C23"/>
    <w:rsid w:val="0093193B"/>
    <w:rsid w:val="009509D8"/>
    <w:rsid w:val="00950B64"/>
    <w:rsid w:val="00981893"/>
    <w:rsid w:val="00A122E7"/>
    <w:rsid w:val="00A1687D"/>
    <w:rsid w:val="00A43E52"/>
    <w:rsid w:val="00A4678D"/>
    <w:rsid w:val="00A778C7"/>
    <w:rsid w:val="00AB441E"/>
    <w:rsid w:val="00AB6293"/>
    <w:rsid w:val="00AE0928"/>
    <w:rsid w:val="00AF3B82"/>
    <w:rsid w:val="00B12E95"/>
    <w:rsid w:val="00B22876"/>
    <w:rsid w:val="00B558F0"/>
    <w:rsid w:val="00BD180A"/>
    <w:rsid w:val="00BD48FE"/>
    <w:rsid w:val="00BD7BD8"/>
    <w:rsid w:val="00BE6ADC"/>
    <w:rsid w:val="00C05BFE"/>
    <w:rsid w:val="00C23CD4"/>
    <w:rsid w:val="00C61C0C"/>
    <w:rsid w:val="00C941CB"/>
    <w:rsid w:val="00CC2357"/>
    <w:rsid w:val="00CF071A"/>
    <w:rsid w:val="00D058B8"/>
    <w:rsid w:val="00D10666"/>
    <w:rsid w:val="00D40F65"/>
    <w:rsid w:val="00D56C11"/>
    <w:rsid w:val="00D834A0"/>
    <w:rsid w:val="00D872DF"/>
    <w:rsid w:val="00D91E21"/>
    <w:rsid w:val="00DA7FCD"/>
    <w:rsid w:val="00E12A16"/>
    <w:rsid w:val="00E365E1"/>
    <w:rsid w:val="00E820A4"/>
    <w:rsid w:val="00EB006A"/>
    <w:rsid w:val="00EB4772"/>
    <w:rsid w:val="00ED169E"/>
    <w:rsid w:val="00ED4235"/>
    <w:rsid w:val="00F04346"/>
    <w:rsid w:val="00F075DC"/>
    <w:rsid w:val="00F149E9"/>
    <w:rsid w:val="00F43FBD"/>
    <w:rsid w:val="00F5134D"/>
    <w:rsid w:val="00F74202"/>
    <w:rsid w:val="00F87713"/>
    <w:rsid w:val="00F90065"/>
    <w:rsid w:val="00FB4360"/>
    <w:rsid w:val="00FC2765"/>
    <w:rsid w:val="00FD0C70"/>
  </w:rsids>
  <w:docVars>
    <w:docVar w:name="dvdocse" w:val="A10-0118/2026"/>
    <w:docVar w:name="dvlangue" w:val="FI"/>
    <w:docVar w:name="dvnumam" w:val="0"/>
    <w:docVar w:name="dvpe" w:val="785.498"/>
    <w:docVar w:name="dvrapporteur" w:val="Esittelijä: "/>
    <w:docVar w:name="dvtitre" w:val="Euroopan parlamentin päätös 29. huhtikuuta 2026 Grzegorz Braunin koskemattomuuden pidättämistä koskevasta pyynnöstä(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2F9A2F"/>
  <w15:chartTrackingRefBased/>
  <w15:docId w15:val="{62F43FED-AF4F-4B8F-B731-E33567F98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A0C7A"/>
    <w:pPr>
      <w:spacing w:after="240"/>
      <w:ind w:left="567" w:hanging="567"/>
    </w:pPr>
  </w:style>
  <w:style w:type="paragraph" w:customStyle="1" w:styleId="EPComma">
    <w:name w:val="EPComma"/>
    <w:basedOn w:val="Normal"/>
    <w:rsid w:val="003A0C7A"/>
    <w:pPr>
      <w:spacing w:before="480" w:after="240"/>
    </w:pPr>
  </w:style>
  <w:style w:type="paragraph" w:styleId="Footer">
    <w:name w:val="footer"/>
    <w:basedOn w:val="Normal"/>
    <w:link w:val="FooterChar"/>
    <w:rsid w:val="00F90065"/>
    <w:pPr>
      <w:tabs>
        <w:tab w:val="center" w:pos="4513"/>
        <w:tab w:val="right" w:pos="9026"/>
      </w:tabs>
    </w:pPr>
  </w:style>
  <w:style w:type="character" w:customStyle="1" w:styleId="FooterChar">
    <w:name w:val="Footer Char"/>
    <w:basedOn w:val="DefaultParagraphFont"/>
    <w:link w:val="Footer"/>
    <w:rsid w:val="00F90065"/>
    <w:rPr>
      <w:sz w:val="24"/>
      <w:lang w:val="fi-FI"/>
    </w:rPr>
  </w:style>
  <w:style w:type="paragraph" w:styleId="Revision">
    <w:name w:val="Revision"/>
    <w:hidden/>
    <w:uiPriority w:val="99"/>
    <w:semiHidden/>
    <w:rsid w:val="00F90065"/>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628</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2026-04-28T11:10:00Z</dcterms:created>
  <dcterms:modified xsi:type="dcterms:W3CDTF">2026-04-28T11:10:00Z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A10-0118/2026</vt:lpwstr>
  </property>
  <property fmtid="{D5CDD505-2E9C-101B-9397-08002B2CF9AE}" pid="4" name="&lt;Type&gt;">
    <vt:lpwstr>RR</vt:lpwstr>
  </property>
</Properties>
</file>