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B01708" w14:textId="77777777" w:rsidTr="0010095E">
        <w:tblPrEx>
          <w:tblW w:w="9072" w:type="dxa"/>
          <w:tblLook w:val="01E0"/>
        </w:tblPrEx>
        <w:trPr>
          <w:trHeight w:hRule="exact" w:val="1418"/>
        </w:trPr>
        <w:tc>
          <w:tcPr>
            <w:tcW w:w="6804" w:type="dxa"/>
            <w:shd w:val="clear" w:color="auto" w:fill="auto"/>
            <w:vAlign w:val="center"/>
          </w:tcPr>
          <w:p w:rsidR="00751A4A" w:rsidRPr="006331F2" w:rsidP="0010095E" w14:paraId="24E1F3AC" w14:textId="77777777">
            <w:pPr>
              <w:pStyle w:val="EPName"/>
            </w:pPr>
            <w:r w:rsidRPr="006331F2">
              <w:t>Európai Parlament</w:t>
            </w:r>
          </w:p>
          <w:p w:rsidR="00751A4A" w:rsidRPr="006331F2" w:rsidP="005F1B17" w14:paraId="0B4DCF5A" w14:textId="77777777">
            <w:pPr>
              <w:pStyle w:val="EPTerm"/>
              <w:rPr>
                <w:rStyle w:val="HideTWBExt"/>
                <w:noProof w:val="0"/>
                <w:vanish w:val="0"/>
                <w:color w:val="auto"/>
              </w:rPr>
            </w:pPr>
            <w:r w:rsidRPr="006331F2">
              <w:t>2024</w:t>
            </w:r>
            <w:r w:rsidRPr="006331F2" w:rsidR="00817416">
              <w:t>-202</w:t>
            </w:r>
            <w:r w:rsidRPr="006331F2">
              <w:t>9</w:t>
            </w:r>
          </w:p>
        </w:tc>
        <w:tc>
          <w:tcPr>
            <w:tcW w:w="2268" w:type="dxa"/>
            <w:shd w:val="clear" w:color="auto" w:fill="auto"/>
          </w:tcPr>
          <w:p w:rsidR="00751A4A" w:rsidRPr="006331F2" w:rsidP="0010095E" w14:paraId="43185635" w14:textId="77777777">
            <w:pPr>
              <w:pStyle w:val="EPLogo"/>
            </w:pPr>
            <w:r w:rsidRPr="006331F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331F2" w:rsidP="004C5D52" w14:paraId="59705756" w14:textId="77777777">
      <w:pPr>
        <w:pStyle w:val="LineTop"/>
      </w:pPr>
    </w:p>
    <w:p w:rsidR="00680577" w:rsidRPr="006331F2" w:rsidP="00680577" w14:paraId="45D35862" w14:textId="77777777">
      <w:pPr>
        <w:pStyle w:val="EPBodyTA1"/>
      </w:pPr>
      <w:r w:rsidRPr="006331F2">
        <w:t>ELFOGADOTT SZÖVEGEK</w:t>
      </w:r>
    </w:p>
    <w:p w:rsidR="00D058B8" w:rsidRPr="006331F2" w:rsidP="00D058B8" w14:paraId="57F26EC8" w14:textId="77777777">
      <w:pPr>
        <w:pStyle w:val="LineBottom"/>
      </w:pPr>
    </w:p>
    <w:p w:rsidR="00CF4E16" w:rsidRPr="006331F2" w:rsidP="00CF4E16" w14:paraId="0A90DDEE" w14:textId="2EF67351">
      <w:pPr>
        <w:pStyle w:val="ATHeading1"/>
      </w:pPr>
      <w:bookmarkStart w:id="0" w:name="TANumber"/>
      <w:r w:rsidRPr="006331F2">
        <w:t>P10_</w:t>
      </w:r>
      <w:r w:rsidRPr="006331F2">
        <w:t>TA(</w:t>
      </w:r>
      <w:r w:rsidRPr="006331F2">
        <w:t>2026)0</w:t>
      </w:r>
      <w:r w:rsidRPr="006331F2" w:rsidR="006331F2">
        <w:t>109</w:t>
      </w:r>
      <w:bookmarkEnd w:id="0"/>
    </w:p>
    <w:p w:rsidR="00CF4E16" w:rsidRPr="006331F2" w:rsidP="00CF4E16" w14:paraId="729E9CD2" w14:textId="77777777">
      <w:pPr>
        <w:pStyle w:val="ATHeading2"/>
      </w:pPr>
      <w:bookmarkStart w:id="1" w:name="title"/>
      <w:r w:rsidRPr="006331F2">
        <w:t>A Grzegorz Braun mentelmi jogának felfüggesztésére irányuló kérelem</w:t>
      </w:r>
      <w:bookmarkEnd w:id="1"/>
    </w:p>
    <w:p w:rsidR="00CF4E16" w:rsidRPr="006331F2" w:rsidP="00CF4E16" w14:paraId="49F30851" w14:textId="77777777">
      <w:pPr>
        <w:rPr>
          <w:i/>
          <w:vanish/>
        </w:rPr>
      </w:pPr>
      <w:r>
        <w:rPr>
          <w:i/>
        </w:rPr>
        <w:fldChar w:fldCharType="begin"/>
      </w:r>
      <w:r w:rsidRPr="006331F2">
        <w:rPr>
          <w:i/>
        </w:rPr>
        <w:instrText xml:space="preserve"> TC"(</w:instrText>
      </w:r>
      <w:bookmarkStart w:id="2" w:name="DocNumber"/>
      <w:r w:rsidRPr="006331F2">
        <w:rPr>
          <w:i/>
        </w:rPr>
        <w:instrText>A10-0118/2026</w:instrText>
      </w:r>
      <w:bookmarkEnd w:id="2"/>
      <w:r w:rsidRPr="006331F2">
        <w:rPr>
          <w:i/>
        </w:rPr>
        <w:instrText xml:space="preserve"> - Előadó: Adrián Vázquez Lázara)"\l3 \n&gt; \* MERGEFORMAT </w:instrText>
      </w:r>
      <w:r>
        <w:rPr>
          <w:i/>
        </w:rPr>
        <w:fldChar w:fldCharType="end"/>
      </w:r>
    </w:p>
    <w:p w:rsidR="00CF4E16" w:rsidRPr="006331F2" w:rsidP="00CF4E16" w14:paraId="0B92F826" w14:textId="77777777">
      <w:pPr>
        <w:rPr>
          <w:vanish/>
        </w:rPr>
      </w:pPr>
      <w:bookmarkStart w:id="3" w:name="Commission"/>
      <w:r w:rsidRPr="006331F2">
        <w:rPr>
          <w:vanish/>
        </w:rPr>
        <w:t>Jogi Bizottság</w:t>
      </w:r>
      <w:bookmarkEnd w:id="3"/>
    </w:p>
    <w:p w:rsidR="00CF4E16" w:rsidRPr="006331F2" w:rsidP="00CF4E16" w14:paraId="204692C9" w14:textId="77777777">
      <w:pPr>
        <w:rPr>
          <w:vanish/>
        </w:rPr>
      </w:pPr>
      <w:bookmarkStart w:id="4" w:name="PE"/>
      <w:r w:rsidRPr="006331F2">
        <w:rPr>
          <w:vanish/>
        </w:rPr>
        <w:t>PE785.498</w:t>
      </w:r>
      <w:bookmarkEnd w:id="4"/>
    </w:p>
    <w:p w:rsidR="00CF4E16" w:rsidRPr="006331F2" w:rsidP="00CF4E16" w14:paraId="4E79FFB6" w14:textId="0934BBED">
      <w:pPr>
        <w:pStyle w:val="ATHeading3"/>
      </w:pPr>
      <w:bookmarkStart w:id="5" w:name="Sujet"/>
      <w:r w:rsidRPr="006331F2">
        <w:t xml:space="preserve">Az Európai Parlament 2026. </w:t>
      </w:r>
      <w:r w:rsidRPr="006331F2" w:rsidR="001A1A86">
        <w:t>április 28</w:t>
      </w:r>
      <w:r w:rsidRPr="006331F2">
        <w:t>-i határozata a Grzegorz Braun mentelmi jogának felfüggesztésére irányuló kérelemről</w:t>
      </w:r>
      <w:bookmarkEnd w:id="5"/>
      <w:r w:rsidRPr="006331F2">
        <w:t xml:space="preserve"> </w:t>
      </w:r>
      <w:bookmarkStart w:id="6" w:name="References"/>
      <w:r w:rsidRPr="006331F2">
        <w:t>(2025/2241(IMM))</w:t>
      </w:r>
      <w:bookmarkEnd w:id="6"/>
    </w:p>
    <w:p w:rsidR="00FB78F6" w:rsidRPr="006331F2" w:rsidP="00FB78F6" w14:paraId="4E887C11" w14:textId="77777777">
      <w:pPr>
        <w:pStyle w:val="EPComma"/>
      </w:pPr>
      <w:bookmarkStart w:id="7" w:name="TextBodyBegin"/>
      <w:bookmarkEnd w:id="7"/>
      <w:r w:rsidRPr="006331F2">
        <w:rPr>
          <w:i/>
        </w:rPr>
        <w:t>Az Európai Parlament,</w:t>
      </w:r>
    </w:p>
    <w:p w:rsidR="00FB78F6" w:rsidRPr="006331F2" w:rsidP="001A1A86" w14:paraId="650C7263" w14:textId="32D50FAE">
      <w:pPr>
        <w:pStyle w:val="NormalHanging12a"/>
        <w:widowControl/>
      </w:pPr>
      <w:r w:rsidRPr="006331F2">
        <w:t>–</w:t>
      </w:r>
      <w:r w:rsidRPr="006331F2">
        <w:tab/>
        <w:t>tekintettel a Lengyelország rendőrségének fő</w:t>
      </w:r>
      <w:r w:rsidRPr="006331F2" w:rsidR="00AE639A">
        <w:t>kapitánya</w:t>
      </w:r>
      <w:r w:rsidRPr="006331F2">
        <w:t xml:space="preserve"> által a Grzegorz Braun ellen indított büntetőeljárással </w:t>
      </w:r>
      <w:r w:rsidRPr="006331F2" w:rsidR="008446E8">
        <w:t>összefüggésben</w:t>
      </w:r>
      <w:r w:rsidRPr="006331F2">
        <w:t xml:space="preserve"> </w:t>
      </w:r>
      <w:r w:rsidRPr="006331F2" w:rsidR="00AE639A">
        <w:t>továbbított</w:t>
      </w:r>
      <w:r w:rsidRPr="006331F2">
        <w:t xml:space="preserve"> és </w:t>
      </w:r>
      <w:r w:rsidRPr="006331F2" w:rsidR="001A1A86">
        <w:t xml:space="preserve">a </w:t>
      </w:r>
      <w:r w:rsidRPr="006331F2">
        <w:t>Lengyel</w:t>
      </w:r>
      <w:r w:rsidRPr="006331F2" w:rsidR="001A1A86">
        <w:t xml:space="preserve"> Köztársaság</w:t>
      </w:r>
      <w:r w:rsidRPr="006331F2">
        <w:t xml:space="preserve"> legfőbb ügyészének 2025. október 31-i levelé</w:t>
      </w:r>
      <w:r w:rsidRPr="006331F2" w:rsidR="00AE639A">
        <w:t>vel</w:t>
      </w:r>
      <w:r w:rsidRPr="006331F2">
        <w:t xml:space="preserve"> </w:t>
      </w:r>
      <w:r w:rsidRPr="006331F2" w:rsidR="00AE639A">
        <w:t>eljuttatott</w:t>
      </w:r>
      <w:r w:rsidRPr="006331F2">
        <w:t>, a Parlamentben 2025. november 13-án bejelentett, a Grzegorz Braun mentelmi jogának felfüggesztésére irányuló kérelemre,</w:t>
      </w:r>
    </w:p>
    <w:p w:rsidR="00FB78F6" w:rsidRPr="006331F2" w:rsidP="001A1A86" w14:paraId="298D347B" w14:textId="47D67315">
      <w:pPr>
        <w:pStyle w:val="NormalHanging12a"/>
        <w:widowControl/>
      </w:pPr>
      <w:r w:rsidRPr="006331F2">
        <w:t>–</w:t>
      </w:r>
      <w:r w:rsidRPr="006331F2">
        <w:tab/>
        <w:t>tekintettel arra, hogy úgy kell tekinteni, hogy Grzegorz Braun az eljárási szabályzat 9. cikkének (6) bekezdés</w:t>
      </w:r>
      <w:r w:rsidRPr="006331F2" w:rsidR="00AE639A">
        <w:t>ével</w:t>
      </w:r>
      <w:r w:rsidRPr="006331F2">
        <w:t xml:space="preserve"> </w:t>
      </w:r>
      <w:r w:rsidRPr="006331F2" w:rsidR="00AE639A">
        <w:t>összhangban</w:t>
      </w:r>
      <w:r w:rsidRPr="006331F2">
        <w:t xml:space="preserve"> </w:t>
      </w:r>
      <w:r w:rsidRPr="006331F2" w:rsidR="00AE639A">
        <w:t xml:space="preserve">lemondott </w:t>
      </w:r>
      <w:r w:rsidRPr="006331F2">
        <w:t>meghallgatáshoz való jogáról,</w:t>
      </w:r>
    </w:p>
    <w:p w:rsidR="00FB78F6" w:rsidRPr="006331F2" w:rsidP="001A1A86" w14:paraId="29231778" w14:textId="77777777">
      <w:pPr>
        <w:pStyle w:val="NormalHanging12a"/>
        <w:widowControl/>
      </w:pPr>
      <w:r w:rsidRPr="006331F2">
        <w:t>–</w:t>
      </w:r>
      <w:r w:rsidRPr="006331F2">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FB78F6" w:rsidRPr="006331F2" w:rsidP="001A1A86" w14:paraId="424826B1" w14:textId="77777777">
      <w:pPr>
        <w:pStyle w:val="NormalHanging12a"/>
        <w:widowControl/>
      </w:pPr>
      <w:r w:rsidRPr="006331F2">
        <w:t>–</w:t>
      </w:r>
      <w:r w:rsidRPr="006331F2">
        <w:tab/>
        <w:t>tekintettel az Európai Unió Bírósága által 2008. október 21-én, 2010. március 19-én, 2011. szeptember 6-án, 2013. január 17-én és 2019. december 19-én hozott ítéletekre</w:t>
      </w:r>
      <w:r>
        <w:rPr>
          <w:rStyle w:val="FootnoteReference"/>
          <w:color w:val="000000"/>
        </w:rPr>
        <w:footnoteReference w:id="2"/>
      </w:r>
      <w:r w:rsidRPr="006331F2">
        <w:t>,</w:t>
      </w:r>
    </w:p>
    <w:p w:rsidR="00FB78F6" w:rsidRPr="006331F2" w:rsidP="001A1A86" w14:paraId="650134CE" w14:textId="77777777">
      <w:pPr>
        <w:pStyle w:val="NormalHanging12a"/>
        <w:widowControl/>
      </w:pPr>
      <w:r w:rsidRPr="006331F2">
        <w:t>–</w:t>
      </w:r>
      <w:r w:rsidRPr="006331F2">
        <w:tab/>
        <w:t>tekintettel a Lengyel Köztársaság alkotmánya 105. cikkének (2) és (5) bekezdésére,</w:t>
      </w:r>
    </w:p>
    <w:p w:rsidR="00FB78F6" w:rsidRPr="006331F2" w:rsidP="001A1A86" w14:paraId="7A53C13D" w14:textId="77777777">
      <w:pPr>
        <w:pStyle w:val="NormalHanging12a"/>
        <w:widowControl/>
      </w:pPr>
      <w:r w:rsidRPr="006331F2">
        <w:t>–</w:t>
      </w:r>
      <w:r w:rsidRPr="006331F2">
        <w:tab/>
        <w:t>tekintettel eljárási szabályzata 5. cikkének (2) bekezdésére, 6. cikkének (1) bekezdésére és 9. cikkére,</w:t>
      </w:r>
    </w:p>
    <w:p w:rsidR="00FB78F6" w:rsidRPr="006331F2" w:rsidP="001A1A86" w14:paraId="7A292B68" w14:textId="77777777">
      <w:pPr>
        <w:pStyle w:val="NormalHanging12a"/>
        <w:widowControl/>
      </w:pPr>
      <w:r w:rsidRPr="006331F2">
        <w:t>–</w:t>
      </w:r>
      <w:r w:rsidRPr="006331F2">
        <w:tab/>
        <w:t>tekintettel a Jogi Bizottság jelentésére (A10-0118/2026),</w:t>
      </w:r>
    </w:p>
    <w:p w:rsidR="00FB78F6" w:rsidRPr="006331F2" w:rsidP="001A1A86" w14:paraId="18732481" w14:textId="574378F0">
      <w:pPr>
        <w:pStyle w:val="NormalHanging12a"/>
        <w:widowControl/>
      </w:pPr>
      <w:r w:rsidRPr="006331F2">
        <w:t>A.</w:t>
      </w:r>
      <w:r w:rsidRPr="006331F2">
        <w:tab/>
        <w:t xml:space="preserve">mivel 2025. október 31-én kelt levelében </w:t>
      </w:r>
      <w:r w:rsidRPr="006331F2" w:rsidR="001A1A86">
        <w:t xml:space="preserve">a </w:t>
      </w:r>
      <w:r w:rsidRPr="006331F2">
        <w:t>Lengyel</w:t>
      </w:r>
      <w:r w:rsidRPr="006331F2" w:rsidR="001A1A86">
        <w:t xml:space="preserve"> Köztársaság</w:t>
      </w:r>
      <w:r w:rsidRPr="006331F2">
        <w:t xml:space="preserve"> legfőbb ügyésze </w:t>
      </w:r>
      <w:r w:rsidRPr="006331F2" w:rsidR="00A1531F">
        <w:t xml:space="preserve">– 2025-ben elkövetett állítólagos bűncselekményekkel összefüggésben – </w:t>
      </w:r>
      <w:r w:rsidRPr="006331F2">
        <w:t>továbbította Lengyelország rendőrsége főkapitányának Grzegorz Braun Lengyelországban megválasztott európai parlamenti képviselő mentelmi jogának felfüggesztésére irányuló kérelmét;</w:t>
      </w:r>
    </w:p>
    <w:p w:rsidR="00FB78F6" w:rsidRPr="006331F2" w:rsidP="001A1A86" w14:paraId="144C15C0" w14:textId="13E14A81">
      <w:pPr>
        <w:pStyle w:val="NormalHanging12a"/>
        <w:widowControl/>
      </w:pPr>
      <w:r w:rsidRPr="006331F2">
        <w:rPr>
          <w:shd w:val="clear" w:color="auto" w:fill="FFFFFF"/>
        </w:rPr>
        <w:t>B.</w:t>
      </w:r>
      <w:r w:rsidRPr="006331F2">
        <w:rPr>
          <w:shd w:val="clear" w:color="auto" w:fill="FFFFFF"/>
        </w:rPr>
        <w:tab/>
      </w:r>
      <w:r w:rsidRPr="006331F2">
        <w:t xml:space="preserve">mivel a kérelem szerint 2025. július 10-én, a zsidó lakosság lemészárlásának 84. évfordulójáról való megemlékezések során Grzegorz Braun többedmagával </w:t>
      </w:r>
      <w:r w:rsidRPr="006331F2">
        <w:t>Jedwabne</w:t>
      </w:r>
      <w:r w:rsidRPr="006331F2">
        <w:t xml:space="preserve"> egyik közútján állva állítólag akadályozta az úton való közlekedést; mivel az állítólagos cselekmény a szabálysértésekről szóló</w:t>
      </w:r>
      <w:r w:rsidRPr="006331F2" w:rsidR="001A1A86">
        <w:t>,</w:t>
      </w:r>
      <w:r w:rsidRPr="006331F2">
        <w:t xml:space="preserve"> 1971. május 20-i törvény 90. cikkének (1) bekezdése szerinti szabálysértésnek minősül;</w:t>
      </w:r>
    </w:p>
    <w:p w:rsidR="00FB78F6" w:rsidRPr="006331F2" w:rsidP="001A1A86" w14:paraId="45EB12A8" w14:textId="3278C34F">
      <w:pPr>
        <w:pStyle w:val="NormalHanging12a"/>
        <w:widowControl/>
        <w:rPr>
          <w:szCs w:val="24"/>
          <w:shd w:val="clear" w:color="auto" w:fill="FFFFFF"/>
        </w:rPr>
      </w:pPr>
      <w:r w:rsidRPr="006331F2">
        <w:rPr>
          <w:shd w:val="clear" w:color="auto" w:fill="FFFFFF"/>
        </w:rPr>
        <w:t>C.</w:t>
      </w:r>
      <w:r w:rsidRPr="006331F2">
        <w:rPr>
          <w:shd w:val="clear" w:color="auto" w:fill="FFFFFF"/>
        </w:rPr>
        <w:tab/>
      </w:r>
      <w:r w:rsidRPr="006331F2">
        <w:t xml:space="preserve">mivel a kérelem szerint 2025. július 10-én </w:t>
      </w:r>
      <w:r w:rsidRPr="006331F2">
        <w:t>Jedwabnéban</w:t>
      </w:r>
      <w:r w:rsidRPr="006331F2">
        <w:t xml:space="preserve">, a zsidó temető bejárata közelében, a zsidó lakosság lemészárlásának 84. évfordulójáról való megemlékezés során Grzegorz Braun többedmagával egy közút közepén állva állítólag nem követte a rendőr által adott utasításokat, aki arra szólította fel, hogy viselkedjen a jogszabályoknak megfelelően, </w:t>
      </w:r>
      <w:r w:rsidRPr="006331F2" w:rsidR="008C37C0">
        <w:t>és</w:t>
      </w:r>
      <w:r w:rsidRPr="006331F2">
        <w:t xml:space="preserve"> tegye lehetővé a gépjárművek áthaladását, ezáltal szándékosan és jelentősen akadályoz</w:t>
      </w:r>
      <w:r w:rsidRPr="006331F2" w:rsidR="008C37C0">
        <w:t>va</w:t>
      </w:r>
      <w:r w:rsidRPr="006331F2">
        <w:t xml:space="preserve"> a hivatalos feladatok ellátását; mivel az állítólagos cselekmény a szabálysértésekről szóló</w:t>
      </w:r>
      <w:r w:rsidRPr="006331F2" w:rsidR="001A1A86">
        <w:t>,</w:t>
      </w:r>
      <w:r w:rsidRPr="006331F2">
        <w:t xml:space="preserve"> 1971. május 20-i törvény 65a. cikke szerinti szabálysértésnek minősül</w:t>
      </w:r>
      <w:r w:rsidRPr="006331F2">
        <w:rPr>
          <w:shd w:val="clear" w:color="auto" w:fill="FFFFFF"/>
        </w:rPr>
        <w:t>;</w:t>
      </w:r>
    </w:p>
    <w:p w:rsidR="00FB78F6" w:rsidRPr="006331F2" w:rsidP="001A1A86" w14:paraId="6637A1CD" w14:textId="5DE9866A">
      <w:pPr>
        <w:pStyle w:val="NormalHanging12a"/>
        <w:widowControl/>
        <w:rPr>
          <w:szCs w:val="24"/>
          <w:shd w:val="clear" w:color="auto" w:fill="FFFFFF"/>
        </w:rPr>
      </w:pPr>
      <w:r w:rsidRPr="006331F2">
        <w:t>D.</w:t>
      </w:r>
      <w:r w:rsidRPr="006331F2">
        <w:tab/>
        <w:t>mivel Grzegorz Braunt a 2024. júniusi európai választásokon az Európai Parlament képviselőjévé</w:t>
      </w:r>
      <w:r w:rsidRPr="006331F2" w:rsidR="008C37C0">
        <w:t xml:space="preserve"> választották</w:t>
      </w:r>
      <w:r w:rsidRPr="006331F2">
        <w:t>, és ezért az állítólagos szabálysértések idején az Európai Parlament képviselője volt;</w:t>
      </w:r>
    </w:p>
    <w:p w:rsidR="00FB78F6" w:rsidRPr="006331F2" w:rsidP="001A1A86" w14:paraId="7F472F74" w14:textId="77777777">
      <w:pPr>
        <w:pStyle w:val="NormalHanging12a"/>
        <w:widowControl/>
      </w:pPr>
      <w:r w:rsidRPr="006331F2">
        <w:t>E.</w:t>
      </w:r>
      <w:r w:rsidRPr="006331F2">
        <w:tab/>
        <w:t>mivel az állítólagos bűncselekmények nem minősülnek az Európai Unió kiváltságairól és mentességeiről szóló 7. jegyzőkönyv 8. cikke értelmében vett feladatai ellátása során Grzegorz Braun által kifejtett véleménynek vagy leadott szavazatnak, és a Grzegorz Braun mentelmi jogának felfüggesztésére irányuló kérelem nem kapcsolódik ilyen véleményhez vagy szavazathoz;</w:t>
      </w:r>
    </w:p>
    <w:p w:rsidR="00FB78F6" w:rsidRPr="006331F2" w:rsidP="001A1A86" w14:paraId="68F46A40" w14:textId="2D4E0FF0">
      <w:pPr>
        <w:pStyle w:val="NormalHanging12a"/>
        <w:widowControl/>
      </w:pPr>
      <w:r w:rsidRPr="006331F2">
        <w:t>F.</w:t>
      </w:r>
      <w:r w:rsidRPr="006331F2">
        <w:tab/>
        <w:t xml:space="preserve">mivel az Európai Unió kiváltságairól és mentességeiről szóló 7. jegyzőkönyv 9. cikke első bekezdésének a) pontja szerint az Európai Parlament </w:t>
      </w:r>
      <w:r w:rsidRPr="006331F2">
        <w:t>ülésszakainak</w:t>
      </w:r>
      <w:r w:rsidRPr="006331F2">
        <w:t xml:space="preserve"> ideje alatt az Európai Parlament tagjai saját </w:t>
      </w:r>
      <w:r w:rsidRPr="006331F2" w:rsidR="001A1A86">
        <w:t>tag</w:t>
      </w:r>
      <w:r w:rsidRPr="006331F2">
        <w:t>államuk területén a saját tagállamuk parlamentjének tagjaira vonatkozó mentességet élvezik;</w:t>
      </w:r>
    </w:p>
    <w:p w:rsidR="00FB78F6" w:rsidRPr="006331F2" w:rsidP="001A1A86" w14:paraId="039D15DC" w14:textId="62D66CBE">
      <w:pPr>
        <w:pStyle w:val="NormalHanging12a"/>
        <w:widowControl/>
      </w:pPr>
      <w:r w:rsidRPr="006331F2">
        <w:t>G.</w:t>
      </w:r>
      <w:r w:rsidRPr="006331F2">
        <w:tab/>
        <w:t xml:space="preserve">mivel a </w:t>
      </w:r>
      <w:r w:rsidRPr="006331F2" w:rsidR="001A1A86">
        <w:t>L</w:t>
      </w:r>
      <w:r w:rsidRPr="006331F2">
        <w:t xml:space="preserve">engyel </w:t>
      </w:r>
      <w:r w:rsidRPr="006331F2" w:rsidR="001A1A86">
        <w:t xml:space="preserve">Köztársaság </w:t>
      </w:r>
      <w:r w:rsidRPr="006331F2">
        <w:t>alkotmány</w:t>
      </w:r>
      <w:r w:rsidRPr="006331F2" w:rsidR="001A1A86">
        <w:t>a</w:t>
      </w:r>
      <w:r w:rsidRPr="006331F2">
        <w:t xml:space="preserve"> 105. cikkének (2) és (5) bekezdése szerint a választások eredményének bejelentése napjától a mandátuma lejártának napjáig a képviselőt nem lehet büntetőjogi felelősségre vonni a Szejm beleegyezése nélkül, és a Szejm beleegyezése nélkül nem állíthatják elő és nem vehetik őrizetbe, kivéve, ha bűncselekmény elkövetése közben érték tetten, és amennyiben az eljárás megfelelő menetének biztosítása érdekében szükséges az őrizetbe vétele;</w:t>
      </w:r>
    </w:p>
    <w:p w:rsidR="00FB78F6" w:rsidRPr="006331F2" w:rsidP="001A1A86" w14:paraId="3C5C4F05" w14:textId="77777777">
      <w:pPr>
        <w:pStyle w:val="NormalHanging12a"/>
        <w:widowControl/>
      </w:pPr>
      <w:r w:rsidRPr="006331F2">
        <w:t>H.</w:t>
      </w:r>
      <w:r w:rsidRPr="006331F2">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rsidR="00FB78F6" w:rsidRPr="006331F2" w:rsidP="001A1A86" w14:paraId="3C505233" w14:textId="77777777">
      <w:pPr>
        <w:pStyle w:val="NormalHanging12a"/>
        <w:widowControl/>
      </w:pPr>
      <w:r w:rsidRPr="006331F2">
        <w:t>I.</w:t>
      </w:r>
      <w:r w:rsidRPr="006331F2">
        <w:tab/>
        <w:t>mivel az Európai Parlament eljárási szabályzata 5. cikkének (2) bekezdésével összhangban a parlamenti mentelmi jog nem a képviselők személyes kiváltsága, hanem a teljes Parlament és az egyes képviselők függetlenségének biztosítéka;</w:t>
      </w:r>
    </w:p>
    <w:p w:rsidR="00FB78F6" w:rsidRPr="006331F2" w:rsidP="001A1A86" w14:paraId="706E5121" w14:textId="39E5DC2B">
      <w:pPr>
        <w:pStyle w:val="NormalHanging12a"/>
        <w:widowControl/>
      </w:pPr>
      <w:r w:rsidRPr="006331F2">
        <w:t>J.</w:t>
      </w:r>
      <w:r w:rsidRPr="006331F2">
        <w:tab/>
        <w:t xml:space="preserve">mivel a Parlament ebben az esetben nem talált bizonyítékot a </w:t>
      </w:r>
      <w:r w:rsidRPr="006331F2">
        <w:rPr>
          <w:i/>
          <w:iCs/>
        </w:rPr>
        <w:t>fumus</w:t>
      </w:r>
      <w:r w:rsidRPr="006331F2">
        <w:rPr>
          <w:i/>
          <w:iCs/>
        </w:rPr>
        <w:t xml:space="preserve"> </w:t>
      </w:r>
      <w:r w:rsidRPr="006331F2">
        <w:rPr>
          <w:i/>
          <w:iCs/>
        </w:rPr>
        <w:t>persecutionis</w:t>
      </w:r>
      <w:r w:rsidRPr="006331F2">
        <w:t xml:space="preserve"> fennállására, azaz olyan tényekre, amelyek arra utalnának, hogy a szóban forgó bírósági eljárást azzal a szándékkal indították, hogy </w:t>
      </w:r>
      <w:r w:rsidRPr="006331F2" w:rsidR="000D4D89">
        <w:t>ártsanak</w:t>
      </w:r>
      <w:r w:rsidRPr="006331F2">
        <w:t xml:space="preserve"> </w:t>
      </w:r>
      <w:bookmarkStart w:id="8" w:name="_Hlk223449412"/>
      <w:r w:rsidRPr="006331F2">
        <w:t>Grzegorz Braun</w:t>
      </w:r>
      <w:bookmarkEnd w:id="8"/>
      <w:r w:rsidRPr="006331F2">
        <w:t xml:space="preserve"> Európai Parlament képviselőjeként folytatott politikai tevékenység</w:t>
      </w:r>
      <w:r w:rsidRPr="006331F2" w:rsidR="000D4D89">
        <w:t>ének</w:t>
      </w:r>
      <w:r w:rsidRPr="006331F2" w:rsidR="001A1A86">
        <w:t>, és ezáltal a Parlament függetlenség</w:t>
      </w:r>
      <w:r w:rsidRPr="006331F2" w:rsidR="000D4D89">
        <w:t>ének</w:t>
      </w:r>
      <w:r w:rsidRPr="006331F2">
        <w:t>;</w:t>
      </w:r>
    </w:p>
    <w:p w:rsidR="00FB78F6" w:rsidRPr="006331F2" w:rsidP="001A1A86" w14:paraId="532B60B0" w14:textId="77777777">
      <w:pPr>
        <w:pStyle w:val="NormalHanging12a"/>
        <w:widowControl/>
      </w:pPr>
      <w:r w:rsidRPr="006331F2">
        <w:t>K.</w:t>
      </w:r>
      <w:r w:rsidRPr="006331F2">
        <w:tab/>
        <w:t>mivel egyrészről a Parlament nem töltheti be bíróság szerepét, másrészről pedig a mentelmi jog felfüggesztésére irányuló eljárásban az érintett képviselő nem tekinthető vádlottnak</w:t>
      </w:r>
      <w:r>
        <w:rPr>
          <w:vertAlign w:val="superscript"/>
        </w:rPr>
        <w:footnoteReference w:id="3"/>
      </w:r>
      <w:r w:rsidRPr="006331F2">
        <w:t>;</w:t>
      </w:r>
    </w:p>
    <w:p w:rsidR="00FB78F6" w:rsidRPr="006331F2" w:rsidP="001A1A86" w14:paraId="422929F6" w14:textId="77777777">
      <w:pPr>
        <w:pStyle w:val="NormalHanging12a"/>
        <w:widowControl/>
      </w:pPr>
      <w:r w:rsidRPr="006331F2">
        <w:t>1.</w:t>
      </w:r>
      <w:r w:rsidRPr="006331F2">
        <w:tab/>
        <w:t>úgy határoz, hogy felfüggeszti Grzegorz Braun mentelmi jogát;</w:t>
      </w:r>
    </w:p>
    <w:p w:rsidR="00E365E1" w:rsidRPr="004D04ED" w:rsidP="001A1A86" w14:paraId="519A0161" w14:textId="7D5ACB07">
      <w:pPr>
        <w:widowControl/>
        <w:spacing w:after="240"/>
        <w:ind w:left="567" w:hanging="567"/>
      </w:pPr>
      <w:r w:rsidRPr="006331F2">
        <w:t>2.</w:t>
      </w:r>
      <w:r w:rsidRPr="006331F2">
        <w:tab/>
        <w:t>utasítja elnökét, hogy haladéktalanul továbbítsa ezt a határozatot és az illetékes bizottság jelentését a Lengyel Köztársaság illetékes hatóságának és Grzegorz Braunnak.</w:t>
      </w:r>
    </w:p>
    <w:sectPr w:rsidSect="004D04E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04ED" w14:paraId="1B91B87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04ED" w14:paraId="7342C09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04ED" w14:paraId="3E1FEAE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4E16" w:rsidRPr="004D04ED" w14:paraId="7AA8BCBF" w14:textId="77777777">
      <w:r w:rsidRPr="004D04ED">
        <w:separator/>
      </w:r>
    </w:p>
  </w:footnote>
  <w:footnote w:type="continuationSeparator" w:id="1">
    <w:p w:rsidR="00CF4E16" w:rsidRPr="004D04ED" w14:paraId="4977B062" w14:textId="77777777">
      <w:r w:rsidRPr="004D04ED">
        <w:continuationSeparator/>
      </w:r>
    </w:p>
  </w:footnote>
  <w:footnote w:id="2">
    <w:p w:rsidR="00FB78F6" w:rsidRPr="004D04ED" w:rsidP="004D04ED" w14:paraId="1886E04A" w14:textId="1800BFE2">
      <w:pPr>
        <w:pStyle w:val="FootnoteText"/>
        <w:ind w:left="567" w:hanging="567"/>
        <w:rPr>
          <w:sz w:val="24"/>
          <w:lang w:val="hu-HU"/>
        </w:rPr>
      </w:pPr>
      <w:r w:rsidRPr="004D04ED">
        <w:rPr>
          <w:rStyle w:val="FootnoteReference"/>
          <w:sz w:val="24"/>
          <w:lang w:val="hu-HU"/>
        </w:rPr>
        <w:footnoteRef/>
      </w:r>
      <w:r w:rsidRPr="004D04ED" w:rsidR="004D04ED">
        <w:rPr>
          <w:sz w:val="24"/>
          <w:lang w:val="hu-HU"/>
        </w:rPr>
        <w:t xml:space="preserve"> </w:t>
      </w:r>
      <w:r w:rsidRPr="004D04ED" w:rsidR="004D04ED">
        <w:rPr>
          <w:sz w:val="24"/>
          <w:lang w:val="hu-HU"/>
        </w:rPr>
        <w:tab/>
      </w:r>
      <w:r w:rsidRPr="004D04ED">
        <w:rPr>
          <w:sz w:val="24"/>
          <w:lang w:val="hu-HU"/>
        </w:rPr>
        <w:t xml:space="preserve">A Bíróság 2008. október 21-i ítélete, Marra kontra De </w:t>
      </w:r>
      <w:r w:rsidRPr="004D04ED">
        <w:rPr>
          <w:sz w:val="24"/>
          <w:lang w:val="hu-HU"/>
        </w:rPr>
        <w:t>Gregorio</w:t>
      </w:r>
      <w:r w:rsidRPr="004D04ED">
        <w:rPr>
          <w:sz w:val="24"/>
          <w:lang w:val="hu-HU"/>
        </w:rPr>
        <w:t xml:space="preserve"> és </w:t>
      </w:r>
      <w:r w:rsidRPr="004D04ED">
        <w:rPr>
          <w:sz w:val="24"/>
          <w:lang w:val="hu-HU"/>
        </w:rPr>
        <w:t>Clemente</w:t>
      </w:r>
      <w:r w:rsidRPr="004D04ED">
        <w:rPr>
          <w:sz w:val="24"/>
          <w:lang w:val="hu-HU"/>
        </w:rPr>
        <w:t xml:space="preserve">, C-200/07 és C-201/07, ECLI:EU:C:2008:579; a Törvényszék 2010. március 19-i ítélete, </w:t>
      </w:r>
      <w:r w:rsidRPr="004D04ED">
        <w:rPr>
          <w:sz w:val="24"/>
          <w:lang w:val="hu-HU"/>
        </w:rPr>
        <w:t>Gollnisch</w:t>
      </w:r>
      <w:r w:rsidRPr="004D04ED">
        <w:rPr>
          <w:sz w:val="24"/>
          <w:lang w:val="hu-HU"/>
        </w:rPr>
        <w:t xml:space="preserve"> kontra Európai Parlament, T-42/06, ECLI:EU:T:2010:102; a Bíróság 2011. szeptember 6-i ítélete, </w:t>
      </w:r>
      <w:r w:rsidRPr="004D04ED">
        <w:rPr>
          <w:sz w:val="24"/>
          <w:lang w:val="hu-HU"/>
        </w:rPr>
        <w:t>Patriciello</w:t>
      </w:r>
      <w:r w:rsidRPr="004D04ED">
        <w:rPr>
          <w:sz w:val="24"/>
          <w:lang w:val="hu-HU"/>
        </w:rPr>
        <w:t xml:space="preserve">, C-163/10, ECLI: EU:C:2011:543; a Törvényszék 2013. január 17-i ítélete, </w:t>
      </w:r>
      <w:r w:rsidRPr="004D04ED">
        <w:rPr>
          <w:sz w:val="24"/>
          <w:lang w:val="hu-HU"/>
        </w:rPr>
        <w:t>Gollnisch</w:t>
      </w:r>
      <w:r w:rsidRPr="004D04ED">
        <w:rPr>
          <w:sz w:val="24"/>
          <w:lang w:val="hu-HU"/>
        </w:rPr>
        <w:t xml:space="preserve"> kontra Európai Parlament, T-346/11 és T-347/11, ECLI:EU:T:2013:23; a Bíróság 2019. december 19-i ítélete, </w:t>
      </w:r>
      <w:r w:rsidRPr="004D04ED">
        <w:rPr>
          <w:sz w:val="24"/>
          <w:lang w:val="hu-HU"/>
        </w:rPr>
        <w:t>Junqueras</w:t>
      </w:r>
      <w:r w:rsidRPr="004D04ED">
        <w:rPr>
          <w:sz w:val="24"/>
          <w:lang w:val="hu-HU"/>
        </w:rPr>
        <w:t xml:space="preserve"> </w:t>
      </w:r>
      <w:r w:rsidRPr="004D04ED">
        <w:rPr>
          <w:sz w:val="24"/>
          <w:lang w:val="hu-HU"/>
        </w:rPr>
        <w:t>Vies</w:t>
      </w:r>
      <w:r w:rsidRPr="004D04ED">
        <w:rPr>
          <w:sz w:val="24"/>
          <w:lang w:val="hu-HU"/>
        </w:rPr>
        <w:t>, C-502/19, ECLI:EU:C:2019:1115.</w:t>
      </w:r>
    </w:p>
  </w:footnote>
  <w:footnote w:id="3">
    <w:p w:rsidR="00FB78F6" w:rsidRPr="004D04ED" w:rsidP="004D04ED" w14:paraId="095722DF" w14:textId="740C0ACB">
      <w:pPr>
        <w:pStyle w:val="FootnoteText"/>
        <w:ind w:left="567" w:hanging="567"/>
        <w:rPr>
          <w:sz w:val="24"/>
          <w:lang w:val="hu-HU"/>
        </w:rPr>
      </w:pPr>
      <w:r w:rsidRPr="004D04ED">
        <w:rPr>
          <w:rStyle w:val="FootnoteReference"/>
          <w:sz w:val="24"/>
          <w:lang w:val="hu-HU"/>
        </w:rPr>
        <w:footnoteRef/>
      </w:r>
      <w:r w:rsidRPr="004D04ED" w:rsidR="004D04ED">
        <w:rPr>
          <w:sz w:val="24"/>
          <w:lang w:val="hu-HU"/>
        </w:rPr>
        <w:t xml:space="preserve"> </w:t>
      </w:r>
      <w:r w:rsidRPr="004D04ED" w:rsidR="004D04ED">
        <w:rPr>
          <w:sz w:val="24"/>
          <w:lang w:val="hu-HU"/>
        </w:rPr>
        <w:tab/>
      </w:r>
      <w:r w:rsidRPr="004D04ED">
        <w:rPr>
          <w:sz w:val="24"/>
          <w:lang w:val="hu-HU"/>
        </w:rPr>
        <w:t xml:space="preserve">A Törvényszék 2019. április 30-i ítélete, </w:t>
      </w:r>
      <w:r w:rsidRPr="004D04ED">
        <w:rPr>
          <w:sz w:val="24"/>
          <w:lang w:val="hu-HU"/>
        </w:rPr>
        <w:t>Briois</w:t>
      </w:r>
      <w:r w:rsidRPr="004D04ED">
        <w:rPr>
          <w:sz w:val="24"/>
          <w:lang w:val="hu-HU"/>
        </w:rPr>
        <w:t xml:space="preserve"> kontra Európai Parlament, T-214/18, ECLI:</w:t>
      </w:r>
      <w:r w:rsidRPr="004D04ED">
        <w:rPr>
          <w:sz w:val="24"/>
          <w:lang w:val="hu-HU"/>
        </w:rPr>
        <w:t>EU:T</w:t>
      </w:r>
      <w:r w:rsidRPr="004D04ED">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04ED" w14:paraId="785A163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04ED" w14:paraId="2F9DD23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04ED" w14:paraId="41C2B6D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8933609">
    <w:abstractNumId w:val="9"/>
  </w:num>
  <w:num w:numId="2" w16cid:durableId="744956984">
    <w:abstractNumId w:val="9"/>
  </w:num>
  <w:num w:numId="3" w16cid:durableId="1053307740">
    <w:abstractNumId w:val="7"/>
  </w:num>
  <w:num w:numId="4" w16cid:durableId="1555196590">
    <w:abstractNumId w:val="7"/>
  </w:num>
  <w:num w:numId="5" w16cid:durableId="1372878014">
    <w:abstractNumId w:val="6"/>
  </w:num>
  <w:num w:numId="6" w16cid:durableId="271673524">
    <w:abstractNumId w:val="6"/>
  </w:num>
  <w:num w:numId="7" w16cid:durableId="1282881338">
    <w:abstractNumId w:val="5"/>
  </w:num>
  <w:num w:numId="8" w16cid:durableId="1023098008">
    <w:abstractNumId w:val="5"/>
  </w:num>
  <w:num w:numId="9" w16cid:durableId="575169329">
    <w:abstractNumId w:val="4"/>
  </w:num>
  <w:num w:numId="10" w16cid:durableId="975451572">
    <w:abstractNumId w:val="4"/>
  </w:num>
  <w:num w:numId="11" w16cid:durableId="65419572">
    <w:abstractNumId w:val="8"/>
  </w:num>
  <w:num w:numId="12" w16cid:durableId="522204098">
    <w:abstractNumId w:val="8"/>
  </w:num>
  <w:num w:numId="13" w16cid:durableId="1715274582">
    <w:abstractNumId w:val="3"/>
  </w:num>
  <w:num w:numId="14" w16cid:durableId="379983151">
    <w:abstractNumId w:val="3"/>
  </w:num>
  <w:num w:numId="15" w16cid:durableId="594942628">
    <w:abstractNumId w:val="2"/>
  </w:num>
  <w:num w:numId="16" w16cid:durableId="281497731">
    <w:abstractNumId w:val="2"/>
  </w:num>
  <w:num w:numId="17" w16cid:durableId="1653872359">
    <w:abstractNumId w:val="1"/>
  </w:num>
  <w:num w:numId="18" w16cid:durableId="1658847292">
    <w:abstractNumId w:val="1"/>
  </w:num>
  <w:num w:numId="19" w16cid:durableId="1761103795">
    <w:abstractNumId w:val="0"/>
  </w:num>
  <w:num w:numId="20" w16cid:durableId="2022656598">
    <w:abstractNumId w:val="0"/>
  </w:num>
  <w:num w:numId="21" w16cid:durableId="1520124365">
    <w:abstractNumId w:val="9"/>
  </w:num>
  <w:num w:numId="22" w16cid:durableId="1007439811">
    <w:abstractNumId w:val="7"/>
  </w:num>
  <w:num w:numId="23" w16cid:durableId="1684624207">
    <w:abstractNumId w:val="6"/>
  </w:num>
  <w:num w:numId="24" w16cid:durableId="2081711929">
    <w:abstractNumId w:val="5"/>
  </w:num>
  <w:num w:numId="25" w16cid:durableId="20055667">
    <w:abstractNumId w:val="4"/>
  </w:num>
  <w:num w:numId="26" w16cid:durableId="787549823">
    <w:abstractNumId w:val="8"/>
  </w:num>
  <w:num w:numId="27" w16cid:durableId="1830053773">
    <w:abstractNumId w:val="3"/>
  </w:num>
  <w:num w:numId="28" w16cid:durableId="919370917">
    <w:abstractNumId w:val="2"/>
  </w:num>
  <w:num w:numId="29" w16cid:durableId="1849982439">
    <w:abstractNumId w:val="1"/>
  </w:num>
  <w:num w:numId="30" w16cid:durableId="578447668">
    <w:abstractNumId w:val="0"/>
  </w:num>
  <w:num w:numId="31" w16cid:durableId="1124271541">
    <w:abstractNumId w:val="9"/>
  </w:num>
  <w:num w:numId="32" w16cid:durableId="1167748014">
    <w:abstractNumId w:val="7"/>
  </w:num>
  <w:num w:numId="33" w16cid:durableId="717169695">
    <w:abstractNumId w:val="6"/>
  </w:num>
  <w:num w:numId="34" w16cid:durableId="412355496">
    <w:abstractNumId w:val="5"/>
  </w:num>
  <w:num w:numId="35" w16cid:durableId="1659189631">
    <w:abstractNumId w:val="4"/>
  </w:num>
  <w:num w:numId="36" w16cid:durableId="1757676079">
    <w:abstractNumId w:val="8"/>
  </w:num>
  <w:num w:numId="37" w16cid:durableId="456994703">
    <w:abstractNumId w:val="3"/>
  </w:num>
  <w:num w:numId="38" w16cid:durableId="1562407327">
    <w:abstractNumId w:val="2"/>
  </w:num>
  <w:num w:numId="39" w16cid:durableId="406389104">
    <w:abstractNumId w:val="1"/>
  </w:num>
  <w:num w:numId="40" w16cid:durableId="1173453433">
    <w:abstractNumId w:val="0"/>
  </w:num>
  <w:num w:numId="41" w16cid:durableId="218830296">
    <w:abstractNumId w:val="10"/>
  </w:num>
  <w:num w:numId="42" w16cid:durableId="546336127">
    <w:abstractNumId w:val="10"/>
  </w:num>
  <w:num w:numId="43" w16cid:durableId="707028453">
    <w:abstractNumId w:val="10"/>
  </w:num>
  <w:num w:numId="44" w16cid:durableId="1016925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E16"/>
    <w:rsid w:val="00002272"/>
    <w:rsid w:val="00064002"/>
    <w:rsid w:val="000677B9"/>
    <w:rsid w:val="000831BA"/>
    <w:rsid w:val="000A42CC"/>
    <w:rsid w:val="000D4D89"/>
    <w:rsid w:val="000E7DD9"/>
    <w:rsid w:val="0010095E"/>
    <w:rsid w:val="00125B37"/>
    <w:rsid w:val="00187494"/>
    <w:rsid w:val="001A1A86"/>
    <w:rsid w:val="001F32AE"/>
    <w:rsid w:val="002767FF"/>
    <w:rsid w:val="0028133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4ED"/>
    <w:rsid w:val="0050519A"/>
    <w:rsid w:val="005072A1"/>
    <w:rsid w:val="00514517"/>
    <w:rsid w:val="00545827"/>
    <w:rsid w:val="00560270"/>
    <w:rsid w:val="005C2568"/>
    <w:rsid w:val="005F1B17"/>
    <w:rsid w:val="006037C0"/>
    <w:rsid w:val="006331F2"/>
    <w:rsid w:val="006631B6"/>
    <w:rsid w:val="00680577"/>
    <w:rsid w:val="006F74FA"/>
    <w:rsid w:val="00731ADD"/>
    <w:rsid w:val="00734777"/>
    <w:rsid w:val="00747932"/>
    <w:rsid w:val="00751A4A"/>
    <w:rsid w:val="00756632"/>
    <w:rsid w:val="00762C74"/>
    <w:rsid w:val="00786EC0"/>
    <w:rsid w:val="007A0DAB"/>
    <w:rsid w:val="007D1690"/>
    <w:rsid w:val="007E22AD"/>
    <w:rsid w:val="00817416"/>
    <w:rsid w:val="00842779"/>
    <w:rsid w:val="008446E8"/>
    <w:rsid w:val="00865F67"/>
    <w:rsid w:val="00881A7B"/>
    <w:rsid w:val="008840E5"/>
    <w:rsid w:val="00887B3E"/>
    <w:rsid w:val="008C2AC6"/>
    <w:rsid w:val="008C37C0"/>
    <w:rsid w:val="00930C23"/>
    <w:rsid w:val="0093193B"/>
    <w:rsid w:val="009509D8"/>
    <w:rsid w:val="00950B64"/>
    <w:rsid w:val="00981893"/>
    <w:rsid w:val="00A1531F"/>
    <w:rsid w:val="00A1687D"/>
    <w:rsid w:val="00A43E52"/>
    <w:rsid w:val="00A4678D"/>
    <w:rsid w:val="00A778C7"/>
    <w:rsid w:val="00AB441E"/>
    <w:rsid w:val="00AB6293"/>
    <w:rsid w:val="00AE0928"/>
    <w:rsid w:val="00AE639A"/>
    <w:rsid w:val="00AF3B82"/>
    <w:rsid w:val="00B12E95"/>
    <w:rsid w:val="00B22876"/>
    <w:rsid w:val="00B558F0"/>
    <w:rsid w:val="00BD48FE"/>
    <w:rsid w:val="00BD7BD8"/>
    <w:rsid w:val="00BE6ADC"/>
    <w:rsid w:val="00C05BFE"/>
    <w:rsid w:val="00C067AF"/>
    <w:rsid w:val="00C23CD4"/>
    <w:rsid w:val="00C61C0C"/>
    <w:rsid w:val="00C941CB"/>
    <w:rsid w:val="00CC2357"/>
    <w:rsid w:val="00CC37AC"/>
    <w:rsid w:val="00CF071A"/>
    <w:rsid w:val="00CF4E1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8F6"/>
    <w:rsid w:val="00FD0C70"/>
  </w:rsids>
  <w:docVars>
    <w:docVar w:name="dvdocse" w:val="A10-0118/2026"/>
    <w:docVar w:name="dvlangue" w:val="HU"/>
    <w:docVar w:name="dvnumam" w:val="0"/>
    <w:docVar w:name="dvpe" w:val="785.498"/>
    <w:docVar w:name="dvrapporteur" w:val="Előadó: "/>
    <w:docVar w:name="dvtitre" w:val="Az Európai Parlament 2026.  ...-i határozata a Grzegorz Braun mentelmi jogának felfüggesztésére irányuló kérelemről(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B23C1F"/>
  <w15:chartTrackingRefBased/>
  <w15:docId w15:val="{95F97527-B690-4F2B-B737-F4E249F9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B78F6"/>
    <w:pPr>
      <w:spacing w:after="240"/>
      <w:ind w:left="567" w:hanging="567"/>
    </w:pPr>
  </w:style>
  <w:style w:type="paragraph" w:customStyle="1" w:styleId="EPComma">
    <w:name w:val="EPComma"/>
    <w:basedOn w:val="Normal"/>
    <w:rsid w:val="00FB78F6"/>
    <w:pPr>
      <w:spacing w:before="480" w:after="240"/>
    </w:pPr>
  </w:style>
  <w:style w:type="paragraph" w:styleId="Revision">
    <w:name w:val="Revision"/>
    <w:hidden/>
    <w:uiPriority w:val="99"/>
    <w:semiHidden/>
    <w:rsid w:val="001A1A8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686</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2026-04-28T10:50:00Z</dcterms:created>
  <dcterms:modified xsi:type="dcterms:W3CDTF">2026-04-28T10:50:00Z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A10-0118/2026</vt:lpwstr>
  </property>
  <property fmtid="{D5CDD505-2E9C-101B-9397-08002B2CF9AE}" pid="4" name="&lt;Type&gt;">
    <vt:lpwstr>RR</vt:lpwstr>
  </property>
</Properties>
</file>