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1FB299" w14:textId="77777777" w:rsidTr="0010095E">
        <w:tblPrEx>
          <w:tblW w:w="9072" w:type="dxa"/>
          <w:tblLook w:val="01E0"/>
        </w:tblPrEx>
        <w:trPr>
          <w:trHeight w:hRule="exact" w:val="1418"/>
        </w:trPr>
        <w:tc>
          <w:tcPr>
            <w:tcW w:w="6804" w:type="dxa"/>
            <w:shd w:val="clear" w:color="auto" w:fill="auto"/>
            <w:vAlign w:val="center"/>
          </w:tcPr>
          <w:p w:rsidR="00751A4A" w:rsidRPr="00F22573" w:rsidP="0010095E" w14:paraId="3B9742D8" w14:textId="167DA322">
            <w:pPr>
              <w:pStyle w:val="EPName"/>
            </w:pPr>
            <w:r w:rsidRPr="00F22573">
              <w:t>Eiropas Parlaments</w:t>
            </w:r>
          </w:p>
          <w:p w:rsidR="00751A4A" w:rsidRPr="00F22573" w:rsidP="005F1B17" w14:paraId="34EC1BE8" w14:textId="77777777">
            <w:pPr>
              <w:pStyle w:val="EPTerm"/>
              <w:rPr>
                <w:rStyle w:val="HideTWBExt"/>
                <w:noProof w:val="0"/>
                <w:vanish w:val="0"/>
                <w:color w:val="auto"/>
              </w:rPr>
            </w:pPr>
            <w:r w:rsidRPr="00F22573">
              <w:t>2024</w:t>
            </w:r>
            <w:r w:rsidRPr="00F22573" w:rsidR="00817416">
              <w:t>-202</w:t>
            </w:r>
            <w:r w:rsidRPr="00F22573">
              <w:t>9</w:t>
            </w:r>
          </w:p>
        </w:tc>
        <w:tc>
          <w:tcPr>
            <w:tcW w:w="2268" w:type="dxa"/>
            <w:shd w:val="clear" w:color="auto" w:fill="auto"/>
          </w:tcPr>
          <w:p w:rsidR="00751A4A" w:rsidRPr="00F22573" w:rsidP="0010095E" w14:paraId="60F7590A" w14:textId="77777777">
            <w:pPr>
              <w:pStyle w:val="EPLogo"/>
            </w:pPr>
            <w:r w:rsidRPr="00F2257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22573" w:rsidP="004C5D52" w14:paraId="37134284" w14:textId="77777777">
      <w:pPr>
        <w:pStyle w:val="LineTop"/>
      </w:pPr>
    </w:p>
    <w:p w:rsidR="00680577" w:rsidRPr="00F22573" w:rsidP="00680577" w14:paraId="78EB9EDC" w14:textId="77777777">
      <w:pPr>
        <w:pStyle w:val="EPBodyTA1"/>
      </w:pPr>
      <w:r w:rsidRPr="00F22573">
        <w:t>PIEŅEMTIE TEKSTI</w:t>
      </w:r>
    </w:p>
    <w:p w:rsidR="00D058B8" w:rsidRPr="00F22573" w:rsidP="00D058B8" w14:paraId="023A671F" w14:textId="77777777">
      <w:pPr>
        <w:pStyle w:val="LineBottom"/>
      </w:pPr>
    </w:p>
    <w:p w:rsidR="00153F56" w:rsidRPr="00F22573" w:rsidP="00153F56" w14:paraId="1592B3DB" w14:textId="6E10D646">
      <w:pPr>
        <w:pStyle w:val="ATHeading1"/>
      </w:pPr>
      <w:bookmarkStart w:id="0" w:name="TANumber"/>
      <w:r w:rsidRPr="00F22573">
        <w:t>P10_TA(2026)0</w:t>
      </w:r>
      <w:r w:rsidRPr="00F22573" w:rsidR="00F22573">
        <w:t>109</w:t>
      </w:r>
      <w:bookmarkEnd w:id="0"/>
    </w:p>
    <w:p w:rsidR="00153F56" w:rsidRPr="00F22573" w:rsidP="00153F56" w14:paraId="380A96C1" w14:textId="37078023">
      <w:pPr>
        <w:pStyle w:val="ATHeading2"/>
      </w:pPr>
      <w:bookmarkStart w:id="1" w:name="title"/>
      <w:r w:rsidRPr="00F22573">
        <w:t>Piepras</w:t>
      </w:r>
      <w:r w:rsidRPr="00F22573">
        <w:rPr>
          <w:rFonts w:hint="eastAsia"/>
        </w:rPr>
        <w:t>ī</w:t>
      </w:r>
      <w:r w:rsidRPr="00F22573">
        <w:t xml:space="preserve">jums atcelt </w:t>
      </w:r>
      <w:r w:rsidRPr="00F22573">
        <w:rPr>
          <w:i/>
          <w:iCs/>
        </w:rPr>
        <w:t>Grzegorz Braun</w:t>
      </w:r>
      <w:r w:rsidRPr="00F22573">
        <w:t xml:space="preserve"> imunit</w:t>
      </w:r>
      <w:r w:rsidRPr="00F22573">
        <w:rPr>
          <w:rFonts w:hint="eastAsia"/>
        </w:rPr>
        <w:t>ā</w:t>
      </w:r>
      <w:r w:rsidRPr="00F22573">
        <w:t>ti</w:t>
      </w:r>
      <w:bookmarkEnd w:id="1"/>
    </w:p>
    <w:p w:rsidR="00153F56" w:rsidRPr="00F22573" w:rsidP="00153F56" w14:paraId="09462B74" w14:textId="77777777">
      <w:pPr>
        <w:rPr>
          <w:i/>
          <w:vanish/>
        </w:rPr>
      </w:pPr>
      <w:r>
        <w:rPr>
          <w:i/>
        </w:rPr>
        <w:fldChar w:fldCharType="begin"/>
      </w:r>
      <w:r w:rsidRPr="00F22573">
        <w:rPr>
          <w:i/>
        </w:rPr>
        <w:instrText xml:space="preserve"> TC"(</w:instrText>
      </w:r>
      <w:bookmarkStart w:id="2" w:name="DocNumber"/>
      <w:r w:rsidRPr="00F22573">
        <w:rPr>
          <w:i/>
        </w:rPr>
        <w:instrText>A10-0118/2026</w:instrText>
      </w:r>
      <w:bookmarkEnd w:id="2"/>
      <w:r w:rsidRPr="00F22573">
        <w:rPr>
          <w:i/>
        </w:rPr>
        <w:instrText xml:space="preserve"> - Referents: Adrián Vázquez Lázara)"\l3 \n&gt; \* MERGEFORMAT </w:instrText>
      </w:r>
      <w:r>
        <w:rPr>
          <w:i/>
        </w:rPr>
        <w:fldChar w:fldCharType="end"/>
      </w:r>
    </w:p>
    <w:p w:rsidR="00153F56" w:rsidRPr="00F22573" w:rsidP="00153F56" w14:paraId="63FDC39A" w14:textId="77777777">
      <w:pPr>
        <w:rPr>
          <w:vanish/>
        </w:rPr>
      </w:pPr>
      <w:bookmarkStart w:id="3" w:name="Commission"/>
      <w:r w:rsidRPr="00F22573">
        <w:rPr>
          <w:vanish/>
        </w:rPr>
        <w:t>Juridiskā komiteja</w:t>
      </w:r>
      <w:bookmarkEnd w:id="3"/>
    </w:p>
    <w:p w:rsidR="00153F56" w:rsidRPr="00F22573" w:rsidP="00153F56" w14:paraId="1945C935" w14:textId="77777777">
      <w:pPr>
        <w:rPr>
          <w:vanish/>
        </w:rPr>
      </w:pPr>
      <w:bookmarkStart w:id="4" w:name="PE"/>
      <w:r w:rsidRPr="00F22573">
        <w:rPr>
          <w:vanish/>
        </w:rPr>
        <w:t>PE785.498</w:t>
      </w:r>
      <w:bookmarkEnd w:id="4"/>
    </w:p>
    <w:p w:rsidR="00153F56" w:rsidRPr="00F22573" w:rsidP="00153F56" w14:paraId="2544BD10" w14:textId="3F1F1C9E">
      <w:pPr>
        <w:pStyle w:val="ATHeading3"/>
      </w:pPr>
      <w:bookmarkStart w:id="5" w:name="Sujet"/>
      <w:r w:rsidRPr="00F22573">
        <w:t xml:space="preserve">Eiropas Parlamenta 2026. gada </w:t>
      </w:r>
      <w:r w:rsidRPr="00F22573" w:rsidR="00120621">
        <w:t>28. aprīļa</w:t>
      </w:r>
      <w:r w:rsidRPr="00F22573">
        <w:t xml:space="preserve"> lēmums par pieprasījumu atcelt </w:t>
      </w:r>
      <w:r w:rsidRPr="00F22573">
        <w:rPr>
          <w:i/>
          <w:iCs/>
        </w:rPr>
        <w:t>Grzegorz Braun</w:t>
      </w:r>
      <w:r w:rsidRPr="00F22573">
        <w:t xml:space="preserve"> imunitāti</w:t>
      </w:r>
      <w:bookmarkEnd w:id="5"/>
      <w:r w:rsidRPr="00F22573">
        <w:t xml:space="preserve"> </w:t>
      </w:r>
      <w:bookmarkStart w:id="6" w:name="References"/>
      <w:r w:rsidRPr="00F22573">
        <w:t>(2025/2241(IMM))</w:t>
      </w:r>
      <w:bookmarkEnd w:id="6"/>
    </w:p>
    <w:p w:rsidR="00F824DC" w:rsidRPr="00F22573" w:rsidP="00F824DC" w14:paraId="635D26F4" w14:textId="77777777">
      <w:pPr>
        <w:pStyle w:val="EPComma"/>
      </w:pPr>
      <w:bookmarkStart w:id="7" w:name="TextBodyBegin"/>
      <w:bookmarkEnd w:id="7"/>
      <w:r w:rsidRPr="00F22573">
        <w:rPr>
          <w:i/>
          <w:iCs/>
        </w:rPr>
        <w:t>Eiropas Parlaments</w:t>
      </w:r>
      <w:r w:rsidRPr="00F22573">
        <w:t>,</w:t>
      </w:r>
    </w:p>
    <w:p w:rsidR="00F824DC" w:rsidRPr="00F22573" w:rsidP="00F824DC" w14:paraId="07AC4200" w14:textId="142C7B59">
      <w:pPr>
        <w:pStyle w:val="NormalHanging12a"/>
      </w:pPr>
      <w:r w:rsidRPr="00F22573">
        <w:t>–</w:t>
      </w:r>
      <w:r w:rsidRPr="00F22573">
        <w:tab/>
        <w:t>ņemot vērā pieprasījumu atcelt imunitāti, kas saņemts ar Polijas ģenerālprokurora 2025. gada 31. oktobra vēstuli, ar kuru tika nosūtīts Polijas policijas virspavēlnieka iesniegtais pieprasījums saistībā ar krimināl</w:t>
      </w:r>
      <w:r w:rsidRPr="00F22573" w:rsidR="003F6C3D">
        <w:t>procesu</w:t>
      </w:r>
      <w:r w:rsidRPr="00F22573">
        <w:t xml:space="preserve">, kas ir </w:t>
      </w:r>
      <w:r w:rsidRPr="00F22573" w:rsidR="003F6C3D">
        <w:t xml:space="preserve">ierosināts </w:t>
      </w:r>
      <w:r w:rsidRPr="00F22573">
        <w:t xml:space="preserve">pret </w:t>
      </w:r>
      <w:r w:rsidRPr="00F22573" w:rsidR="00F31A2F">
        <w:rPr>
          <w:i/>
          <w:iCs/>
        </w:rPr>
        <w:t>Grzegorz Braun</w:t>
      </w:r>
      <w:r w:rsidRPr="00F22573">
        <w:t>, un par kuru paziņots 2025. gada 13. novembra plenārsēdē,</w:t>
      </w:r>
    </w:p>
    <w:p w:rsidR="00F824DC" w:rsidRPr="00F22573" w:rsidP="00F824DC" w14:paraId="766CA7EE" w14:textId="0984D1C3">
      <w:pPr>
        <w:pStyle w:val="NormalHanging12a"/>
      </w:pPr>
      <w:r w:rsidRPr="00F22573">
        <w:t>–</w:t>
      </w:r>
      <w:r w:rsidRPr="00F22573">
        <w:tab/>
        <w:t xml:space="preserve">ņemot vērā to, ka tiek </w:t>
      </w:r>
      <w:r w:rsidRPr="00F22573" w:rsidR="00F31A2F">
        <w:t>uzskatīts</w:t>
      </w:r>
      <w:r w:rsidRPr="00F22573">
        <w:t xml:space="preserve">, ka </w:t>
      </w:r>
      <w:r w:rsidRPr="00F22573">
        <w:rPr>
          <w:i/>
          <w:iCs/>
        </w:rPr>
        <w:t>Grzegorz Braun</w:t>
      </w:r>
      <w:r w:rsidRPr="00F22573">
        <w:t xml:space="preserve"> ir atteicies no tiesībām tikt uzklausītam saskaņā ar Reglamenta 9. panta 6. punktu,</w:t>
      </w:r>
    </w:p>
    <w:p w:rsidR="00F824DC" w:rsidRPr="00F22573" w:rsidP="00F824DC" w14:paraId="41733C90" w14:textId="77777777">
      <w:pPr>
        <w:pStyle w:val="NormalHanging12a"/>
      </w:pPr>
      <w:r w:rsidRPr="00F22573">
        <w:t>–</w:t>
      </w:r>
      <w:r w:rsidRPr="00F22573">
        <w:tab/>
        <w:t>ņemot vērā Protokola Nr. 7 par privilēģijām un imunitāti Eiropas Savienībā 8. un 9. pantu, kā arī 1976. gada 20. septembra Akta par Eiropas Parlamenta deputātu ievēlēšanu tiešās vispārējās vēlēšanās 6. panta 2. punktu,</w:t>
      </w:r>
    </w:p>
    <w:p w:rsidR="00F824DC" w:rsidRPr="00F22573" w:rsidP="00F824DC" w14:paraId="7CE737C0" w14:textId="5572DE3D">
      <w:pPr>
        <w:pStyle w:val="NormalHanging12a"/>
      </w:pPr>
      <w:r w:rsidRPr="00F22573">
        <w:t>–</w:t>
      </w:r>
      <w:r w:rsidRPr="00F22573">
        <w:tab/>
        <w:t>ņemot vērā Eiropas Savienības Tiesas 2008. gada 21. oktobra, 2010. gada 19. marta, 2011. gada 6. septembra, 2013. gada 17. janvāra un 2019. gada 19. decembra spriedumu</w:t>
      </w:r>
      <w:r w:rsidRPr="00F22573" w:rsidR="00F31A2F">
        <w:t>s</w:t>
      </w:r>
      <w:r>
        <w:rPr>
          <w:rStyle w:val="FootnoteReference"/>
          <w:color w:val="000000"/>
        </w:rPr>
        <w:footnoteReference w:id="2"/>
      </w:r>
      <w:r w:rsidRPr="00F22573">
        <w:t>,</w:t>
      </w:r>
    </w:p>
    <w:p w:rsidR="00F824DC" w:rsidRPr="00F22573" w:rsidP="00F824DC" w14:paraId="4D52BFFA" w14:textId="77777777">
      <w:pPr>
        <w:pStyle w:val="NormalHanging12a"/>
      </w:pPr>
      <w:r w:rsidRPr="00F22573">
        <w:t>–</w:t>
      </w:r>
      <w:r w:rsidRPr="00F22573">
        <w:tab/>
        <w:t>ņemot vērā Polijas Republikas Konstitūcijas 105. panta 2. punktu un 5. punktu,</w:t>
      </w:r>
    </w:p>
    <w:p w:rsidR="00F824DC" w:rsidRPr="00F22573" w:rsidP="00F824DC" w14:paraId="7A9BC424" w14:textId="77777777">
      <w:pPr>
        <w:pStyle w:val="NormalHanging12a"/>
      </w:pPr>
      <w:r w:rsidRPr="00F22573">
        <w:t>–</w:t>
      </w:r>
      <w:r w:rsidRPr="00F22573">
        <w:tab/>
        <w:t>ņemot vērā Reglamenta 5. panta 2. punktu, 6. panta 1. punktu un 9. pantu,</w:t>
      </w:r>
    </w:p>
    <w:p w:rsidR="00F824DC" w:rsidRPr="00F22573" w:rsidP="00F824DC" w14:paraId="44C08F9D" w14:textId="77777777">
      <w:pPr>
        <w:pStyle w:val="NormalHanging12a"/>
      </w:pPr>
      <w:r w:rsidRPr="00F22573">
        <w:t>–</w:t>
      </w:r>
      <w:r w:rsidRPr="00F22573">
        <w:tab/>
        <w:t>ņemot vērā Juridiskās komitejas ziņojumu (A10</w:t>
      </w:r>
      <w:r w:rsidRPr="00F22573">
        <w:noBreakHyphen/>
        <w:t>0118/2026),</w:t>
      </w:r>
    </w:p>
    <w:p w:rsidR="00F824DC" w:rsidRPr="00F22573" w:rsidP="00F824DC" w14:paraId="2A5261AA" w14:textId="76E0E0EE">
      <w:pPr>
        <w:pStyle w:val="NormalHanging12a"/>
      </w:pPr>
      <w:r w:rsidRPr="00F22573">
        <w:t>A.</w:t>
      </w:r>
      <w:r w:rsidRPr="00F22573">
        <w:tab/>
        <w:t xml:space="preserve">tā kā ar 2025. gada 31. oktobra vēstuli Polijas </w:t>
      </w:r>
      <w:r w:rsidRPr="00F22573" w:rsidR="00120621">
        <w:t xml:space="preserve">Republikas </w:t>
      </w:r>
      <w:r w:rsidRPr="00F22573">
        <w:t xml:space="preserve">ģenerālprokurors ir nosūtījis Polijas policijas virspavēlnieka pieprasījumu atcelt Polijā ievēlētā Eiropas Parlamenta deputāta </w:t>
      </w:r>
      <w:r w:rsidRPr="00F22573">
        <w:rPr>
          <w:i/>
          <w:iCs/>
        </w:rPr>
        <w:t>Grzegorz Braun</w:t>
      </w:r>
      <w:r w:rsidRPr="00F22573">
        <w:t xml:space="preserve"> imunitāti saistībā ar vairākiem iespējamiem nodarījumiem, kas notikuši 2025. gadā;</w:t>
      </w:r>
    </w:p>
    <w:p w:rsidR="00F824DC" w:rsidRPr="00F22573" w:rsidP="00F824DC" w14:paraId="35797240" w14:textId="0213F55D">
      <w:pPr>
        <w:pStyle w:val="NormalHanging12a"/>
      </w:pPr>
      <w:r w:rsidRPr="00F22573">
        <w:rPr>
          <w:shd w:val="clear" w:color="auto" w:fill="FFFFFF"/>
        </w:rPr>
        <w:t>B.</w:t>
      </w:r>
      <w:r w:rsidRPr="00F22573">
        <w:rPr>
          <w:shd w:val="clear" w:color="auto" w:fill="FFFFFF"/>
        </w:rPr>
        <w:tab/>
      </w:r>
      <w:r w:rsidRPr="00F22573">
        <w:t xml:space="preserve">tā kā saskaņā ar pieprasījumu ir radušās aizdomas, ka 2025. gada 10. jūlijā ebreju iedzīvotāju slaktiņa 84. gadadienas piemiņas pasākumu laikā </w:t>
      </w:r>
      <w:r w:rsidRPr="00F22573">
        <w:rPr>
          <w:i/>
          <w:iCs/>
        </w:rPr>
        <w:t>Grzegorz Braun</w:t>
      </w:r>
      <w:r w:rsidRPr="00F22573">
        <w:t xml:space="preserve"> kopā ar cilvēku grupu, stāvot koplietošanas ceļa vidū </w:t>
      </w:r>
      <w:r w:rsidRPr="00F22573">
        <w:rPr>
          <w:i/>
          <w:iCs/>
        </w:rPr>
        <w:t>Jedwabne</w:t>
      </w:r>
      <w:r w:rsidRPr="00F22573">
        <w:t xml:space="preserve">, kavējis satiksmi uz </w:t>
      </w:r>
      <w:r w:rsidRPr="00F22573" w:rsidR="00F31A2F">
        <w:t xml:space="preserve">minētā </w:t>
      </w:r>
      <w:r w:rsidRPr="00F22573">
        <w:t xml:space="preserve">ceļa; tā kā darbības, par kurām pastāv aizdomas, saskaņā ar 1971. gada 20. maija aktu - </w:t>
      </w:r>
      <w:r w:rsidRPr="00F22573" w:rsidR="00F31A2F">
        <w:t>Kriminālparkāpumu</w:t>
      </w:r>
      <w:r w:rsidRPr="00F22573" w:rsidR="00F31A2F">
        <w:t xml:space="preserve"> </w:t>
      </w:r>
      <w:r w:rsidRPr="00F22573">
        <w:t>kodeksa 90. panta 1. punktu ir kvalificējamas kā noziedzīgs nodarījums;</w:t>
      </w:r>
    </w:p>
    <w:p w:rsidR="00F824DC" w:rsidRPr="00F22573" w:rsidP="00F824DC" w14:paraId="0F20E3A2" w14:textId="52B8A083">
      <w:pPr>
        <w:pStyle w:val="NormalHanging12a"/>
        <w:rPr>
          <w:szCs w:val="24"/>
          <w:shd w:val="clear" w:color="auto" w:fill="FFFFFF"/>
        </w:rPr>
      </w:pPr>
      <w:r w:rsidRPr="00F22573">
        <w:rPr>
          <w:shd w:val="clear" w:color="auto" w:fill="FFFFFF"/>
        </w:rPr>
        <w:t>C.</w:t>
      </w:r>
      <w:r w:rsidRPr="00F22573">
        <w:rPr>
          <w:shd w:val="clear" w:color="auto" w:fill="FFFFFF"/>
        </w:rPr>
        <w:tab/>
        <w:t>tā kā</w:t>
      </w:r>
      <w:r w:rsidRPr="00F22573">
        <w:t xml:space="preserve"> saskaņā ar pieprasījumu</w:t>
      </w:r>
      <w:r w:rsidRPr="00F22573">
        <w:rPr>
          <w:shd w:val="clear" w:color="auto" w:fill="FFFFFF"/>
        </w:rPr>
        <w:t xml:space="preserve"> </w:t>
      </w:r>
      <w:r w:rsidRPr="00F22573">
        <w:t xml:space="preserve"> pastāv aizdomas, ka 2025. gada 10. jūlijā </w:t>
      </w:r>
      <w:r w:rsidRPr="00F22573">
        <w:rPr>
          <w:i/>
          <w:iCs/>
        </w:rPr>
        <w:t>Jedwabne</w:t>
      </w:r>
      <w:r w:rsidRPr="00F22573">
        <w:t xml:space="preserve">, netālu no ieejas Ebreju kapsētā, ebreju iedzīvotāju slaktiņa 84. gadadienas atceres laikā, stāvot kopā ar cilvēku grupu koplietošanas ceļa vidū, </w:t>
      </w:r>
      <w:r w:rsidRPr="00F22573">
        <w:rPr>
          <w:i/>
          <w:iCs/>
        </w:rPr>
        <w:t>Grzegorz Braun</w:t>
      </w:r>
      <w:r w:rsidRPr="00F22573">
        <w:t xml:space="preserve">, nav izpildījis policijas darbinieka rīkojumus, aicinot viņu ievērot tiesību aktus un atļaut transportlīdzekļiem braukt, tādējādi apzināti un būtiski kavējot oficiālo pienākumu izpildi; tā kā darbības, par kurām pastāv aizdomas, saskaņā ar 1971. gada 20. maija aktu - </w:t>
      </w:r>
      <w:r w:rsidRPr="00F22573" w:rsidR="00F31A2F">
        <w:t>Kriminālparkāpumu</w:t>
      </w:r>
      <w:r w:rsidRPr="00F22573" w:rsidR="00F31A2F">
        <w:t xml:space="preserve"> </w:t>
      </w:r>
      <w:r w:rsidRPr="00F22573">
        <w:t>kodeksa 65.a pantu ir kvalificējamas kā noziedzīgs nodarījums</w:t>
      </w:r>
      <w:r w:rsidRPr="00F22573">
        <w:rPr>
          <w:shd w:val="clear" w:color="auto" w:fill="FFFFFF"/>
        </w:rPr>
        <w:t>;</w:t>
      </w:r>
    </w:p>
    <w:p w:rsidR="00F824DC" w:rsidRPr="00F22573" w:rsidP="00F824DC" w14:paraId="7BC98448" w14:textId="040537D5">
      <w:pPr>
        <w:pStyle w:val="NormalHanging12a"/>
        <w:rPr>
          <w:szCs w:val="24"/>
          <w:shd w:val="clear" w:color="auto" w:fill="FFFFFF"/>
        </w:rPr>
      </w:pPr>
      <w:r w:rsidRPr="00F22573">
        <w:t>D.</w:t>
      </w:r>
      <w:r w:rsidRPr="00F22573">
        <w:tab/>
      </w:r>
      <w:r w:rsidRPr="00F22573">
        <w:rPr>
          <w:shd w:val="clear" w:color="auto" w:fill="FFFFFF"/>
        </w:rPr>
        <w:t xml:space="preserve">tā kā </w:t>
      </w:r>
      <w:r w:rsidRPr="00F22573">
        <w:rPr>
          <w:i/>
          <w:iCs/>
        </w:rPr>
        <w:t>Grzegorz Braun</w:t>
      </w:r>
      <w:r w:rsidRPr="00F22573">
        <w:rPr>
          <w:shd w:val="clear" w:color="auto" w:fill="FFFFFF"/>
        </w:rPr>
        <w:t xml:space="preserve"> Eiropas vēlēšanās </w:t>
      </w:r>
      <w:r w:rsidRPr="00F22573" w:rsidR="00F31A2F">
        <w:rPr>
          <w:shd w:val="clear" w:color="auto" w:fill="FFFFFF"/>
        </w:rPr>
        <w:t xml:space="preserve">2024. gada jūnijā </w:t>
      </w:r>
      <w:r w:rsidRPr="00F22573">
        <w:rPr>
          <w:shd w:val="clear" w:color="auto" w:fill="FFFFFF"/>
        </w:rPr>
        <w:t xml:space="preserve">tika ievēlēts Eiropas Parlamentā un </w:t>
      </w:r>
      <w:r w:rsidRPr="00F22573" w:rsidR="00F31A2F">
        <w:rPr>
          <w:shd w:val="clear" w:color="auto" w:fill="FFFFFF"/>
        </w:rPr>
        <w:t xml:space="preserve">tāpēc </w:t>
      </w:r>
      <w:r w:rsidRPr="00F22573" w:rsidR="003F6C3D">
        <w:rPr>
          <w:shd w:val="clear" w:color="auto" w:fill="FFFFFF"/>
        </w:rPr>
        <w:t>noziedzīgo nodarījumu</w:t>
      </w:r>
      <w:r w:rsidRPr="00F22573">
        <w:rPr>
          <w:shd w:val="clear" w:color="auto" w:fill="FFFFFF"/>
        </w:rPr>
        <w:t xml:space="preserve">, par </w:t>
      </w:r>
      <w:r w:rsidRPr="00F22573" w:rsidR="003F6C3D">
        <w:rPr>
          <w:shd w:val="clear" w:color="auto" w:fill="FFFFFF"/>
        </w:rPr>
        <w:t xml:space="preserve">kuriem </w:t>
      </w:r>
      <w:r w:rsidRPr="00F22573">
        <w:rPr>
          <w:shd w:val="clear" w:color="auto" w:fill="FFFFFF"/>
        </w:rPr>
        <w:t>pastāv aizdomas, izdarīšanas laikā bija Eiropas Parlamenta deputāts;</w:t>
      </w:r>
    </w:p>
    <w:p w:rsidR="00F824DC" w:rsidRPr="00F22573" w:rsidP="00F824DC" w14:paraId="7CE4B477" w14:textId="573BAB3D">
      <w:pPr>
        <w:pStyle w:val="NormalHanging12a"/>
      </w:pPr>
      <w:r w:rsidRPr="00F22573">
        <w:t>E.</w:t>
      </w:r>
      <w:r w:rsidRPr="00F22573">
        <w:tab/>
        <w:t xml:space="preserve">tā kā iespējamie noziedzīgie nodarījumi un no tiem izrietošais pieprasījums atcelt </w:t>
      </w:r>
      <w:r w:rsidRPr="00F22573">
        <w:rPr>
          <w:i/>
          <w:iCs/>
        </w:rPr>
        <w:t>Grzegorz Braun</w:t>
      </w:r>
      <w:r w:rsidRPr="00F22573">
        <w:t xml:space="preserve"> imunitāti nav saistīti ar viņa pausto viedokli vai veikto balsojumu, pildot </w:t>
      </w:r>
      <w:r w:rsidRPr="00F22573" w:rsidR="00F31A2F">
        <w:t xml:space="preserve">viņa </w:t>
      </w:r>
      <w:r w:rsidRPr="00F22573">
        <w:t>pienākumus Protokola Nr. 7 par privilēģijām un imunitāti Eiropas Savienībā 8. panta nozīmē;</w:t>
      </w:r>
    </w:p>
    <w:p w:rsidR="00F824DC" w:rsidRPr="00F22573" w:rsidP="00F824DC" w14:paraId="6CEC323D" w14:textId="6D031787">
      <w:pPr>
        <w:pStyle w:val="NormalHanging12a"/>
      </w:pPr>
      <w:r w:rsidRPr="00F22573">
        <w:t>F.</w:t>
      </w:r>
      <w:r w:rsidRPr="00F22573">
        <w:tab/>
        <w:t>tā kā Protokola Nr. 7 par privilēģijām un imunitāti Eiropas Savienībā 9. panta pirmās daļas a) </w:t>
      </w:r>
      <w:r w:rsidRPr="00F22573" w:rsidR="00F31A2F">
        <w:t xml:space="preserve">punktā noteikts, ka </w:t>
      </w:r>
      <w:r w:rsidRPr="00F22573">
        <w:t xml:space="preserve">Eiropas Parlamenta locekļi savā valstī </w:t>
      </w:r>
      <w:r w:rsidRPr="00F22573" w:rsidR="00F31A2F">
        <w:t xml:space="preserve">bauda </w:t>
      </w:r>
      <w:r w:rsidRPr="00F22573">
        <w:t>imunitāt</w:t>
      </w:r>
      <w:r w:rsidRPr="00F22573" w:rsidR="00F31A2F">
        <w:t>i</w:t>
      </w:r>
      <w:r w:rsidRPr="00F22573">
        <w:t xml:space="preserve">, </w:t>
      </w:r>
      <w:r w:rsidRPr="00F22573" w:rsidR="00F31A2F">
        <w:t xml:space="preserve">kāda ir </w:t>
      </w:r>
      <w:r w:rsidRPr="00F22573">
        <w:t>piešķir</w:t>
      </w:r>
      <w:r w:rsidRPr="00F22573" w:rsidR="00F31A2F">
        <w:t>ta</w:t>
      </w:r>
      <w:r w:rsidRPr="00F22573">
        <w:t xml:space="preserve"> </w:t>
      </w:r>
      <w:r w:rsidRPr="00F22573" w:rsidR="00F31A2F">
        <w:t xml:space="preserve">viņu </w:t>
      </w:r>
      <w:r w:rsidRPr="00F22573" w:rsidR="00120621">
        <w:t>dalīb</w:t>
      </w:r>
      <w:r w:rsidRPr="00F22573">
        <w:t>valsts parlamenta locekļiem;</w:t>
      </w:r>
    </w:p>
    <w:p w:rsidR="00F824DC" w:rsidRPr="00F22573" w:rsidP="00F824DC" w14:paraId="3C50357D" w14:textId="213DBCA7">
      <w:pPr>
        <w:pStyle w:val="NormalHanging12a"/>
      </w:pPr>
      <w:r w:rsidRPr="00F22573">
        <w:t>G.</w:t>
      </w:r>
      <w:r w:rsidRPr="00F22573">
        <w:tab/>
        <w:t xml:space="preserve">tā kā saskaņā ar Polijas </w:t>
      </w:r>
      <w:r w:rsidRPr="00F22573" w:rsidR="00120621">
        <w:t xml:space="preserve">Republikas </w:t>
      </w:r>
      <w:r w:rsidRPr="00F22573">
        <w:t>Konstitūcijas 105. panta 2. punktu un 5. punktu, sākot no vēlēšanu rezultātu pasludināšanas dienas un līdz attiecīgā deputāta</w:t>
      </w:r>
      <w:r w:rsidRPr="00F22573" w:rsidR="00F31A2F">
        <w:t xml:space="preserve"> </w:t>
      </w:r>
      <w:r w:rsidRPr="00F22573">
        <w:t xml:space="preserve">mandāta termiņa beigām, viņu bez Polijas Republikas </w:t>
      </w:r>
      <w:r w:rsidRPr="00F22573">
        <w:t>Sejma</w:t>
      </w:r>
      <w:r w:rsidRPr="00F22573">
        <w:t xml:space="preserve"> piekrišanas nedrīkst saukt pie kriminālatbildības un bez minētās piekrišanas nedrīkst aizturēt vai apcietināt, izņemot gadījumus, kuros viņš tiek pieķerts noziedzīga nodarījuma izdarīšanas brīdī un kuros viņa aizturēšana ir nepieciešama, lai nodrošinātu procesuālo darbību pienācīgu veikšanu;</w:t>
      </w:r>
    </w:p>
    <w:p w:rsidR="00F824DC" w:rsidRPr="00F22573" w:rsidP="00F824DC" w14:paraId="6C20C277" w14:textId="516A9983">
      <w:pPr>
        <w:pStyle w:val="NormalHanging12a"/>
      </w:pPr>
      <w:r w:rsidRPr="00F22573">
        <w:t>H.</w:t>
      </w:r>
      <w:r w:rsidRPr="00F22573">
        <w:tab/>
        <w:t xml:space="preserve">tā kā Protokola Nr. 7 par imunitāti un privilēģijām Eiropas Savienībā </w:t>
      </w:r>
      <w:r w:rsidRPr="00F22573" w:rsidR="001F0FE3">
        <w:t xml:space="preserve">noteiktās </w:t>
      </w:r>
      <w:r w:rsidRPr="00F22573">
        <w:t xml:space="preserve">imunitātes mērķis ir aizsargāt Parlamentu un tā deputātus pret </w:t>
      </w:r>
      <w:r w:rsidRPr="00F22573" w:rsidR="00F31A2F">
        <w:t xml:space="preserve">tiesvedībām saistībā ar </w:t>
      </w:r>
      <w:r w:rsidRPr="00F22573">
        <w:t xml:space="preserve">darbībām, kas veiktas, pildot parlamentāros pienākumus, un kuras nevar skatīt atrauti no </w:t>
      </w:r>
      <w:r w:rsidRPr="00F22573" w:rsidR="00F31A2F">
        <w:t>minētajiem</w:t>
      </w:r>
      <w:r w:rsidRPr="00F22573">
        <w:t xml:space="preserve"> pienākumiem;</w:t>
      </w:r>
    </w:p>
    <w:p w:rsidR="00F824DC" w:rsidRPr="00F22573" w:rsidP="00F824DC" w14:paraId="3FD14910" w14:textId="01900D83">
      <w:pPr>
        <w:pStyle w:val="NormalHanging12a"/>
      </w:pPr>
      <w:r w:rsidRPr="00F22573">
        <w:t>I.</w:t>
      </w:r>
      <w:r w:rsidRPr="00F22573">
        <w:tab/>
        <w:t>tā kā saskaņā ar Reglamenta 5. panta 2. punktu deputāta imunitāte nav deputāta personiska privilēģija, bet gan visa Parlamenta un tā deputātu neatkarības garantija;</w:t>
      </w:r>
    </w:p>
    <w:p w:rsidR="00F824DC" w:rsidRPr="00F22573" w:rsidP="00F824DC" w14:paraId="5AECD223" w14:textId="1CDD5158">
      <w:pPr>
        <w:pStyle w:val="NormalHanging12a"/>
      </w:pPr>
      <w:r w:rsidRPr="00F22573">
        <w:t>J.</w:t>
      </w:r>
      <w:r w:rsidRPr="00F22573">
        <w:tab/>
        <w:t xml:space="preserve">tā kā šajā lietā Parlamentam nav pierādījumu par </w:t>
      </w:r>
      <w:r w:rsidRPr="00F22573">
        <w:rPr>
          <w:i/>
          <w:iCs/>
        </w:rPr>
        <w:t>fumus</w:t>
      </w:r>
      <w:r w:rsidRPr="00F22573">
        <w:rPr>
          <w:i/>
          <w:iCs/>
        </w:rPr>
        <w:t xml:space="preserve"> </w:t>
      </w:r>
      <w:r w:rsidRPr="00F22573">
        <w:rPr>
          <w:i/>
          <w:iCs/>
        </w:rPr>
        <w:t>persecutionis</w:t>
      </w:r>
      <w:r w:rsidRPr="00F22573">
        <w:t xml:space="preserve">, proti, </w:t>
      </w:r>
      <w:r w:rsidRPr="00F22573" w:rsidR="00F31A2F">
        <w:t xml:space="preserve">nešķiet, ka </w:t>
      </w:r>
      <w:r w:rsidRPr="00F22573">
        <w:t>attiecīgā</w:t>
      </w:r>
      <w:r w:rsidRPr="00F22573" w:rsidR="00F31A2F">
        <w:t>s</w:t>
      </w:r>
      <w:r w:rsidRPr="00F22573">
        <w:t xml:space="preserve"> krimināllieta</w:t>
      </w:r>
      <w:r w:rsidRPr="00F22573" w:rsidR="00F31A2F">
        <w:t xml:space="preserve">s pamatā esošais nolūks būtu </w:t>
      </w:r>
      <w:r w:rsidRPr="00F22573">
        <w:t xml:space="preserve">kaitēt </w:t>
      </w:r>
      <w:bookmarkStart w:id="8" w:name="_Hlk223449412"/>
      <w:r w:rsidRPr="00F22573">
        <w:rPr>
          <w:i/>
          <w:iCs/>
        </w:rPr>
        <w:t>Grzegorz Braun</w:t>
      </w:r>
      <w:bookmarkEnd w:id="8"/>
      <w:r w:rsidRPr="00F22573">
        <w:t xml:space="preserve"> kā Eiropas Parlamenta deputāta politiskajai darbībai</w:t>
      </w:r>
      <w:r w:rsidRPr="00F22573" w:rsidR="00F31A2F">
        <w:t xml:space="preserve"> un līdz ar to Parlamenta neatkarībai</w:t>
      </w:r>
      <w:r w:rsidRPr="00F22573">
        <w:t>;</w:t>
      </w:r>
      <w:r w:rsidRPr="00F22573" w:rsidR="00120621">
        <w:t xml:space="preserve"> </w:t>
      </w:r>
    </w:p>
    <w:p w:rsidR="00F824DC" w:rsidRPr="00F22573" w:rsidP="00F824DC" w14:paraId="4A467510" w14:textId="77777777">
      <w:pPr>
        <w:pStyle w:val="NormalHanging12a"/>
      </w:pPr>
      <w:r w:rsidRPr="00F22573">
        <w:t>K.</w:t>
      </w:r>
      <w:r w:rsidRPr="00F22573">
        <w:tab/>
        <w:t>tā kā, no vienas puses, Parlaments nevar tikt pielīdzināts tiesai un, no otras puses, deputāts imunitātes atcelšanas procedūras kontekstā nevar tikt uzskatīts par apsūdzēto</w:t>
      </w:r>
      <w:r>
        <w:rPr>
          <w:vertAlign w:val="superscript"/>
        </w:rPr>
        <w:footnoteReference w:id="3"/>
      </w:r>
      <w:r w:rsidRPr="00F22573">
        <w:t>;</w:t>
      </w:r>
    </w:p>
    <w:p w:rsidR="00F824DC" w:rsidRPr="00F22573" w:rsidP="00F824DC" w14:paraId="0C05B351" w14:textId="77777777">
      <w:pPr>
        <w:pStyle w:val="NormalHanging12a"/>
      </w:pPr>
      <w:r w:rsidRPr="00F22573">
        <w:t>1.</w:t>
      </w:r>
      <w:r w:rsidRPr="00F22573">
        <w:tab/>
        <w:t xml:space="preserve">nolemj atcelt </w:t>
      </w:r>
      <w:r w:rsidRPr="00F22573">
        <w:rPr>
          <w:i/>
          <w:iCs/>
        </w:rPr>
        <w:t>Grzegorz Braun</w:t>
      </w:r>
      <w:r w:rsidRPr="00F22573">
        <w:t xml:space="preserve"> imunitāti;</w:t>
      </w:r>
    </w:p>
    <w:p w:rsidR="00502024" w:rsidRPr="00F22573" w:rsidP="00502024" w14:paraId="51BCEF5C" w14:textId="2BD18F23">
      <w:pPr>
        <w:pStyle w:val="NormalHanging12a"/>
      </w:pPr>
      <w:r w:rsidRPr="00F22573">
        <w:t>2.</w:t>
      </w:r>
      <w:r w:rsidRPr="00F22573">
        <w:tab/>
        <w:t xml:space="preserve">uzdod priekšsēdētājai šo lēmumu un atbildīgās komitejas ziņojumu nekavējoties nosūtīt Polijas Republikas kompetentajai iestādei un </w:t>
      </w:r>
      <w:r w:rsidRPr="00F22573">
        <w:rPr>
          <w:i/>
          <w:iCs/>
        </w:rPr>
        <w:t>Grzegorz Braun</w:t>
      </w:r>
      <w:r w:rsidRPr="00F22573">
        <w:t>.</w:t>
      </w:r>
    </w:p>
    <w:p w:rsidR="00E365E1" w:rsidRPr="00F22573" w:rsidP="00153F56" w14:paraId="31287891" w14:textId="6B26539A"/>
    <w:sectPr w:rsidSect="0050202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0EEFD70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28E2E23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26AFA02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53F56" w:rsidRPr="00502024" w14:paraId="62D56C42" w14:textId="77777777">
      <w:r w:rsidRPr="00502024">
        <w:separator/>
      </w:r>
    </w:p>
  </w:footnote>
  <w:footnote w:type="continuationSeparator" w:id="1">
    <w:p w:rsidR="00153F56" w:rsidRPr="00502024" w14:paraId="10B399A3" w14:textId="77777777">
      <w:r w:rsidRPr="00502024">
        <w:continuationSeparator/>
      </w:r>
    </w:p>
  </w:footnote>
  <w:footnote w:id="2">
    <w:p w:rsidR="00F824DC" w:rsidRPr="00502024" w:rsidP="00502024" w14:paraId="6361B2C5" w14:textId="6E06EE79">
      <w:pPr>
        <w:pStyle w:val="FootnoteText"/>
        <w:ind w:left="567" w:hanging="567"/>
        <w:rPr>
          <w:sz w:val="24"/>
          <w:vertAlign w:val="superscript"/>
          <w:lang w:val="lv-LV"/>
        </w:rPr>
      </w:pPr>
      <w:r w:rsidRPr="00502024">
        <w:rPr>
          <w:rStyle w:val="FootnoteReference"/>
          <w:sz w:val="24"/>
          <w:lang w:val="lv-LV"/>
        </w:rPr>
        <w:footnoteRef/>
      </w:r>
      <w:r w:rsidRPr="00502024" w:rsidR="00502024">
        <w:rPr>
          <w:sz w:val="24"/>
          <w:lang w:val="lv-LV"/>
        </w:rPr>
        <w:t xml:space="preserve"> </w:t>
      </w:r>
      <w:r w:rsidRPr="00502024" w:rsidR="00502024">
        <w:rPr>
          <w:sz w:val="24"/>
          <w:lang w:val="lv-LV"/>
        </w:rPr>
        <w:tab/>
      </w:r>
      <w:r w:rsidRPr="00502024">
        <w:rPr>
          <w:sz w:val="24"/>
          <w:lang w:val="lv-LV"/>
        </w:rPr>
        <w:t xml:space="preserve">Tiesas 2008. gada 21. oktobra spriedums, </w:t>
      </w:r>
      <w:r w:rsidRPr="00502024">
        <w:rPr>
          <w:i/>
          <w:iCs/>
          <w:sz w:val="24"/>
          <w:lang w:val="lv-LV"/>
        </w:rPr>
        <w:t>Marra/De Gregorio un</w:t>
      </w:r>
      <w:r w:rsidRPr="00502024">
        <w:rPr>
          <w:sz w:val="24"/>
          <w:lang w:val="lv-LV"/>
        </w:rPr>
        <w:t xml:space="preserve"> </w:t>
      </w:r>
      <w:r w:rsidRPr="00502024">
        <w:rPr>
          <w:i/>
          <w:iCs/>
          <w:sz w:val="24"/>
          <w:lang w:val="lv-LV"/>
        </w:rPr>
        <w:t>Clemente</w:t>
      </w:r>
      <w:r w:rsidRPr="00502024">
        <w:rPr>
          <w:sz w:val="24"/>
          <w:lang w:val="lv-LV"/>
        </w:rPr>
        <w:t xml:space="preserve">, C-200/07 un C-201/07, ECLI:EU:C:2008:579; Tiesas 2010. gada 19. marta spriedums, </w:t>
      </w:r>
      <w:r w:rsidRPr="00502024">
        <w:rPr>
          <w:i/>
          <w:iCs/>
          <w:sz w:val="24"/>
          <w:lang w:val="lv-LV"/>
        </w:rPr>
        <w:t>Gollnisch/Parlaments</w:t>
      </w:r>
      <w:r w:rsidRPr="00502024">
        <w:rPr>
          <w:sz w:val="24"/>
          <w:lang w:val="lv-LV"/>
        </w:rPr>
        <w:t xml:space="preserve">, T-42/06, ECLI:EU:T:2010:102; Tiesas 2011. gada 6. septembra spriedums, </w:t>
      </w:r>
      <w:r w:rsidRPr="00502024">
        <w:rPr>
          <w:i/>
          <w:iCs/>
          <w:sz w:val="24"/>
          <w:lang w:val="lv-LV"/>
        </w:rPr>
        <w:t>Patriciello</w:t>
      </w:r>
      <w:r w:rsidRPr="00502024">
        <w:rPr>
          <w:sz w:val="24"/>
          <w:lang w:val="lv-LV"/>
        </w:rPr>
        <w:t xml:space="preserve">, C-163/10, ECLI: EU:C:2011:543; Vispārējās tiesas 2013. gada 17. janvāra spriedums, </w:t>
      </w:r>
      <w:r w:rsidRPr="00502024">
        <w:rPr>
          <w:i/>
          <w:iCs/>
          <w:sz w:val="24"/>
          <w:lang w:val="lv-LV"/>
        </w:rPr>
        <w:t>Gollnisch/Parlaments</w:t>
      </w:r>
      <w:r w:rsidRPr="00502024">
        <w:rPr>
          <w:sz w:val="24"/>
          <w:lang w:val="lv-LV"/>
        </w:rPr>
        <w:t xml:space="preserve">, T-346/11 un T-347/11, ECLI:EU:T:2013:23; Tiesas 2019. gada 19. decembra spriedums, </w:t>
      </w:r>
      <w:r w:rsidRPr="00502024">
        <w:rPr>
          <w:i/>
          <w:iCs/>
          <w:sz w:val="24"/>
          <w:lang w:val="lv-LV"/>
        </w:rPr>
        <w:t>Junqueras Vies</w:t>
      </w:r>
      <w:r w:rsidRPr="00502024">
        <w:rPr>
          <w:sz w:val="24"/>
          <w:lang w:val="lv-LV"/>
        </w:rPr>
        <w:t>, C-502/19, ECLI:EU:C:2019:1115.</w:t>
      </w:r>
    </w:p>
    <w:p w:rsidR="00F824DC" w:rsidRPr="00502024" w:rsidP="00502024" w14:paraId="3614085B" w14:textId="1AF77B3D">
      <w:pPr>
        <w:pStyle w:val="FootnoteText"/>
        <w:ind w:left="567" w:hanging="567"/>
        <w:rPr>
          <w:sz w:val="24"/>
          <w:lang w:val="lv-LV"/>
        </w:rPr>
      </w:pPr>
      <w:r w:rsidRPr="00502024">
        <w:rPr>
          <w:sz w:val="24"/>
          <w:lang w:val="lv-LV"/>
        </w:rPr>
        <w:t xml:space="preserve"> </w:t>
      </w:r>
      <w:r w:rsidRPr="00502024">
        <w:rPr>
          <w:sz w:val="24"/>
          <w:lang w:val="lv-LV"/>
        </w:rPr>
        <w:tab/>
      </w:r>
    </w:p>
  </w:footnote>
  <w:footnote w:id="3">
    <w:p w:rsidR="00F824DC" w:rsidRPr="00502024" w:rsidP="00502024" w14:paraId="39916E44" w14:textId="5AFF8023">
      <w:pPr>
        <w:pStyle w:val="FootnoteText"/>
        <w:ind w:left="567" w:hanging="567"/>
        <w:rPr>
          <w:sz w:val="24"/>
          <w:lang w:val="lv-LV"/>
        </w:rPr>
      </w:pPr>
      <w:r w:rsidRPr="00502024">
        <w:rPr>
          <w:rStyle w:val="FootnoteReference"/>
          <w:sz w:val="24"/>
          <w:lang w:val="lv-LV"/>
        </w:rPr>
        <w:footnoteRef/>
      </w:r>
      <w:r w:rsidRPr="00502024" w:rsidR="00502024">
        <w:rPr>
          <w:sz w:val="24"/>
          <w:lang w:val="lv-LV"/>
        </w:rPr>
        <w:t xml:space="preserve"> </w:t>
      </w:r>
      <w:r w:rsidRPr="00502024" w:rsidR="00502024">
        <w:rPr>
          <w:sz w:val="24"/>
          <w:lang w:val="lv-LV"/>
        </w:rPr>
        <w:tab/>
      </w:r>
      <w:r w:rsidRPr="00502024">
        <w:rPr>
          <w:sz w:val="24"/>
          <w:lang w:val="lv-LV"/>
        </w:rPr>
        <w:t>Vispārējās tiesas 2019. gada 30. aprīļa spriedums, Briois/Parlaments,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67BCC3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16D703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2024" w14:paraId="217543B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671402">
    <w:abstractNumId w:val="9"/>
  </w:num>
  <w:num w:numId="2" w16cid:durableId="153573022">
    <w:abstractNumId w:val="9"/>
  </w:num>
  <w:num w:numId="3" w16cid:durableId="2137018621">
    <w:abstractNumId w:val="7"/>
  </w:num>
  <w:num w:numId="4" w16cid:durableId="969893634">
    <w:abstractNumId w:val="7"/>
  </w:num>
  <w:num w:numId="5" w16cid:durableId="1629050236">
    <w:abstractNumId w:val="6"/>
  </w:num>
  <w:num w:numId="6" w16cid:durableId="243492963">
    <w:abstractNumId w:val="6"/>
  </w:num>
  <w:num w:numId="7" w16cid:durableId="808866081">
    <w:abstractNumId w:val="5"/>
  </w:num>
  <w:num w:numId="8" w16cid:durableId="687491908">
    <w:abstractNumId w:val="5"/>
  </w:num>
  <w:num w:numId="9" w16cid:durableId="1487092820">
    <w:abstractNumId w:val="4"/>
  </w:num>
  <w:num w:numId="10" w16cid:durableId="425811440">
    <w:abstractNumId w:val="4"/>
  </w:num>
  <w:num w:numId="11" w16cid:durableId="25300857">
    <w:abstractNumId w:val="8"/>
  </w:num>
  <w:num w:numId="12" w16cid:durableId="425351255">
    <w:abstractNumId w:val="8"/>
  </w:num>
  <w:num w:numId="13" w16cid:durableId="21054185">
    <w:abstractNumId w:val="3"/>
  </w:num>
  <w:num w:numId="14" w16cid:durableId="1741518074">
    <w:abstractNumId w:val="3"/>
  </w:num>
  <w:num w:numId="15" w16cid:durableId="2136172715">
    <w:abstractNumId w:val="2"/>
  </w:num>
  <w:num w:numId="16" w16cid:durableId="1583249463">
    <w:abstractNumId w:val="2"/>
  </w:num>
  <w:num w:numId="17" w16cid:durableId="108017872">
    <w:abstractNumId w:val="1"/>
  </w:num>
  <w:num w:numId="18" w16cid:durableId="2114130494">
    <w:abstractNumId w:val="1"/>
  </w:num>
  <w:num w:numId="19" w16cid:durableId="963733447">
    <w:abstractNumId w:val="0"/>
  </w:num>
  <w:num w:numId="20" w16cid:durableId="204679237">
    <w:abstractNumId w:val="0"/>
  </w:num>
  <w:num w:numId="21" w16cid:durableId="321810930">
    <w:abstractNumId w:val="9"/>
  </w:num>
  <w:num w:numId="22" w16cid:durableId="1653365113">
    <w:abstractNumId w:val="7"/>
  </w:num>
  <w:num w:numId="23" w16cid:durableId="1051344019">
    <w:abstractNumId w:val="6"/>
  </w:num>
  <w:num w:numId="24" w16cid:durableId="639572661">
    <w:abstractNumId w:val="5"/>
  </w:num>
  <w:num w:numId="25" w16cid:durableId="989869030">
    <w:abstractNumId w:val="4"/>
  </w:num>
  <w:num w:numId="26" w16cid:durableId="989600411">
    <w:abstractNumId w:val="8"/>
  </w:num>
  <w:num w:numId="27" w16cid:durableId="526673385">
    <w:abstractNumId w:val="3"/>
  </w:num>
  <w:num w:numId="28" w16cid:durableId="925385636">
    <w:abstractNumId w:val="2"/>
  </w:num>
  <w:num w:numId="29" w16cid:durableId="124472981">
    <w:abstractNumId w:val="1"/>
  </w:num>
  <w:num w:numId="30" w16cid:durableId="809639859">
    <w:abstractNumId w:val="0"/>
  </w:num>
  <w:num w:numId="31" w16cid:durableId="809056595">
    <w:abstractNumId w:val="9"/>
  </w:num>
  <w:num w:numId="32" w16cid:durableId="648248202">
    <w:abstractNumId w:val="7"/>
  </w:num>
  <w:num w:numId="33" w16cid:durableId="1562398190">
    <w:abstractNumId w:val="6"/>
  </w:num>
  <w:num w:numId="34" w16cid:durableId="2043049666">
    <w:abstractNumId w:val="5"/>
  </w:num>
  <w:num w:numId="35" w16cid:durableId="1398086010">
    <w:abstractNumId w:val="4"/>
  </w:num>
  <w:num w:numId="36" w16cid:durableId="283270674">
    <w:abstractNumId w:val="8"/>
  </w:num>
  <w:num w:numId="37" w16cid:durableId="1924798787">
    <w:abstractNumId w:val="3"/>
  </w:num>
  <w:num w:numId="38" w16cid:durableId="1238050197">
    <w:abstractNumId w:val="2"/>
  </w:num>
  <w:num w:numId="39" w16cid:durableId="741755534">
    <w:abstractNumId w:val="1"/>
  </w:num>
  <w:num w:numId="40" w16cid:durableId="1406804742">
    <w:abstractNumId w:val="0"/>
  </w:num>
  <w:num w:numId="41" w16cid:durableId="1596287132">
    <w:abstractNumId w:val="10"/>
  </w:num>
  <w:num w:numId="42" w16cid:durableId="1889103363">
    <w:abstractNumId w:val="10"/>
  </w:num>
  <w:num w:numId="43" w16cid:durableId="938608125">
    <w:abstractNumId w:val="10"/>
  </w:num>
  <w:num w:numId="44" w16cid:durableId="867108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F56"/>
    <w:rsid w:val="00002272"/>
    <w:rsid w:val="0002540D"/>
    <w:rsid w:val="00064002"/>
    <w:rsid w:val="000677B9"/>
    <w:rsid w:val="000831BA"/>
    <w:rsid w:val="000A42CC"/>
    <w:rsid w:val="000E7DD9"/>
    <w:rsid w:val="0010095E"/>
    <w:rsid w:val="00120621"/>
    <w:rsid w:val="00125B37"/>
    <w:rsid w:val="00153F56"/>
    <w:rsid w:val="00187494"/>
    <w:rsid w:val="001F0FE3"/>
    <w:rsid w:val="001F32AE"/>
    <w:rsid w:val="002767FF"/>
    <w:rsid w:val="002B18FE"/>
    <w:rsid w:val="002B5493"/>
    <w:rsid w:val="00343214"/>
    <w:rsid w:val="00361C00"/>
    <w:rsid w:val="00395FA1"/>
    <w:rsid w:val="003E15D4"/>
    <w:rsid w:val="003F6C3D"/>
    <w:rsid w:val="00411CCE"/>
    <w:rsid w:val="0041666E"/>
    <w:rsid w:val="00421060"/>
    <w:rsid w:val="00471C19"/>
    <w:rsid w:val="004867E3"/>
    <w:rsid w:val="00494A28"/>
    <w:rsid w:val="004C0004"/>
    <w:rsid w:val="004C5D52"/>
    <w:rsid w:val="004E342B"/>
    <w:rsid w:val="004F67D7"/>
    <w:rsid w:val="00502024"/>
    <w:rsid w:val="0050519A"/>
    <w:rsid w:val="005072A1"/>
    <w:rsid w:val="00514517"/>
    <w:rsid w:val="00545827"/>
    <w:rsid w:val="00560270"/>
    <w:rsid w:val="005C2568"/>
    <w:rsid w:val="005F1B17"/>
    <w:rsid w:val="006037C0"/>
    <w:rsid w:val="00604FC9"/>
    <w:rsid w:val="006631B6"/>
    <w:rsid w:val="00680577"/>
    <w:rsid w:val="006F74FA"/>
    <w:rsid w:val="007030A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5F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573"/>
    <w:rsid w:val="00F31A2F"/>
    <w:rsid w:val="00F5134D"/>
    <w:rsid w:val="00F62DB1"/>
    <w:rsid w:val="00F74202"/>
    <w:rsid w:val="00F824DC"/>
    <w:rsid w:val="00F87713"/>
    <w:rsid w:val="00FB4360"/>
    <w:rsid w:val="00FD0C70"/>
  </w:rsids>
  <w:docVars>
    <w:docVar w:name="dvdocse" w:val="A10-0118/2026"/>
    <w:docVar w:name="dvlangue" w:val="LV"/>
    <w:docVar w:name="dvnumam" w:val="0"/>
    <w:docVar w:name="dvpe" w:val="785.498"/>
    <w:docVar w:name="dvrapporteur" w:val="Referents: "/>
    <w:docVar w:name="dvtitre" w:val="Eiropas Parlamenta 2026. gada XX. XXX lēmums par pieprasījumu atcelt Grzegorz Braun imunitāti(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CE3FC4"/>
  <w15:chartTrackingRefBased/>
  <w15:docId w15:val="{7E336A91-5E40-43C4-ACD4-692525C8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824DC"/>
    <w:rPr>
      <w:b/>
    </w:rPr>
  </w:style>
  <w:style w:type="paragraph" w:customStyle="1" w:styleId="NormalHanging12a">
    <w:name w:val="NormalHanging12a"/>
    <w:basedOn w:val="Normal"/>
    <w:rsid w:val="00F824DC"/>
    <w:pPr>
      <w:spacing w:after="240"/>
      <w:ind w:left="567" w:hanging="567"/>
    </w:pPr>
  </w:style>
  <w:style w:type="paragraph" w:customStyle="1" w:styleId="EPComma">
    <w:name w:val="EPComma"/>
    <w:basedOn w:val="Normal"/>
    <w:rsid w:val="00F824DC"/>
    <w:pPr>
      <w:spacing w:before="480" w:after="240"/>
    </w:pPr>
  </w:style>
  <w:style w:type="paragraph" w:styleId="Revision">
    <w:name w:val="Revision"/>
    <w:hidden/>
    <w:uiPriority w:val="99"/>
    <w:semiHidden/>
    <w:rsid w:val="0012062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2026-06-05T08:52:00Z</dcterms:created>
  <dcterms:modified xsi:type="dcterms:W3CDTF">2026-06-05T08:52:00Z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A10-0118/2026</vt:lpwstr>
  </property>
  <property fmtid="{D5CDD505-2E9C-101B-9397-08002B2CF9AE}" pid="4" name="&lt;Type&gt;">
    <vt:lpwstr>RR</vt:lpwstr>
  </property>
</Properties>
</file>