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7723A5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3EF1" w:rsidP="0010095E" w14:paraId="073F418F" w14:textId="77777777">
            <w:pPr>
              <w:pStyle w:val="EPName"/>
            </w:pPr>
            <w:r w:rsidRPr="00AF3EF1">
              <w:t>Parlament Ewropew</w:t>
            </w:r>
          </w:p>
          <w:p w:rsidR="00751A4A" w:rsidRPr="00AF3EF1" w:rsidP="005F1B17" w14:paraId="20C2BDD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3EF1">
              <w:t>2024</w:t>
            </w:r>
            <w:r w:rsidRPr="00AF3EF1" w:rsidR="00817416">
              <w:t>-202</w:t>
            </w:r>
            <w:r w:rsidRPr="00AF3EF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F3EF1" w:rsidP="0010095E" w14:paraId="69F92E4D" w14:textId="77777777">
            <w:pPr>
              <w:pStyle w:val="EPLogo"/>
            </w:pPr>
            <w:r w:rsidRPr="00AF3EF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3EF1" w:rsidP="004C5D52" w14:paraId="14349A1C" w14:textId="77777777">
      <w:pPr>
        <w:pStyle w:val="LineTop"/>
      </w:pPr>
    </w:p>
    <w:p w:rsidR="00680577" w:rsidRPr="00AF3EF1" w:rsidP="00680577" w14:paraId="4108E5BC" w14:textId="77777777">
      <w:pPr>
        <w:pStyle w:val="EPBodyTA1"/>
      </w:pPr>
      <w:r w:rsidRPr="00AF3EF1">
        <w:t>TESTI ADOTTATI</w:t>
      </w:r>
    </w:p>
    <w:p w:rsidR="00D058B8" w:rsidRPr="00AF3EF1" w:rsidP="00D058B8" w14:paraId="0D6234AB" w14:textId="77777777">
      <w:pPr>
        <w:pStyle w:val="LineBottom"/>
      </w:pPr>
    </w:p>
    <w:p w:rsidR="00204F23" w:rsidRPr="00AF3EF1" w:rsidP="00204F23" w14:paraId="0B8B2FA8" w14:textId="69A1E469">
      <w:pPr>
        <w:pStyle w:val="ATHeading1"/>
      </w:pPr>
      <w:bookmarkStart w:id="0" w:name="TANumber"/>
      <w:r w:rsidRPr="00AF3EF1">
        <w:t>P10_TA(2026)0</w:t>
      </w:r>
      <w:bookmarkEnd w:id="0"/>
      <w:r w:rsidR="00D71B62">
        <w:t>109</w:t>
      </w:r>
    </w:p>
    <w:p w:rsidR="00204F23" w:rsidRPr="00AF3EF1" w:rsidP="00204F23" w14:paraId="75B007F6" w14:textId="42E4BD28">
      <w:pPr>
        <w:pStyle w:val="ATHeading2"/>
      </w:pPr>
      <w:r>
        <w:t>T</w:t>
      </w:r>
      <w:r w:rsidRPr="00AF3EF1">
        <w:t xml:space="preserve">alba għat-tneħħija tal-immunità ta’ Grzegorz </w:t>
      </w:r>
      <w:r w:rsidRPr="00AF3EF1">
        <w:t>Braun</w:t>
      </w:r>
    </w:p>
    <w:p w:rsidR="00204F23" w:rsidRPr="00AF3EF1" w:rsidP="00204F23" w14:paraId="7D2E5097" w14:textId="77777777">
      <w:pPr>
        <w:rPr>
          <w:i/>
          <w:vanish/>
        </w:rPr>
      </w:pPr>
      <w:r>
        <w:rPr>
          <w:i/>
        </w:rPr>
        <w:fldChar w:fldCharType="begin"/>
      </w:r>
      <w:r w:rsidRPr="00AF3EF1">
        <w:rPr>
          <w:i/>
        </w:rPr>
        <w:instrText xml:space="preserve"> TC"(</w:instrText>
      </w:r>
      <w:bookmarkStart w:id="1" w:name="DocNumber"/>
      <w:r w:rsidRPr="00AF3EF1">
        <w:rPr>
          <w:i/>
        </w:rPr>
        <w:instrText>A10-0118/2026</w:instrText>
      </w:r>
      <w:bookmarkEnd w:id="1"/>
      <w:r w:rsidRPr="00AF3EF1">
        <w:rPr>
          <w:i/>
        </w:rPr>
        <w:instrText xml:space="preserve"> - Rapporteur: </w:instrText>
      </w:r>
      <w:r w:rsidRPr="00AF3EF1">
        <w:rPr>
          <w:i/>
        </w:rPr>
        <w:instrText>Adrián</w:instrText>
      </w:r>
      <w:r w:rsidRPr="00AF3EF1">
        <w:rPr>
          <w:i/>
        </w:rPr>
        <w:instrText xml:space="preserve"> </w:instrText>
      </w:r>
      <w:r w:rsidRPr="00AF3EF1">
        <w:rPr>
          <w:i/>
        </w:rPr>
        <w:instrText>Vázquez</w:instrText>
      </w:r>
      <w:r w:rsidRPr="00AF3EF1">
        <w:rPr>
          <w:i/>
        </w:rPr>
        <w:instrText xml:space="preserve"> </w:instrText>
      </w:r>
      <w:r w:rsidRPr="00AF3EF1">
        <w:rPr>
          <w:i/>
        </w:rPr>
        <w:instrText>Lázara</w:instrText>
      </w:r>
      <w:r w:rsidRPr="00AF3EF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04F23" w:rsidRPr="00AF3EF1" w:rsidP="00204F23" w14:paraId="74D6A42B" w14:textId="77777777">
      <w:pPr>
        <w:rPr>
          <w:vanish/>
        </w:rPr>
      </w:pPr>
      <w:bookmarkStart w:id="2" w:name="Commission"/>
      <w:r w:rsidRPr="00AF3EF1">
        <w:rPr>
          <w:vanish/>
        </w:rPr>
        <w:t>Kumitat għall-Affarijiet Legali</w:t>
      </w:r>
      <w:bookmarkEnd w:id="2"/>
    </w:p>
    <w:p w:rsidR="00204F23" w:rsidRPr="00AF3EF1" w:rsidP="00204F23" w14:paraId="6964F470" w14:textId="77777777">
      <w:pPr>
        <w:rPr>
          <w:vanish/>
        </w:rPr>
      </w:pPr>
      <w:bookmarkStart w:id="3" w:name="PE"/>
      <w:r w:rsidRPr="00AF3EF1">
        <w:rPr>
          <w:vanish/>
        </w:rPr>
        <w:t>PE785.498</w:t>
      </w:r>
      <w:bookmarkEnd w:id="3"/>
    </w:p>
    <w:p w:rsidR="00204F23" w:rsidRPr="00AF3EF1" w:rsidP="00204F23" w14:paraId="61025F67" w14:textId="0F65F41C">
      <w:pPr>
        <w:pStyle w:val="ATHeading3"/>
      </w:pPr>
      <w:bookmarkStart w:id="4" w:name="Sujet"/>
      <w:r>
        <w:t>Deċiżjoni</w:t>
      </w:r>
      <w:r w:rsidRPr="00AF3EF1">
        <w:t xml:space="preserve"> tal-Parlament Ewropew </w:t>
      </w:r>
      <w:r>
        <w:t>tat-28 ta’ April</w:t>
      </w:r>
      <w:r w:rsidRPr="00AF3EF1">
        <w:t xml:space="preserve"> 2026 dwar it-talba għat-tneħħija tal-immunità ta’ Grzegorz </w:t>
      </w:r>
      <w:r w:rsidRPr="00AF3EF1">
        <w:t>Braun</w:t>
      </w:r>
      <w:bookmarkEnd w:id="4"/>
      <w:r w:rsidRPr="00AF3EF1">
        <w:t xml:space="preserve"> </w:t>
      </w:r>
      <w:bookmarkStart w:id="5" w:name="References"/>
      <w:r w:rsidRPr="00AF3EF1">
        <w:t>(2025/2241(IMM))</w:t>
      </w:r>
      <w:bookmarkEnd w:id="5"/>
    </w:p>
    <w:p w:rsidR="006019BE" w:rsidRPr="00AF3EF1" w:rsidP="006019BE" w14:paraId="31C5D5EC" w14:textId="77777777">
      <w:pPr>
        <w:pStyle w:val="EPComma"/>
      </w:pPr>
      <w:bookmarkStart w:id="6" w:name="TextBodyBegin"/>
      <w:bookmarkEnd w:id="6"/>
      <w:r w:rsidRPr="00AF3EF1">
        <w:rPr>
          <w:i/>
          <w:iCs/>
        </w:rPr>
        <w:t>Il-Parlament Ewropew,</w:t>
      </w:r>
    </w:p>
    <w:p w:rsidR="006019BE" w:rsidRPr="00AF3EF1" w:rsidP="006019BE" w14:paraId="0DAC804D" w14:textId="301844E4">
      <w:pPr>
        <w:pStyle w:val="NormalHanging12a"/>
      </w:pPr>
      <w:r w:rsidRPr="00AF3EF1">
        <w:t>–</w:t>
      </w:r>
      <w:r w:rsidRPr="00AF3EF1">
        <w:tab/>
        <w:t xml:space="preserve">wara li kkunsidra t-talba għat-tneħħija tal-immunità ta’ Grzegorz </w:t>
      </w:r>
      <w:r w:rsidRPr="00AF3EF1">
        <w:t>Braun</w:t>
      </w:r>
      <w:r w:rsidRPr="00AF3EF1">
        <w:t>, li waslet permezz tal-ittra datata l-31 ta’ Ottubru 2025 mill-Prosekutur Ġenerali ta</w:t>
      </w:r>
      <w:r w:rsidR="00AA6571">
        <w:t>r-Repubblika ta</w:t>
      </w:r>
      <w:r w:rsidRPr="00AF3EF1">
        <w:t xml:space="preserve">l-Polonja, li bagħat talba mill-Kap Kmandant tal-pulizija tal-Polonja b’rabta mal-proċedimenti kriminali li se jitressqu kontra Grzegorz </w:t>
      </w:r>
      <w:r w:rsidRPr="00AF3EF1">
        <w:t>Braun</w:t>
      </w:r>
      <w:r w:rsidRPr="00AF3EF1">
        <w:t>, u mħabbra fil-Parlament tat-13 ta’ Novembru 2025,</w:t>
      </w:r>
    </w:p>
    <w:p w:rsidR="006019BE" w:rsidRPr="00AF3EF1" w:rsidP="006019BE" w14:paraId="2DC2BAFA" w14:textId="17046CE9">
      <w:pPr>
        <w:pStyle w:val="NormalHanging12a"/>
      </w:pPr>
      <w:r w:rsidRPr="00AF3EF1">
        <w:t>–</w:t>
      </w:r>
      <w:r w:rsidRPr="00AF3EF1">
        <w:tab/>
        <w:t xml:space="preserve">wara li kkunsidra l-fatt li Grzegorz </w:t>
      </w:r>
      <w:r w:rsidRPr="00AF3EF1">
        <w:t>Braun</w:t>
      </w:r>
      <w:r w:rsidRPr="00AF3EF1">
        <w:t xml:space="preserve"> jitqies li </w:t>
      </w:r>
      <w:r w:rsidRPr="00AF3EF1">
        <w:t>rrinunzja</w:t>
      </w:r>
      <w:r w:rsidRPr="00AF3EF1">
        <w:t xml:space="preserve"> id-dritt tiegħu li jiġi mismugħ</w:t>
      </w:r>
      <w:r w:rsidR="00AA6571">
        <w:t>,</w:t>
      </w:r>
      <w:r w:rsidRPr="00AF3EF1">
        <w:t xml:space="preserve"> skont l-Artikolu 9(6) tar-Regoli ta’ Proċedura tiegħu,</w:t>
      </w:r>
    </w:p>
    <w:p w:rsidR="006019BE" w:rsidRPr="00AF3EF1" w:rsidP="006019BE" w14:paraId="228BDAB8" w14:textId="77777777">
      <w:pPr>
        <w:pStyle w:val="NormalHanging12a"/>
      </w:pPr>
      <w:r w:rsidRPr="00AF3EF1">
        <w:t>–</w:t>
      </w:r>
      <w:r w:rsidRPr="00AF3EF1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6019BE" w:rsidRPr="00AF3EF1" w:rsidP="006019BE" w14:paraId="6A528CC6" w14:textId="77777777">
      <w:pPr>
        <w:pStyle w:val="NormalHanging12a"/>
      </w:pPr>
      <w:r w:rsidRPr="00AF3EF1">
        <w:t>–</w:t>
      </w:r>
      <w:r w:rsidRPr="00AF3EF1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>
        <w:rPr>
          <w:rStyle w:val="FootnoteReference"/>
          <w:color w:val="000000"/>
        </w:rPr>
        <w:footnoteReference w:id="2"/>
      </w:r>
      <w:r w:rsidRPr="00AF3EF1">
        <w:t>,</w:t>
      </w:r>
    </w:p>
    <w:p w:rsidR="006019BE" w:rsidRPr="00AF3EF1" w:rsidP="006019BE" w14:paraId="7BEF7027" w14:textId="77777777">
      <w:pPr>
        <w:pStyle w:val="NormalHanging12a"/>
      </w:pPr>
      <w:r w:rsidRPr="00AF3EF1">
        <w:t>–</w:t>
      </w:r>
      <w:r w:rsidRPr="00AF3EF1">
        <w:tab/>
        <w:t>wara li kkunsidra l-Artikolu 105(2) u (5) tal-Kostituzzjoni tar-Repubblika tal-Polonja,</w:t>
      </w:r>
    </w:p>
    <w:p w:rsidR="006019BE" w:rsidRPr="00AF3EF1" w:rsidP="006019BE" w14:paraId="2BAE7B69" w14:textId="77777777">
      <w:pPr>
        <w:pStyle w:val="NormalHanging12a"/>
      </w:pPr>
      <w:r w:rsidRPr="00AF3EF1">
        <w:t>–</w:t>
      </w:r>
      <w:r w:rsidRPr="00AF3EF1">
        <w:tab/>
        <w:t xml:space="preserve">wara li kkunsidra l-Artikolu 5(2), l-Artikolu 6(1) u l-Artikolu 9 tar-Regoli ta’ Proċedura </w:t>
      </w:r>
      <w:r w:rsidRPr="00AF3EF1">
        <w:t>tiegħu,</w:t>
      </w:r>
    </w:p>
    <w:p w:rsidR="006019BE" w:rsidRPr="00AF3EF1" w:rsidP="006019BE" w14:paraId="5FC12CB5" w14:textId="77777777">
      <w:pPr>
        <w:pStyle w:val="NormalHanging12a"/>
      </w:pPr>
      <w:r w:rsidRPr="00AF3EF1">
        <w:t>–</w:t>
      </w:r>
      <w:r w:rsidRPr="00AF3EF1">
        <w:tab/>
        <w:t>wara li kkunsidra r-rapport tal-Kumitat għall-Affarijiet Legali (A10-0118/2026),</w:t>
      </w:r>
    </w:p>
    <w:p w:rsidR="006019BE" w:rsidRPr="00AF3EF1" w:rsidP="006019BE" w14:paraId="10DCF320" w14:textId="423E6620">
      <w:pPr>
        <w:pStyle w:val="NormalHanging12a"/>
      </w:pPr>
      <w:r w:rsidRPr="00AF3EF1">
        <w:t>A.</w:t>
      </w:r>
      <w:r w:rsidRPr="00AF3EF1">
        <w:tab/>
        <w:t>billi, permezz ta’ ittra datata l-31 ta’ Ottubru 2025, il-Prosekutur Ġenerali ta</w:t>
      </w:r>
      <w:r w:rsidR="00AA6571">
        <w:t>r-Repubblika ta</w:t>
      </w:r>
      <w:r w:rsidRPr="00AF3EF1">
        <w:t xml:space="preserve">l-Polonja bagħat talba mill-Kap Kmandant tal-pulizija tal-Polonja għat-tneħħija tal-immunità ta’ Grzegorz </w:t>
      </w:r>
      <w:r w:rsidRPr="00AF3EF1">
        <w:t>Braun</w:t>
      </w:r>
      <w:r w:rsidRPr="00AF3EF1">
        <w:t>, Membru tal-Parlament Ewropew elett fil-Polonja, b’rabta ma’ diversi allegati reati li seħħew fl-2025;</w:t>
      </w:r>
    </w:p>
    <w:p w:rsidR="006019BE" w:rsidRPr="00AF3EF1" w:rsidP="006019BE" w14:paraId="0767BE2A" w14:textId="77777777">
      <w:pPr>
        <w:pStyle w:val="NormalHanging12a"/>
      </w:pPr>
      <w:r w:rsidRPr="00AF3EF1">
        <w:rPr>
          <w:shd w:val="clear" w:color="auto" w:fill="FFFFFF"/>
        </w:rPr>
        <w:t>B.</w:t>
      </w:r>
      <w:r w:rsidRPr="00AF3EF1">
        <w:rPr>
          <w:shd w:val="clear" w:color="auto" w:fill="FFFFFF"/>
        </w:rPr>
        <w:tab/>
      </w:r>
      <w:r w:rsidRPr="00AF3EF1">
        <w:t>billi, skont it-talba, fl-10 ta’ Lulju 2025, matul il-</w:t>
      </w:r>
      <w:r w:rsidRPr="00AF3EF1">
        <w:t>kommemorazzjonijiet</w:t>
      </w:r>
      <w:r w:rsidRPr="00AF3EF1">
        <w:t xml:space="preserve"> tal-84 anniversarju tal-massakru tal-popolazzjoni Lhudija, filwaqt li kien ma’ grupp ta’ persuni f’nofs triq pubblika f’</w:t>
      </w:r>
      <w:r w:rsidRPr="00AF3EF1">
        <w:t>Jedwabne</w:t>
      </w:r>
      <w:r w:rsidRPr="00AF3EF1">
        <w:t xml:space="preserve">, Grzegorz </w:t>
      </w:r>
      <w:r w:rsidRPr="00AF3EF1">
        <w:t>Braun</w:t>
      </w:r>
      <w:r w:rsidRPr="00AF3EF1">
        <w:t xml:space="preserve"> allegatament ostakola t-traffiku f’dik it-triq; billi l-allegata azzjoni tikkostitwixxi reat skont l-Artikolu 90(1) tal-Att tal-20 ta’ Mejju 1971 – il-Kodiċi ta’ Reati Minuri;</w:t>
      </w:r>
    </w:p>
    <w:p w:rsidR="006019BE" w:rsidRPr="00AF3EF1" w:rsidP="006019BE" w14:paraId="31F6F2D4" w14:textId="77777777">
      <w:pPr>
        <w:pStyle w:val="NormalHanging12a"/>
        <w:rPr>
          <w:szCs w:val="24"/>
          <w:shd w:val="clear" w:color="auto" w:fill="FFFFFF"/>
        </w:rPr>
      </w:pPr>
      <w:r w:rsidRPr="00AF3EF1">
        <w:rPr>
          <w:shd w:val="clear" w:color="auto" w:fill="FFFFFF"/>
        </w:rPr>
        <w:t>C.</w:t>
      </w:r>
      <w:r w:rsidRPr="00AF3EF1">
        <w:rPr>
          <w:shd w:val="clear" w:color="auto" w:fill="FFFFFF"/>
        </w:rPr>
        <w:tab/>
        <w:t>billi,</w:t>
      </w:r>
      <w:r w:rsidRPr="00AF3EF1">
        <w:t xml:space="preserve"> skont it-talba,</w:t>
      </w:r>
      <w:r w:rsidRPr="00AF3EF1">
        <w:rPr>
          <w:shd w:val="clear" w:color="auto" w:fill="FFFFFF"/>
        </w:rPr>
        <w:t xml:space="preserve"> </w:t>
      </w:r>
      <w:r w:rsidRPr="00AF3EF1">
        <w:t>fl-10 ta’ Lulju 2025, f’</w:t>
      </w:r>
      <w:r w:rsidRPr="00AF3EF1">
        <w:t>Jedwabne</w:t>
      </w:r>
      <w:r w:rsidRPr="00AF3EF1">
        <w:t>, qrib id-daħla għaċ-Ċimiterju Lhudi, matul il-</w:t>
      </w:r>
      <w:r w:rsidRPr="00AF3EF1">
        <w:t>kommemorazzjonijiet</w:t>
      </w:r>
      <w:r w:rsidRPr="00AF3EF1">
        <w:t xml:space="preserve"> tal-84 anniversarju tal-massakru tal-popolazzjoni Lhudija, filwaqt li kien ma’ grupp ta’ persuni f’nofs triq pubblika, Grzegorz </w:t>
      </w:r>
      <w:r w:rsidRPr="00AF3EF1">
        <w:t>Braun</w:t>
      </w:r>
      <w:r w:rsidRPr="00AF3EF1">
        <w:t xml:space="preserve"> allegatament naqas milli jikkonforma mal-ordnijiet maħruġa minn uffiċjal tal-pulizija li talbu jġib ruħu f’konformità mal-liġi u jippermetti li l-vetturi jgħaddu, u b’hekk ostakola deliberatament u b’mod sinifikanti t-twettiq tad-dmirijiet uffiċjali; billi l-allegata azzjoni tikkostitwixxi reat skont l-Artikolu 65a tal-Att tal-20 ta’ Mejju 1971 – il-Kodiċi ta’ Reati Minuri</w:t>
      </w:r>
      <w:r w:rsidRPr="00AF3EF1">
        <w:rPr>
          <w:shd w:val="clear" w:color="auto" w:fill="FFFFFF"/>
        </w:rPr>
        <w:t>;</w:t>
      </w:r>
    </w:p>
    <w:p w:rsidR="006019BE" w:rsidRPr="00AF3EF1" w:rsidP="006019BE" w14:paraId="69CE70E0" w14:textId="288D1D21">
      <w:pPr>
        <w:pStyle w:val="NormalHanging12a"/>
        <w:rPr>
          <w:szCs w:val="24"/>
          <w:shd w:val="clear" w:color="auto" w:fill="FFFFFF"/>
        </w:rPr>
      </w:pPr>
      <w:r w:rsidRPr="00AF3EF1">
        <w:t>D.</w:t>
      </w:r>
      <w:r w:rsidRPr="00AF3EF1">
        <w:tab/>
      </w:r>
      <w:r w:rsidRPr="00AF3EF1">
        <w:rPr>
          <w:shd w:val="clear" w:color="auto" w:fill="FFFFFF"/>
        </w:rPr>
        <w:t xml:space="preserve">billi </w:t>
      </w:r>
      <w:r w:rsidRPr="00AF3EF1">
        <w:t xml:space="preserve">Grzegorz </w:t>
      </w:r>
      <w:r w:rsidRPr="00AF3EF1">
        <w:t>Braun</w:t>
      </w:r>
      <w:r w:rsidRPr="00AF3EF1">
        <w:rPr>
          <w:shd w:val="clear" w:color="auto" w:fill="FFFFFF"/>
        </w:rPr>
        <w:t xml:space="preserve"> ġie elett fil-Parlament Ewropew fl-elezzjonijiet Ewropej ta’ Ġunju 2024 u </w:t>
      </w:r>
      <w:r w:rsidR="00AA6571">
        <w:rPr>
          <w:shd w:val="clear" w:color="auto" w:fill="FFFFFF"/>
        </w:rPr>
        <w:t xml:space="preserve">kien, </w:t>
      </w:r>
      <w:r w:rsidRPr="00AF3EF1">
        <w:rPr>
          <w:shd w:val="clear" w:color="auto" w:fill="FFFFFF"/>
        </w:rPr>
        <w:t>għaldaqstant</w:t>
      </w:r>
      <w:r w:rsidR="00AA6571">
        <w:rPr>
          <w:shd w:val="clear" w:color="auto" w:fill="FFFFFF"/>
        </w:rPr>
        <w:t>,</w:t>
      </w:r>
      <w:r w:rsidRPr="00AF3EF1">
        <w:rPr>
          <w:shd w:val="clear" w:color="auto" w:fill="FFFFFF"/>
        </w:rPr>
        <w:t xml:space="preserve"> Membru tal-Parlament Ewropew fiż-żmien tal-allegati reati;</w:t>
      </w:r>
    </w:p>
    <w:p w:rsidR="006019BE" w:rsidRPr="00AF3EF1" w:rsidP="006019BE" w14:paraId="2FCD349E" w14:textId="77777777">
      <w:pPr>
        <w:pStyle w:val="NormalHanging12a"/>
      </w:pPr>
      <w:r w:rsidRPr="00AF3EF1">
        <w:t>E.</w:t>
      </w:r>
      <w:r w:rsidRPr="00AF3EF1">
        <w:tab/>
        <w:t xml:space="preserve">billi l-allegati reati ma </w:t>
      </w:r>
      <w:r w:rsidRPr="00AF3EF1">
        <w:t>jikkostitwux</w:t>
      </w:r>
      <w:r w:rsidRPr="00AF3EF1">
        <w:t xml:space="preserve"> opinjoni espressa jew vot mitfugħ minn Grzegorz </w:t>
      </w:r>
      <w:r w:rsidRPr="00AF3EF1">
        <w:t>Braun</w:t>
      </w:r>
      <w:r w:rsidRPr="00AF3EF1">
        <w:t xml:space="preserve"> fil-qadi ta’ dmirijietu fis-sens tal-Artikolu 8 tal-Protokoll Nru 7 dwar il-Privileġġi u l-Immunitajiet tal-Unjoni Ewropea, u billi t-talba għat-tneħħija tal-immunità tiegħu mhijiex relatata ma’ xi opinjoni espressa jew ma’ xi vot mitfugħ minnu;</w:t>
      </w:r>
    </w:p>
    <w:p w:rsidR="006019BE" w:rsidRPr="00AF3EF1" w:rsidP="006019BE" w14:paraId="6E6852CF" w14:textId="24C9798D">
      <w:pPr>
        <w:pStyle w:val="NormalHanging12a"/>
      </w:pPr>
      <w:r w:rsidRPr="00AF3EF1">
        <w:t>F.</w:t>
      </w:r>
      <w:r w:rsidRPr="00AF3EF1">
        <w:tab/>
        <w:t xml:space="preserve">billi l-Artikolu 9, l-ewwel paragrafu, il-punt (a), tal-Protokoll Nru 7 dwar il-Privileġġi u l-Immunitajiet tal-Unjoni Ewropea jiddisponi li, waqt is-sessjonijiet tal-Parlament Ewropew, il-Membri tiegħu għandhom igawdu, fit-territorju tal-Istat </w:t>
      </w:r>
      <w:r w:rsidR="00AA6571">
        <w:t xml:space="preserve">Membru </w:t>
      </w:r>
      <w:r w:rsidRPr="00AF3EF1">
        <w:t>tagħhom stess, l-</w:t>
      </w:r>
      <w:r w:rsidRPr="00AF3EF1">
        <w:t>immunitajiet</w:t>
      </w:r>
      <w:r w:rsidRPr="00AF3EF1">
        <w:t xml:space="preserve"> mogħtija lil membri tal-parlament tal-Istat Membru tagħhom;</w:t>
      </w:r>
    </w:p>
    <w:p w:rsidR="006019BE" w:rsidRPr="00AF3EF1" w:rsidP="006019BE" w14:paraId="333DBEFE" w14:textId="48A3355B">
      <w:pPr>
        <w:pStyle w:val="NormalHanging12a"/>
      </w:pPr>
      <w:r w:rsidRPr="00AF3EF1">
        <w:t>G.</w:t>
      </w:r>
      <w:r w:rsidRPr="00AF3EF1">
        <w:tab/>
        <w:t xml:space="preserve">billi, skont l-Artikolu 105(2) u (5) tal-Kostituzzjoni </w:t>
      </w:r>
      <w:r w:rsidR="00F327E5">
        <w:t>tar-Repubblika tal-Polonja</w:t>
      </w:r>
      <w:r w:rsidRPr="00AF3EF1">
        <w:t>, mill-jum li fih jitħabbru r-riżultati tal-elezzjonijiet sal-jum tal-iskadenza tal-mandat tiegħu, deputat ma jistax ikun soġġett għal responsabbiltà kriminali mingħajr l-approvazzjoni tas-</w:t>
      </w:r>
      <w:r w:rsidRPr="00AF3EF1">
        <w:t>Sejm</w:t>
      </w:r>
      <w:r w:rsidRPr="00AF3EF1">
        <w:t>, u la jista’ jiġi detenut u lanqas arrestat mingħajr l-approvazzjoni tas-</w:t>
      </w:r>
      <w:r w:rsidRPr="00AF3EF1">
        <w:t>Sejm</w:t>
      </w:r>
      <w:r w:rsidRPr="00AF3EF1">
        <w:t>, għajr f’każijiet meta jkun inqabad iwettaq reat u fejn id-detenzjoni tiegħu tkun meħtieġa biex jiġi żgurat l-andament xieraq tal-proċedimenti;</w:t>
      </w:r>
    </w:p>
    <w:p w:rsidR="006019BE" w:rsidRPr="00AF3EF1" w:rsidP="006019BE" w14:paraId="62D4F069" w14:textId="77777777">
      <w:pPr>
        <w:pStyle w:val="NormalHanging12a"/>
      </w:pPr>
      <w:r w:rsidRPr="00AF3EF1">
        <w:t>H.</w:t>
      </w:r>
      <w:r w:rsidRPr="00AF3EF1">
        <w:tab/>
        <w:t xml:space="preserve">billi l-għan tal-immunità prevista fil-Protokoll Nru 7 dwar il-Privileġġi u l-Immunitajiet tal-Unjoni Ewropea huwa li tipproteġi lill-Parlament u lill-Membri tiegħu minn proċedimenti ġudizzjarji fir-rigward ta’ attivitajiet imwettqa fil-qadi tad-dmirijiet parlamentari u li huma </w:t>
      </w:r>
      <w:r w:rsidRPr="00AF3EF1">
        <w:t>inseparabbli</w:t>
      </w:r>
      <w:r w:rsidRPr="00AF3EF1">
        <w:t xml:space="preserve"> minn dawk id-dmirijiet;</w:t>
      </w:r>
    </w:p>
    <w:p w:rsidR="006019BE" w:rsidRPr="00AF3EF1" w:rsidP="006019BE" w14:paraId="1E17D9B1" w14:textId="77777777">
      <w:pPr>
        <w:pStyle w:val="NormalHanging12a"/>
      </w:pPr>
      <w:r w:rsidRPr="00AF3EF1">
        <w:t>I.</w:t>
      </w:r>
      <w:r w:rsidRPr="00AF3EF1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:rsidR="006019BE" w:rsidRPr="00AF3EF1" w:rsidP="006019BE" w14:paraId="14072436" w14:textId="7658F13F">
      <w:pPr>
        <w:pStyle w:val="NormalHanging12a"/>
      </w:pPr>
      <w:r w:rsidRPr="00AF3EF1">
        <w:t>J.</w:t>
      </w:r>
      <w:r w:rsidRPr="00AF3EF1">
        <w:tab/>
        <w:t xml:space="preserve">billi, f’dan il-każ, il-Parlament ma sab l-ebda evidenza ta’ </w:t>
      </w:r>
      <w:r w:rsidRPr="00AF3EF1">
        <w:rPr>
          <w:i/>
          <w:iCs/>
        </w:rPr>
        <w:t>fumus</w:t>
      </w:r>
      <w:r w:rsidRPr="00AF3EF1">
        <w:rPr>
          <w:i/>
          <w:iCs/>
        </w:rPr>
        <w:t xml:space="preserve"> </w:t>
      </w:r>
      <w:r w:rsidRPr="00AF3EF1">
        <w:rPr>
          <w:i/>
          <w:iCs/>
        </w:rPr>
        <w:t>persecutionis</w:t>
      </w:r>
      <w:r w:rsidRPr="00AF3EF1">
        <w:t xml:space="preserve">, jiġifieri </w:t>
      </w:r>
      <w:r w:rsidRPr="00F327E5" w:rsidR="00F327E5">
        <w:t xml:space="preserve">ma jidhirx li </w:t>
      </w:r>
      <w:r w:rsidRPr="00AF3EF1">
        <w:t xml:space="preserve">l-intenzjoni li jimminaw </w:t>
      </w:r>
      <w:r w:rsidRPr="00F327E5" w:rsidR="00FD15AD">
        <w:t>l-proċedimenti legali inkwistjoni hija li ssir ħsara lil</w:t>
      </w:r>
      <w:r w:rsidRPr="00AF3EF1">
        <w:t xml:space="preserve">l-attività politika ta’ </w:t>
      </w:r>
      <w:bookmarkStart w:id="7" w:name="_Hlk223449412"/>
      <w:r w:rsidRPr="00AF3EF1">
        <w:t xml:space="preserve">Grzegorz </w:t>
      </w:r>
      <w:r w:rsidRPr="00AF3EF1">
        <w:t>Braun</w:t>
      </w:r>
      <w:r w:rsidRPr="00AF3EF1">
        <w:t xml:space="preserve"> </w:t>
      </w:r>
      <w:bookmarkEnd w:id="7"/>
      <w:r w:rsidRPr="00AF3EF1">
        <w:t>bħala Membru tal-Parlament Ewropew</w:t>
      </w:r>
      <w:r w:rsidRPr="00F327E5" w:rsidR="00F327E5">
        <w:t xml:space="preserve"> u b'hekk lill-indipendenza tal-Parlament</w:t>
      </w:r>
      <w:r w:rsidR="00FD15AD">
        <w:t>;</w:t>
      </w:r>
    </w:p>
    <w:p w:rsidR="006019BE" w:rsidRPr="00AF3EF1" w:rsidP="006019BE" w14:paraId="7104D4FA" w14:textId="77777777">
      <w:pPr>
        <w:pStyle w:val="NormalHanging12a"/>
      </w:pPr>
      <w:r w:rsidRPr="00AF3EF1">
        <w:t>K.</w:t>
      </w:r>
      <w:r w:rsidRPr="00AF3EF1">
        <w:tab/>
        <w:t>billi, minn naħa, il-Parlament ma jistax jitqies bħala qorti u, min-naħa l-oħra, il-Membru ma jistax, fil-kuntest ta’ proċedura għat-tneħħija tal-immunità, jitqies bħala “akkużat”</w:t>
      </w:r>
      <w:r>
        <w:rPr>
          <w:vertAlign w:val="superscript"/>
        </w:rPr>
        <w:footnoteReference w:id="3"/>
      </w:r>
      <w:r w:rsidRPr="00AF3EF1">
        <w:t>;</w:t>
      </w:r>
    </w:p>
    <w:p w:rsidR="006019BE" w:rsidRPr="00AF3EF1" w:rsidP="006019BE" w14:paraId="616B5ED9" w14:textId="77777777">
      <w:pPr>
        <w:pStyle w:val="NormalHanging12a"/>
      </w:pPr>
      <w:r w:rsidRPr="00AF3EF1">
        <w:t>1.</w:t>
      </w:r>
      <w:r w:rsidRPr="00AF3EF1">
        <w:tab/>
        <w:t xml:space="preserve">Jiddeċiedi li jneħħi l-immunità ta’ Grzegorz </w:t>
      </w:r>
      <w:r w:rsidRPr="00AF3EF1">
        <w:t>Braun</w:t>
      </w:r>
      <w:r w:rsidRPr="00AF3EF1">
        <w:t>;</w:t>
      </w:r>
    </w:p>
    <w:p w:rsidR="00E365E1" w:rsidRPr="00AF3EF1" w:rsidP="005917BE" w14:paraId="3E8F178E" w14:textId="4EBF05A7">
      <w:pPr>
        <w:ind w:left="567" w:hanging="567"/>
      </w:pPr>
      <w:r w:rsidRPr="00AF3EF1">
        <w:t>2.</w:t>
      </w:r>
      <w:r w:rsidRPr="00AF3EF1">
        <w:tab/>
        <w:t xml:space="preserve">Jagħti istruzzjonijiet lill-President tiegħu biex tgħaddi minnufih din id-deċiżjoni u r-rapport tal-kumitat responsabbli tiegħu lill-awtorità kompetenti tar-Repubblika tal-Polonja u lil Grzegorz </w:t>
      </w:r>
      <w:r w:rsidRPr="00AF3EF1">
        <w:t>Braun</w:t>
      </w:r>
      <w:r w:rsidRPr="00AF3EF1">
        <w:t>.</w:t>
      </w:r>
    </w:p>
    <w:sectPr w:rsidSect="00AF3E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3EF1" w14:paraId="418DA16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3EF1" w14:paraId="62B3384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3EF1" w14:paraId="2575423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04F23" w:rsidRPr="00AF3EF1" w14:paraId="0688C9D3" w14:textId="77777777">
      <w:r w:rsidRPr="00AF3EF1">
        <w:separator/>
      </w:r>
    </w:p>
  </w:footnote>
  <w:footnote w:type="continuationSeparator" w:id="1">
    <w:p w:rsidR="00204F23" w:rsidRPr="00AF3EF1" w14:paraId="24C32BE9" w14:textId="77777777">
      <w:r w:rsidRPr="00AF3EF1">
        <w:continuationSeparator/>
      </w:r>
    </w:p>
  </w:footnote>
  <w:footnote w:id="2">
    <w:p w:rsidR="006019BE" w:rsidRPr="00AF3EF1" w:rsidP="00AF3EF1" w14:paraId="1D1CEB92" w14:textId="5EFA9EEE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AF3EF1">
        <w:rPr>
          <w:rStyle w:val="FootnoteReference"/>
          <w:sz w:val="24"/>
          <w:lang w:val="mt-MT"/>
        </w:rPr>
        <w:footnoteRef/>
      </w:r>
      <w:r w:rsidRPr="00AF3EF1" w:rsidR="00AF3EF1">
        <w:rPr>
          <w:sz w:val="24"/>
          <w:lang w:val="mt-MT"/>
        </w:rPr>
        <w:t xml:space="preserve"> </w:t>
      </w:r>
      <w:r w:rsidRPr="00AF3EF1" w:rsidR="00AF3EF1">
        <w:rPr>
          <w:sz w:val="24"/>
          <w:lang w:val="mt-MT"/>
        </w:rPr>
        <w:tab/>
      </w:r>
      <w:r w:rsidRPr="00AF3EF1">
        <w:rPr>
          <w:sz w:val="24"/>
          <w:lang w:val="mt-MT"/>
        </w:rPr>
        <w:t xml:space="preserve">Is-sentenza tal-Qorti tal-Ġustizzja tal-21 ta’ Ottubru 2008, </w:t>
      </w:r>
      <w:r w:rsidRPr="005917BE">
        <w:rPr>
          <w:i/>
          <w:iCs/>
          <w:sz w:val="24"/>
          <w:lang w:val="mt-MT"/>
        </w:rPr>
        <w:t>Marra</w:t>
      </w:r>
      <w:r w:rsidRPr="005917BE">
        <w:rPr>
          <w:i/>
          <w:iCs/>
          <w:sz w:val="24"/>
          <w:lang w:val="mt-MT"/>
        </w:rPr>
        <w:t xml:space="preserve"> </w:t>
      </w:r>
      <w:r w:rsidRPr="005917BE">
        <w:rPr>
          <w:i/>
          <w:iCs/>
          <w:sz w:val="24"/>
          <w:lang w:val="mt-MT"/>
        </w:rPr>
        <w:t>vs</w:t>
      </w:r>
      <w:r w:rsidRPr="005917BE">
        <w:rPr>
          <w:i/>
          <w:iCs/>
          <w:sz w:val="24"/>
          <w:lang w:val="mt-MT"/>
        </w:rPr>
        <w:t xml:space="preserve"> De </w:t>
      </w:r>
      <w:r w:rsidRPr="005917BE">
        <w:rPr>
          <w:i/>
          <w:iCs/>
          <w:sz w:val="24"/>
          <w:lang w:val="mt-MT"/>
        </w:rPr>
        <w:t>Gregorio</w:t>
      </w:r>
      <w:r w:rsidRPr="005917BE">
        <w:rPr>
          <w:i/>
          <w:iCs/>
          <w:sz w:val="24"/>
          <w:lang w:val="mt-MT"/>
        </w:rPr>
        <w:t xml:space="preserve"> u </w:t>
      </w:r>
      <w:r w:rsidRPr="005917BE">
        <w:rPr>
          <w:i/>
          <w:iCs/>
          <w:sz w:val="24"/>
          <w:lang w:val="mt-MT"/>
        </w:rPr>
        <w:t>Clemente</w:t>
      </w:r>
      <w:r w:rsidRPr="00AF3EF1">
        <w:rPr>
          <w:sz w:val="24"/>
          <w:lang w:val="mt-MT"/>
        </w:rPr>
        <w:t xml:space="preserve">, C-200/07 u C-201/07, ECLI:EU:C:2008:579; is-sentenza tal-Qorti Ġenerali tad-19 ta’ Marzu 2010, </w:t>
      </w:r>
      <w:r w:rsidRPr="005917BE">
        <w:rPr>
          <w:i/>
          <w:iCs/>
          <w:sz w:val="24"/>
          <w:lang w:val="mt-MT"/>
        </w:rPr>
        <w:t>Gollnisch</w:t>
      </w:r>
      <w:r w:rsidRPr="005917BE">
        <w:rPr>
          <w:i/>
          <w:iCs/>
          <w:sz w:val="24"/>
          <w:lang w:val="mt-MT"/>
        </w:rPr>
        <w:t xml:space="preserve"> </w:t>
      </w:r>
      <w:r w:rsidRPr="005917BE">
        <w:rPr>
          <w:i/>
          <w:iCs/>
          <w:sz w:val="24"/>
          <w:lang w:val="mt-MT"/>
        </w:rPr>
        <w:t>vs</w:t>
      </w:r>
      <w:r w:rsidRPr="005917BE">
        <w:rPr>
          <w:i/>
          <w:iCs/>
          <w:sz w:val="24"/>
          <w:lang w:val="mt-MT"/>
        </w:rPr>
        <w:t xml:space="preserve"> Il-Parlament</w:t>
      </w:r>
      <w:r w:rsidRPr="00AF3EF1">
        <w:rPr>
          <w:sz w:val="24"/>
          <w:lang w:val="mt-MT"/>
        </w:rPr>
        <w:t xml:space="preserve">, T-42/05, ECLI:EU:T:2010:102; is-sentenza tal-Qorti tal-Ġustizzja tas-6 ta’ Settembru 2011, </w:t>
      </w:r>
      <w:r w:rsidRPr="005917BE">
        <w:rPr>
          <w:i/>
          <w:iCs/>
          <w:sz w:val="24"/>
          <w:lang w:val="mt-MT"/>
        </w:rPr>
        <w:t>Patriciello</w:t>
      </w:r>
      <w:r w:rsidRPr="00AF3EF1">
        <w:rPr>
          <w:sz w:val="24"/>
          <w:lang w:val="mt-MT"/>
        </w:rPr>
        <w:t xml:space="preserve">, C-163/10, ECLI: EU:C:2011:543; is-sentenza tal-Qorti Ġenerali tas-17 ta’ Jannar 2013, </w:t>
      </w:r>
      <w:r w:rsidRPr="005917BE">
        <w:rPr>
          <w:i/>
          <w:iCs/>
          <w:sz w:val="24"/>
          <w:lang w:val="mt-MT"/>
        </w:rPr>
        <w:t>Gollnisch</w:t>
      </w:r>
      <w:r w:rsidRPr="005917BE">
        <w:rPr>
          <w:i/>
          <w:iCs/>
          <w:sz w:val="24"/>
          <w:lang w:val="mt-MT"/>
        </w:rPr>
        <w:t xml:space="preserve"> </w:t>
      </w:r>
      <w:r w:rsidRPr="005917BE">
        <w:rPr>
          <w:i/>
          <w:iCs/>
          <w:sz w:val="24"/>
          <w:lang w:val="mt-MT"/>
        </w:rPr>
        <w:t>vs</w:t>
      </w:r>
      <w:r w:rsidRPr="005917BE">
        <w:rPr>
          <w:i/>
          <w:iCs/>
          <w:sz w:val="24"/>
          <w:lang w:val="mt-MT"/>
        </w:rPr>
        <w:t xml:space="preserve"> Il-Parlament</w:t>
      </w:r>
      <w:r w:rsidRPr="00AF3EF1">
        <w:rPr>
          <w:sz w:val="24"/>
          <w:lang w:val="mt-MT"/>
        </w:rPr>
        <w:t xml:space="preserve">, T-346/11 u T-347/11, ECLI:EU:T:2013:23; is-sentenza tal-Qorti tal-Ġustizzja tad-19 ta’ Diċembru 2019, </w:t>
      </w:r>
      <w:r w:rsidRPr="005917BE">
        <w:rPr>
          <w:i/>
          <w:iCs/>
          <w:sz w:val="24"/>
          <w:lang w:val="mt-MT"/>
        </w:rPr>
        <w:t>Junqueras</w:t>
      </w:r>
      <w:r w:rsidRPr="005917BE">
        <w:rPr>
          <w:i/>
          <w:iCs/>
          <w:sz w:val="24"/>
          <w:lang w:val="mt-MT"/>
        </w:rPr>
        <w:t xml:space="preserve"> </w:t>
      </w:r>
      <w:r w:rsidRPr="005917BE">
        <w:rPr>
          <w:i/>
          <w:iCs/>
          <w:sz w:val="24"/>
          <w:lang w:val="mt-MT"/>
        </w:rPr>
        <w:t>Vies</w:t>
      </w:r>
      <w:r w:rsidRPr="00AF3EF1">
        <w:rPr>
          <w:sz w:val="24"/>
          <w:lang w:val="mt-MT"/>
        </w:rPr>
        <w:t>, C-502/19, ECLI:EU:C:2019:1115.</w:t>
      </w:r>
    </w:p>
    <w:p w:rsidR="006019BE" w:rsidRPr="00AF3EF1" w:rsidP="00AF3EF1" w14:paraId="7985F084" w14:textId="4D2BEE94">
      <w:pPr>
        <w:pStyle w:val="FootnoteText"/>
        <w:ind w:left="567" w:hanging="567"/>
        <w:rPr>
          <w:sz w:val="24"/>
          <w:lang w:val="mt-MT"/>
        </w:rPr>
      </w:pPr>
      <w:r w:rsidRPr="00AF3EF1">
        <w:rPr>
          <w:sz w:val="24"/>
          <w:lang w:val="mt-MT"/>
        </w:rPr>
        <w:t xml:space="preserve"> </w:t>
      </w:r>
    </w:p>
  </w:footnote>
  <w:footnote w:id="3">
    <w:p w:rsidR="006019BE" w:rsidRPr="00AF3EF1" w:rsidP="00AF3EF1" w14:paraId="2268E5CD" w14:textId="385212F4">
      <w:pPr>
        <w:pStyle w:val="FootnoteText"/>
        <w:ind w:left="567" w:hanging="567"/>
        <w:rPr>
          <w:sz w:val="24"/>
          <w:lang w:val="mt-MT"/>
        </w:rPr>
      </w:pPr>
      <w:r w:rsidRPr="00AF3EF1">
        <w:rPr>
          <w:rStyle w:val="FootnoteReference"/>
          <w:sz w:val="24"/>
          <w:lang w:val="mt-MT"/>
        </w:rPr>
        <w:footnoteRef/>
      </w:r>
      <w:r w:rsidRPr="00AF3EF1" w:rsidR="00AF3EF1">
        <w:rPr>
          <w:sz w:val="24"/>
          <w:lang w:val="mt-MT"/>
        </w:rPr>
        <w:t xml:space="preserve"> </w:t>
      </w:r>
      <w:r w:rsidRPr="00AF3EF1" w:rsidR="00AF3EF1">
        <w:rPr>
          <w:sz w:val="24"/>
          <w:lang w:val="mt-MT"/>
        </w:rPr>
        <w:tab/>
      </w:r>
      <w:r w:rsidRPr="00AF3EF1">
        <w:rPr>
          <w:sz w:val="24"/>
          <w:lang w:val="mt-MT"/>
        </w:rPr>
        <w:t xml:space="preserve">Is-sentenza tal-Qorti Ġenerali tat-30 ta’ April 2019, </w:t>
      </w:r>
      <w:r w:rsidRPr="005917BE">
        <w:rPr>
          <w:i/>
          <w:iCs/>
          <w:sz w:val="24"/>
          <w:lang w:val="mt-MT"/>
        </w:rPr>
        <w:t>Briois</w:t>
      </w:r>
      <w:r w:rsidRPr="005917BE">
        <w:rPr>
          <w:i/>
          <w:iCs/>
          <w:sz w:val="24"/>
          <w:lang w:val="mt-MT"/>
        </w:rPr>
        <w:t xml:space="preserve"> </w:t>
      </w:r>
      <w:r w:rsidRPr="005917BE">
        <w:rPr>
          <w:i/>
          <w:iCs/>
          <w:sz w:val="24"/>
          <w:lang w:val="mt-MT"/>
        </w:rPr>
        <w:t>vs</w:t>
      </w:r>
      <w:r w:rsidRPr="005917BE">
        <w:rPr>
          <w:i/>
          <w:iCs/>
          <w:sz w:val="24"/>
          <w:lang w:val="mt-MT"/>
        </w:rPr>
        <w:t xml:space="preserve"> Il-Parlament</w:t>
      </w:r>
      <w:r w:rsidRPr="00AF3EF1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3EF1" w14:paraId="0936C43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3EF1" w14:paraId="1FC1F58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3EF1" w14:paraId="03539BA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9241730">
    <w:abstractNumId w:val="9"/>
  </w:num>
  <w:num w:numId="2" w16cid:durableId="1321545376">
    <w:abstractNumId w:val="9"/>
  </w:num>
  <w:num w:numId="3" w16cid:durableId="1686712997">
    <w:abstractNumId w:val="7"/>
  </w:num>
  <w:num w:numId="4" w16cid:durableId="482238307">
    <w:abstractNumId w:val="7"/>
  </w:num>
  <w:num w:numId="5" w16cid:durableId="590627021">
    <w:abstractNumId w:val="6"/>
  </w:num>
  <w:num w:numId="6" w16cid:durableId="1722048775">
    <w:abstractNumId w:val="6"/>
  </w:num>
  <w:num w:numId="7" w16cid:durableId="878082810">
    <w:abstractNumId w:val="5"/>
  </w:num>
  <w:num w:numId="8" w16cid:durableId="1335917950">
    <w:abstractNumId w:val="5"/>
  </w:num>
  <w:num w:numId="9" w16cid:durableId="2126270319">
    <w:abstractNumId w:val="4"/>
  </w:num>
  <w:num w:numId="10" w16cid:durableId="1486774673">
    <w:abstractNumId w:val="4"/>
  </w:num>
  <w:num w:numId="11" w16cid:durableId="1189443555">
    <w:abstractNumId w:val="8"/>
  </w:num>
  <w:num w:numId="12" w16cid:durableId="1664895783">
    <w:abstractNumId w:val="8"/>
  </w:num>
  <w:num w:numId="13" w16cid:durableId="1039890047">
    <w:abstractNumId w:val="3"/>
  </w:num>
  <w:num w:numId="14" w16cid:durableId="611519598">
    <w:abstractNumId w:val="3"/>
  </w:num>
  <w:num w:numId="15" w16cid:durableId="1865171885">
    <w:abstractNumId w:val="2"/>
  </w:num>
  <w:num w:numId="16" w16cid:durableId="1232812050">
    <w:abstractNumId w:val="2"/>
  </w:num>
  <w:num w:numId="17" w16cid:durableId="1040596679">
    <w:abstractNumId w:val="1"/>
  </w:num>
  <w:num w:numId="18" w16cid:durableId="91974222">
    <w:abstractNumId w:val="1"/>
  </w:num>
  <w:num w:numId="19" w16cid:durableId="1122462152">
    <w:abstractNumId w:val="0"/>
  </w:num>
  <w:num w:numId="20" w16cid:durableId="259727685">
    <w:abstractNumId w:val="0"/>
  </w:num>
  <w:num w:numId="21" w16cid:durableId="621302491">
    <w:abstractNumId w:val="9"/>
  </w:num>
  <w:num w:numId="22" w16cid:durableId="175384914">
    <w:abstractNumId w:val="7"/>
  </w:num>
  <w:num w:numId="23" w16cid:durableId="1769812854">
    <w:abstractNumId w:val="6"/>
  </w:num>
  <w:num w:numId="24" w16cid:durableId="1579286739">
    <w:abstractNumId w:val="5"/>
  </w:num>
  <w:num w:numId="25" w16cid:durableId="1419055563">
    <w:abstractNumId w:val="4"/>
  </w:num>
  <w:num w:numId="26" w16cid:durableId="426655374">
    <w:abstractNumId w:val="8"/>
  </w:num>
  <w:num w:numId="27" w16cid:durableId="498540111">
    <w:abstractNumId w:val="3"/>
  </w:num>
  <w:num w:numId="28" w16cid:durableId="746029024">
    <w:abstractNumId w:val="2"/>
  </w:num>
  <w:num w:numId="29" w16cid:durableId="975333946">
    <w:abstractNumId w:val="1"/>
  </w:num>
  <w:num w:numId="30" w16cid:durableId="1209075615">
    <w:abstractNumId w:val="0"/>
  </w:num>
  <w:num w:numId="31" w16cid:durableId="1789159337">
    <w:abstractNumId w:val="9"/>
  </w:num>
  <w:num w:numId="32" w16cid:durableId="803039357">
    <w:abstractNumId w:val="7"/>
  </w:num>
  <w:num w:numId="33" w16cid:durableId="488864281">
    <w:abstractNumId w:val="6"/>
  </w:num>
  <w:num w:numId="34" w16cid:durableId="1569460074">
    <w:abstractNumId w:val="5"/>
  </w:num>
  <w:num w:numId="35" w16cid:durableId="877741821">
    <w:abstractNumId w:val="4"/>
  </w:num>
  <w:num w:numId="36" w16cid:durableId="111831244">
    <w:abstractNumId w:val="8"/>
  </w:num>
  <w:num w:numId="37" w16cid:durableId="415321905">
    <w:abstractNumId w:val="3"/>
  </w:num>
  <w:num w:numId="38" w16cid:durableId="221868749">
    <w:abstractNumId w:val="2"/>
  </w:num>
  <w:num w:numId="39" w16cid:durableId="1467310182">
    <w:abstractNumId w:val="1"/>
  </w:num>
  <w:num w:numId="40" w16cid:durableId="1422604429">
    <w:abstractNumId w:val="0"/>
  </w:num>
  <w:num w:numId="41" w16cid:durableId="1085762896">
    <w:abstractNumId w:val="10"/>
  </w:num>
  <w:num w:numId="42" w16cid:durableId="1543786246">
    <w:abstractNumId w:val="10"/>
  </w:num>
  <w:num w:numId="43" w16cid:durableId="1487161163">
    <w:abstractNumId w:val="10"/>
  </w:num>
  <w:num w:numId="44" w16cid:durableId="18217323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23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F32AE"/>
    <w:rsid w:val="00204F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7BE"/>
    <w:rsid w:val="005C2568"/>
    <w:rsid w:val="005F1B17"/>
    <w:rsid w:val="006019B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851"/>
    <w:rsid w:val="00A778C7"/>
    <w:rsid w:val="00AA6571"/>
    <w:rsid w:val="00AB441E"/>
    <w:rsid w:val="00AB6293"/>
    <w:rsid w:val="00AE0928"/>
    <w:rsid w:val="00AF3B82"/>
    <w:rsid w:val="00AF3EF1"/>
    <w:rsid w:val="00B12E95"/>
    <w:rsid w:val="00B22876"/>
    <w:rsid w:val="00B558F0"/>
    <w:rsid w:val="00B9537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B6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7E5"/>
    <w:rsid w:val="00F5134D"/>
    <w:rsid w:val="00F74202"/>
    <w:rsid w:val="00F87713"/>
    <w:rsid w:val="00FB4360"/>
    <w:rsid w:val="00FD0C70"/>
    <w:rsid w:val="00FD15AD"/>
  </w:rsids>
  <w:docVars>
    <w:docVar w:name="dvdocse" w:val="A10-0118/2026"/>
    <w:docVar w:name="dvlangue" w:val="MT"/>
    <w:docVar w:name="dvnumam" w:val="0"/>
    <w:docVar w:name="dvpe" w:val="785.498"/>
    <w:docVar w:name="dvrapporteur" w:val="Rapporteur: "/>
    <w:docVar w:name="dvtitre" w:val="Riżoluzzjoni tal-Parlament Ewropew xx xx xxxx 2026 dwar it-talba għat-tneħħija tal-immunità ta’ Grzegorz Braun(2025/224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FB1B09"/>
  <w15:chartTrackingRefBased/>
  <w15:docId w15:val="{8C545E4A-4C6C-4C57-858B-11927A6F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019BE"/>
    <w:pPr>
      <w:spacing w:after="240"/>
      <w:ind w:left="567" w:hanging="567"/>
    </w:pPr>
  </w:style>
  <w:style w:type="paragraph" w:customStyle="1" w:styleId="EPComma">
    <w:name w:val="EPComma"/>
    <w:basedOn w:val="Normal"/>
    <w:rsid w:val="006019BE"/>
    <w:pPr>
      <w:spacing w:before="480" w:after="240"/>
    </w:pPr>
  </w:style>
  <w:style w:type="paragraph" w:styleId="Revision">
    <w:name w:val="Revision"/>
    <w:hidden/>
    <w:uiPriority w:val="99"/>
    <w:semiHidden/>
    <w:rsid w:val="00AA6571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F327E5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F327E5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4947</Characters>
  <Application>Microsoft Office Word</Application>
  <DocSecurity>0</DocSecurity>
  <Lines>170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2026-04-28T10:43:00Z</dcterms:created>
  <dcterms:modified xsi:type="dcterms:W3CDTF">2026-04-28T10:43:00Z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A10-0118/2026</vt:lpwstr>
  </property>
  <property fmtid="{D5CDD505-2E9C-101B-9397-08002B2CF9AE}" pid="4" name="&lt;Type&gt;">
    <vt:lpwstr>RR</vt:lpwstr>
  </property>
</Properties>
</file>