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1015625" w14:textId="77777777" w:rsidTr="0010095E">
        <w:tblPrEx>
          <w:tblW w:w="9072" w:type="dxa"/>
          <w:tblLook w:val="01E0"/>
        </w:tblPrEx>
        <w:trPr>
          <w:trHeight w:hRule="exact" w:val="1418"/>
        </w:trPr>
        <w:tc>
          <w:tcPr>
            <w:tcW w:w="6804" w:type="dxa"/>
            <w:shd w:val="clear" w:color="auto" w:fill="auto"/>
            <w:vAlign w:val="center"/>
          </w:tcPr>
          <w:p w:rsidR="00751A4A" w:rsidRPr="00E01683" w:rsidP="0010095E" w14:paraId="5B3024CA" w14:textId="77777777">
            <w:pPr>
              <w:pStyle w:val="EPName"/>
            </w:pPr>
            <w:r w:rsidRPr="00E01683">
              <w:t>Evropski parlament</w:t>
            </w:r>
          </w:p>
          <w:p w:rsidR="00751A4A" w:rsidRPr="00E01683" w:rsidP="005F1B17" w14:paraId="6100317F" w14:textId="77777777">
            <w:pPr>
              <w:pStyle w:val="EPTerm"/>
              <w:rPr>
                <w:rStyle w:val="HideTWBExt"/>
                <w:noProof w:val="0"/>
                <w:vanish w:val="0"/>
                <w:color w:val="auto"/>
              </w:rPr>
            </w:pPr>
            <w:r w:rsidRPr="00E01683">
              <w:t>2024</w:t>
            </w:r>
            <w:r w:rsidRPr="00E01683" w:rsidR="00817416">
              <w:t>-202</w:t>
            </w:r>
            <w:r w:rsidRPr="00E01683">
              <w:t>9</w:t>
            </w:r>
          </w:p>
        </w:tc>
        <w:tc>
          <w:tcPr>
            <w:tcW w:w="2268" w:type="dxa"/>
            <w:shd w:val="clear" w:color="auto" w:fill="auto"/>
          </w:tcPr>
          <w:p w:rsidR="00751A4A" w:rsidRPr="00E01683" w:rsidP="0010095E" w14:paraId="5F77C65A" w14:textId="77777777">
            <w:pPr>
              <w:pStyle w:val="EPLogo"/>
            </w:pPr>
            <w:r w:rsidRPr="00E0168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01683" w:rsidP="004C5D52" w14:paraId="7B528F0C" w14:textId="77777777">
      <w:pPr>
        <w:pStyle w:val="LineTop"/>
      </w:pPr>
    </w:p>
    <w:p w:rsidR="00680577" w:rsidRPr="00E01683" w:rsidP="00680577" w14:paraId="2946B5BF" w14:textId="77777777">
      <w:pPr>
        <w:pStyle w:val="EPBodyTA1"/>
      </w:pPr>
      <w:r w:rsidRPr="00E01683">
        <w:t>SPREJETA BESEDILA</w:t>
      </w:r>
    </w:p>
    <w:p w:rsidR="00D058B8" w:rsidRPr="00E01683" w:rsidP="00D058B8" w14:paraId="18B739EE" w14:textId="77777777">
      <w:pPr>
        <w:pStyle w:val="LineBottom"/>
      </w:pPr>
    </w:p>
    <w:p w:rsidR="003622CB" w:rsidRPr="00E01683" w:rsidP="003622CB" w14:paraId="48361542" w14:textId="562989CF">
      <w:pPr>
        <w:pStyle w:val="ATHeading1"/>
      </w:pPr>
      <w:bookmarkStart w:id="0" w:name="TANumber"/>
      <w:r w:rsidRPr="00E01683">
        <w:t>P10_TA(2026)</w:t>
      </w:r>
      <w:bookmarkEnd w:id="0"/>
      <w:r w:rsidRPr="00E01683" w:rsidR="00E01683">
        <w:t>0</w:t>
      </w:r>
      <w:r w:rsidRPr="00E01683" w:rsidR="00E01683">
        <w:t>109</w:t>
      </w:r>
    </w:p>
    <w:p w:rsidR="003622CB" w:rsidRPr="00E01683" w:rsidP="003622CB" w14:paraId="5DDA6ED9" w14:textId="77777777">
      <w:pPr>
        <w:pStyle w:val="ATHeading2"/>
      </w:pPr>
      <w:bookmarkStart w:id="1" w:name="title"/>
      <w:r w:rsidRPr="00E01683">
        <w:t>Zahteva za odvzem imunitete Grzegorzu Braunu</w:t>
      </w:r>
      <w:bookmarkEnd w:id="1"/>
    </w:p>
    <w:p w:rsidR="003622CB" w:rsidRPr="00E01683" w:rsidP="003622CB" w14:paraId="1FDB6DED" w14:textId="77777777">
      <w:pPr>
        <w:rPr>
          <w:i/>
          <w:vanish/>
        </w:rPr>
      </w:pPr>
      <w:r>
        <w:rPr>
          <w:i/>
        </w:rPr>
        <w:fldChar w:fldCharType="begin"/>
      </w:r>
      <w:r w:rsidRPr="00E01683">
        <w:rPr>
          <w:i/>
        </w:rPr>
        <w:instrText xml:space="preserve"> TC"(</w:instrText>
      </w:r>
      <w:bookmarkStart w:id="2" w:name="DocNumber"/>
      <w:r w:rsidRPr="00E01683">
        <w:rPr>
          <w:i/>
        </w:rPr>
        <w:instrText>A10-0118/2026</w:instrText>
      </w:r>
      <w:bookmarkEnd w:id="2"/>
      <w:r w:rsidRPr="00E01683">
        <w:rPr>
          <w:i/>
        </w:rPr>
        <w:instrText xml:space="preserve"> - Poročevalec: Adrián Vázquez Lázara)"\l3 \n&gt; \* MERGEFORMAT </w:instrText>
      </w:r>
      <w:r>
        <w:rPr>
          <w:i/>
        </w:rPr>
        <w:fldChar w:fldCharType="end"/>
      </w:r>
    </w:p>
    <w:p w:rsidR="003622CB" w:rsidRPr="00E01683" w:rsidP="003622CB" w14:paraId="4014D093" w14:textId="77777777">
      <w:pPr>
        <w:rPr>
          <w:vanish/>
        </w:rPr>
      </w:pPr>
      <w:bookmarkStart w:id="3" w:name="Commission"/>
      <w:r w:rsidRPr="00E01683">
        <w:rPr>
          <w:vanish/>
        </w:rPr>
        <w:t>Odbor za pravne zadeve</w:t>
      </w:r>
      <w:bookmarkEnd w:id="3"/>
    </w:p>
    <w:p w:rsidR="003622CB" w:rsidRPr="00E01683" w:rsidP="003622CB" w14:paraId="79926912" w14:textId="77777777">
      <w:pPr>
        <w:rPr>
          <w:vanish/>
        </w:rPr>
      </w:pPr>
      <w:bookmarkStart w:id="4" w:name="PE"/>
      <w:r w:rsidRPr="00E01683">
        <w:rPr>
          <w:vanish/>
        </w:rPr>
        <w:t>PE785.498</w:t>
      </w:r>
      <w:bookmarkEnd w:id="4"/>
    </w:p>
    <w:p w:rsidR="003622CB" w:rsidRPr="00E01683" w:rsidP="003622CB" w14:paraId="00D5D74C" w14:textId="1298ADDB">
      <w:pPr>
        <w:pStyle w:val="ATHeading3"/>
      </w:pPr>
      <w:bookmarkStart w:id="5" w:name="Sujet"/>
      <w:r w:rsidRPr="00E01683">
        <w:t xml:space="preserve">Sklep Evropskega parlamenta z dne </w:t>
      </w:r>
      <w:r w:rsidRPr="00E01683" w:rsidR="00E27EF3">
        <w:t>28</w:t>
      </w:r>
      <w:r w:rsidRPr="00E01683">
        <w:t>. aprila 2026 o zahtevi za odvzem imunitete Grzegorzu Braunu</w:t>
      </w:r>
      <w:bookmarkEnd w:id="5"/>
      <w:r w:rsidRPr="00E01683">
        <w:t xml:space="preserve"> </w:t>
      </w:r>
      <w:bookmarkStart w:id="6" w:name="References"/>
      <w:r w:rsidRPr="00E01683">
        <w:t>(2025/2241(IMM))</w:t>
      </w:r>
      <w:bookmarkEnd w:id="6"/>
    </w:p>
    <w:p w:rsidR="006E5223" w:rsidRPr="00E01683" w:rsidP="006E5223" w14:paraId="7CE7E5CC" w14:textId="77777777">
      <w:pPr>
        <w:pStyle w:val="EPComma"/>
      </w:pPr>
      <w:bookmarkStart w:id="7" w:name="TextBodyBegin"/>
      <w:bookmarkEnd w:id="7"/>
      <w:r w:rsidRPr="00E01683">
        <w:rPr>
          <w:i/>
        </w:rPr>
        <w:t>Evropski parlament</w:t>
      </w:r>
      <w:r w:rsidRPr="00E01683">
        <w:t>,</w:t>
      </w:r>
    </w:p>
    <w:p w:rsidR="006E5223" w:rsidRPr="00E01683" w:rsidP="006E5223" w14:paraId="6767BCDE" w14:textId="1F75F63B">
      <w:pPr>
        <w:pStyle w:val="NormalHanging12a"/>
      </w:pPr>
      <w:r w:rsidRPr="00E01683">
        <w:t>–</w:t>
      </w:r>
      <w:r w:rsidRPr="00E01683">
        <w:tab/>
        <w:t xml:space="preserve">ob upoštevanju zahteve za odvzem imunitete Grzegorzu Braunu, ki jo je </w:t>
      </w:r>
      <w:r w:rsidRPr="00E01683" w:rsidR="00E27EF3">
        <w:t>z dopisom</w:t>
      </w:r>
      <w:r w:rsidRPr="00E01683">
        <w:t xml:space="preserve"> z dne 31. oktobra 2025 na zahtevo vrhovnega poveljnika poljske policije posredoval generalni državni tožilec </w:t>
      </w:r>
      <w:r w:rsidRPr="00E01683" w:rsidR="005539BC">
        <w:t xml:space="preserve">Republike Poljske </w:t>
      </w:r>
      <w:r w:rsidRPr="00E01683">
        <w:t>v zvezi s kazenskim postopkom zoper Grzegorza Brauna in ki je bila razglašena na plenarnem zasedanju 13. novembra 2025,</w:t>
      </w:r>
    </w:p>
    <w:p w:rsidR="006E5223" w:rsidRPr="00E01683" w:rsidP="006E5223" w14:paraId="11C570EF" w14:textId="77777777">
      <w:pPr>
        <w:pStyle w:val="NormalHanging12a"/>
      </w:pPr>
      <w:r w:rsidRPr="00E01683">
        <w:t>–</w:t>
      </w:r>
      <w:r w:rsidRPr="00E01683">
        <w:tab/>
        <w:t>ob upoštevanju tega, da se šteje, da se je Grzegorz Braun odrekel pravici do zagovora v skladu s členom 9(6) Poslovnika,</w:t>
      </w:r>
    </w:p>
    <w:p w:rsidR="006E5223" w:rsidRPr="00E01683" w:rsidP="006E5223" w14:paraId="5E8A43F5" w14:textId="77777777">
      <w:pPr>
        <w:pStyle w:val="NormalHanging12a"/>
      </w:pPr>
      <w:r w:rsidRPr="00E01683">
        <w:t>–</w:t>
      </w:r>
      <w:r w:rsidRPr="00E01683">
        <w:tab/>
        <w:t>ob upoštevanju členov 8 in 9 Protokola št. 7 o privilegijih in imunitetah Evropske unije ter člena 6(2) Akta o volitvah poslancev Evropskega parlamenta s splošnimi neposrednimi volitvami z dne 20. septembra 1976,</w:t>
      </w:r>
    </w:p>
    <w:p w:rsidR="006E5223" w:rsidRPr="00E01683" w:rsidP="006E5223" w14:paraId="795E049D" w14:textId="77777777">
      <w:pPr>
        <w:pStyle w:val="NormalHanging12a"/>
      </w:pPr>
      <w:r w:rsidRPr="00E01683">
        <w:t>–</w:t>
      </w:r>
      <w:r w:rsidRPr="00E01683">
        <w:tab/>
        <w:t>ob upoštevanju sodb Sodišča Evropske unije z dne 21. oktobra 2008, 19. marca 2010, 6. septembra 2011, 17. januarja 2013 in 19. decembra 2019</w:t>
      </w:r>
      <w:r>
        <w:rPr>
          <w:rStyle w:val="FootnoteReference"/>
        </w:rPr>
        <w:footnoteReference w:id="2"/>
      </w:r>
      <w:r w:rsidRPr="00E01683">
        <w:t>,</w:t>
      </w:r>
    </w:p>
    <w:p w:rsidR="006E5223" w:rsidRPr="00E01683" w:rsidP="006E5223" w14:paraId="26E3E97B" w14:textId="77777777">
      <w:pPr>
        <w:pStyle w:val="NormalHanging12a"/>
      </w:pPr>
      <w:r w:rsidRPr="00E01683">
        <w:t>–</w:t>
      </w:r>
      <w:r w:rsidRPr="00E01683">
        <w:tab/>
        <w:t>ob upoštevanju člena 105(2) in (5) ustave Republike Poljske,</w:t>
      </w:r>
    </w:p>
    <w:p w:rsidR="006E5223" w:rsidRPr="00E01683" w:rsidP="006E5223" w14:paraId="1080E3A3" w14:textId="77777777">
      <w:pPr>
        <w:pStyle w:val="NormalHanging12a"/>
      </w:pPr>
      <w:r w:rsidRPr="00E01683">
        <w:t>–</w:t>
      </w:r>
      <w:r w:rsidRPr="00E01683">
        <w:tab/>
        <w:t>ob upoštevanju člena 5(2), člena 6(1) in člena 9 Poslovnika,</w:t>
      </w:r>
    </w:p>
    <w:p w:rsidR="006E5223" w:rsidRPr="00E01683" w:rsidP="006E5223" w14:paraId="3BA9906C" w14:textId="77777777">
      <w:pPr>
        <w:pStyle w:val="NormalHanging12a"/>
      </w:pPr>
      <w:r w:rsidRPr="00E01683">
        <w:t>–</w:t>
      </w:r>
      <w:r w:rsidRPr="00E01683">
        <w:tab/>
        <w:t>ob upoštevanju poročila Odbora za pravne zadeve (A10</w:t>
      </w:r>
      <w:r w:rsidRPr="00E01683">
        <w:noBreakHyphen/>
        <w:t>0118/2026),</w:t>
      </w:r>
    </w:p>
    <w:p w:rsidR="006E5223" w:rsidRPr="00E01683" w:rsidP="006E5223" w14:paraId="73165F84" w14:textId="0B34AC64">
      <w:pPr>
        <w:pStyle w:val="NormalHanging12a"/>
      </w:pPr>
      <w:r w:rsidRPr="00E01683">
        <w:t>A.</w:t>
      </w:r>
      <w:r w:rsidRPr="00E01683">
        <w:tab/>
        <w:t xml:space="preserve">ker je generalni državni tožilec </w:t>
      </w:r>
      <w:r w:rsidRPr="00E01683" w:rsidR="00105532">
        <w:t xml:space="preserve">Republike Poljske </w:t>
      </w:r>
      <w:r w:rsidRPr="00E01683">
        <w:t xml:space="preserve">v </w:t>
      </w:r>
      <w:r w:rsidRPr="00E01683" w:rsidR="00E27EF3">
        <w:t xml:space="preserve">dopisu </w:t>
      </w:r>
      <w:r w:rsidRPr="00E01683">
        <w:t xml:space="preserve">z dne 31. oktobra 2025 </w:t>
      </w:r>
      <w:r w:rsidRPr="00E01683">
        <w:t xml:space="preserve">posredoval zahtevo vrhovnega poveljnika poljske policije za odvzem imunitete Grzegorzu Braunu, poslancu Evropskega parlamenta, izvoljenem na Poljskem, v zvezi z očitanimi </w:t>
      </w:r>
      <w:r w:rsidRPr="00E01683" w:rsidR="00331D39">
        <w:t>prekrški</w:t>
      </w:r>
      <w:r w:rsidRPr="00E01683">
        <w:t>, storjenimi leta 2025;</w:t>
      </w:r>
    </w:p>
    <w:p w:rsidR="006E5223" w:rsidRPr="00E01683" w:rsidP="006E5223" w14:paraId="3C5B3474" w14:textId="77777777">
      <w:pPr>
        <w:pStyle w:val="NormalHanging12a"/>
      </w:pPr>
      <w:r w:rsidRPr="00E01683">
        <w:rPr>
          <w:shd w:val="clear" w:color="auto" w:fill="FFFFFF"/>
        </w:rPr>
        <w:t>B.</w:t>
      </w:r>
      <w:r w:rsidRPr="00E01683">
        <w:rPr>
          <w:shd w:val="clear" w:color="auto" w:fill="FFFFFF"/>
        </w:rPr>
        <w:tab/>
      </w:r>
      <w:r w:rsidRPr="00E01683">
        <w:t>ker je v zahtevi navedeno, da naj bi Grzegorz Braun 10. julija 2025 med spominsko slovesnostjo ob 84. obletnici pokola judovskega prebivalstva oviral cestni promet, ko je skupaj s skupino ljudi stal sredi javne ceste v kraju Jedwabne; ker očitano dejanje predstavlja prekršek iz člena 90(1) zakona z dne 20. maja 1971 – zakona o prekrških;</w:t>
      </w:r>
    </w:p>
    <w:p w:rsidR="006E5223" w:rsidRPr="00E01683" w:rsidP="006E5223" w14:paraId="11F81664" w14:textId="77777777">
      <w:pPr>
        <w:pStyle w:val="NormalHanging12a"/>
        <w:rPr>
          <w:szCs w:val="24"/>
          <w:shd w:val="clear" w:color="auto" w:fill="FFFFFF"/>
        </w:rPr>
      </w:pPr>
      <w:r w:rsidRPr="00E01683">
        <w:rPr>
          <w:shd w:val="clear" w:color="auto" w:fill="FFFFFF"/>
        </w:rPr>
        <w:t>C.</w:t>
      </w:r>
      <w:r w:rsidRPr="00E01683">
        <w:rPr>
          <w:shd w:val="clear" w:color="auto" w:fill="FFFFFF"/>
        </w:rPr>
        <w:tab/>
        <w:t>ker</w:t>
      </w:r>
      <w:r w:rsidRPr="00E01683">
        <w:t xml:space="preserve"> je v zahtevi</w:t>
      </w:r>
      <w:r w:rsidRPr="00E01683">
        <w:rPr>
          <w:shd w:val="clear" w:color="auto" w:fill="FFFFFF"/>
        </w:rPr>
        <w:t xml:space="preserve"> </w:t>
      </w:r>
      <w:r w:rsidRPr="00E01683">
        <w:t>navedeno, da Grzegorz Braun 10. julija 2025 med spominsko slovesnostjo ob 84. obletnici pokola judovskega prebivalstva blizu vhoda v judovsko pokopališče v kraju Jedwabne, medtem ko je skupaj s skupino ljudi stal sredi javne ceste, naj ne bi upošteval ukazov policista, ki ga je pozval, naj ravna v skladu z zakonom in dovoli prehod vozil, s čimer je namerno in znatno oviral opravljanje uradnih dolžnosti; ker očitano dejanje predstavlja prekršek iz člena 65a zakona z dne 20. maja 1971 – zakona o prekrških</w:t>
      </w:r>
      <w:r w:rsidRPr="00E01683">
        <w:rPr>
          <w:shd w:val="clear" w:color="auto" w:fill="FFFFFF"/>
        </w:rPr>
        <w:t>;</w:t>
      </w:r>
    </w:p>
    <w:p w:rsidR="006E5223" w:rsidRPr="00E01683" w:rsidP="006E5223" w14:paraId="757FC268" w14:textId="7EC62F52">
      <w:pPr>
        <w:pStyle w:val="NormalHanging12a"/>
        <w:rPr>
          <w:szCs w:val="24"/>
          <w:shd w:val="clear" w:color="auto" w:fill="FFFFFF"/>
        </w:rPr>
      </w:pPr>
      <w:r w:rsidRPr="00E01683">
        <w:t>D.</w:t>
      </w:r>
      <w:r w:rsidRPr="00E01683">
        <w:tab/>
      </w:r>
      <w:r w:rsidRPr="00E01683">
        <w:rPr>
          <w:shd w:val="clear" w:color="auto" w:fill="FFFFFF"/>
        </w:rPr>
        <w:t xml:space="preserve">ker je bil </w:t>
      </w:r>
      <w:r w:rsidRPr="00E01683">
        <w:t>Grzegorz Braun</w:t>
      </w:r>
      <w:r w:rsidRPr="00E01683">
        <w:rPr>
          <w:shd w:val="clear" w:color="auto" w:fill="FFFFFF"/>
        </w:rPr>
        <w:t xml:space="preserve"> na evropskih volitvah junija 2024 izvoljen v Evropski parlament in je bil torej v času očitanih </w:t>
      </w:r>
      <w:r w:rsidRPr="00E01683" w:rsidR="00331D39">
        <w:rPr>
          <w:shd w:val="clear" w:color="auto" w:fill="FFFFFF"/>
        </w:rPr>
        <w:t>prekrškov</w:t>
      </w:r>
      <w:r w:rsidRPr="00E01683">
        <w:rPr>
          <w:shd w:val="clear" w:color="auto" w:fill="FFFFFF"/>
        </w:rPr>
        <w:t xml:space="preserve"> poslanec Evropskega parlamenta;</w:t>
      </w:r>
    </w:p>
    <w:p w:rsidR="006E5223" w:rsidRPr="00E01683" w:rsidP="006E5223" w14:paraId="415205F2" w14:textId="1412696F">
      <w:pPr>
        <w:pStyle w:val="NormalHanging12a"/>
      </w:pPr>
      <w:r w:rsidRPr="00E01683">
        <w:t>E.</w:t>
      </w:r>
      <w:r w:rsidRPr="00E01683">
        <w:tab/>
        <w:t xml:space="preserve">ker pri očitanih </w:t>
      </w:r>
      <w:r w:rsidRPr="00E01683" w:rsidR="00331D39">
        <w:t>prekrških</w:t>
      </w:r>
      <w:r w:rsidRPr="00E01683">
        <w:t xml:space="preserve"> ne gre za mnenje ali glas, ki bi ga Grzegorz Braun izrazil pri opravljanju svojih dolžnosti v smislu člena 8 Protokola št. 7 o privilegijih in imunitetah Evropske unije, in ker posledična zahteva za odvzem imunitete Grzegorzu Braunu ni povezana s tem;</w:t>
      </w:r>
    </w:p>
    <w:p w:rsidR="006E5223" w:rsidRPr="00E01683" w:rsidP="006E5223" w14:paraId="02BAD9A1" w14:textId="6F74CF1A">
      <w:pPr>
        <w:pStyle w:val="NormalHanging12a"/>
      </w:pPr>
      <w:r w:rsidRPr="00E01683">
        <w:t>F.</w:t>
      </w:r>
      <w:r w:rsidRPr="00E01683">
        <w:tab/>
        <w:t xml:space="preserve">ker v skladu s členom 9, prvi odstavek, točka (a), Protokola št. 7 o privilegijih in imunitetah Evropske unije med zasedanjem Evropskega parlamenta njegovi poslanci na ozemlju svoje države </w:t>
      </w:r>
      <w:r w:rsidRPr="00E01683" w:rsidR="00105532">
        <w:t xml:space="preserve">članice </w:t>
      </w:r>
      <w:r w:rsidRPr="00E01683">
        <w:t>uživajo imunitete, priznane poslancem parlamenta te države članice;</w:t>
      </w:r>
    </w:p>
    <w:p w:rsidR="006E5223" w:rsidRPr="00E01683" w:rsidP="006E5223" w14:paraId="553B9841" w14:textId="2163788E">
      <w:pPr>
        <w:pStyle w:val="NormalHanging12a"/>
      </w:pPr>
      <w:r w:rsidRPr="00E01683">
        <w:t>G.</w:t>
      </w:r>
      <w:r w:rsidRPr="00E01683">
        <w:tab/>
        <w:t xml:space="preserve">ker v skladu s členom 105(2) in (5) ustave </w:t>
      </w:r>
      <w:r w:rsidRPr="00E01683" w:rsidR="00105532">
        <w:t xml:space="preserve">Republike Poljske </w:t>
      </w:r>
      <w:r w:rsidRPr="00E01683">
        <w:t>poslanec od dneva razglasitve volilnih rezultatov do dneva izteka svojega mandata ne more biti spoznan za kazensko odgovornega in se ga ne sme pridržati ali prijeti brez privolitve sejma, razen kadar se ga zaloti pri storitvi kaznivega dejanja in je njegovo pridržanje nujno za zagotovitev pravilnega poteka postopka;</w:t>
      </w:r>
    </w:p>
    <w:p w:rsidR="006E5223" w:rsidRPr="00E01683" w:rsidP="006E5223" w14:paraId="6A4CDA3E" w14:textId="77777777">
      <w:pPr>
        <w:pStyle w:val="NormalHanging12a"/>
      </w:pPr>
      <w:r w:rsidRPr="00E01683">
        <w:t>H.</w:t>
      </w:r>
      <w:r w:rsidRPr="00E01683">
        <w:tab/>
        <w:t>ker je namen poslanske imunitete iz Protokola št. 7 o privilegijih in imunitetah Evropske unije zaščititi Parlament in njegove poslance pred sodnimi postopki v zvezi z dejavnostmi, ki se izvajajo pri opravljanju parlamentarnih dolžnosti in jih ni mogoče ločiti od teh dolžnosti;</w:t>
      </w:r>
    </w:p>
    <w:p w:rsidR="006E5223" w:rsidRPr="00E01683" w:rsidP="006E5223" w14:paraId="215D6B32" w14:textId="77777777">
      <w:pPr>
        <w:pStyle w:val="NormalHanging12a"/>
      </w:pPr>
      <w:r w:rsidRPr="00E01683">
        <w:t>I.</w:t>
      </w:r>
      <w:r w:rsidRPr="00E01683">
        <w:tab/>
        <w:t>ker v skladu s členom 5(2) Poslovnika parlamentarna imuniteta ni osebni privilegij poslanca, temveč je jamstvo neodvisnosti Parlamenta kot celote in njegovih poslancev;</w:t>
      </w:r>
    </w:p>
    <w:p w:rsidR="006E5223" w:rsidRPr="00E01683" w:rsidP="006E5223" w14:paraId="17E61B82" w14:textId="0014A007">
      <w:pPr>
        <w:pStyle w:val="NormalHanging12a"/>
      </w:pPr>
      <w:r w:rsidRPr="00E01683">
        <w:t>J.</w:t>
      </w:r>
      <w:r w:rsidRPr="00E01683">
        <w:tab/>
        <w:t xml:space="preserve">ker v tem primeru Parlament ni našel dokaza o tem, da gre za </w:t>
      </w:r>
      <w:r w:rsidRPr="00E01683">
        <w:rPr>
          <w:i/>
        </w:rPr>
        <w:t>fumus persecutionis</w:t>
      </w:r>
      <w:r w:rsidRPr="00E01683">
        <w:t xml:space="preserve">, kar pomeni dejstva, ki kažejo, da bi bil namen sodnega postopka škodovati politični dejavnosti </w:t>
      </w:r>
      <w:bookmarkStart w:id="8" w:name="_Hlk223449412"/>
      <w:r w:rsidRPr="00E01683">
        <w:t xml:space="preserve">Grzegorza Brauna </w:t>
      </w:r>
      <w:bookmarkEnd w:id="8"/>
      <w:r w:rsidRPr="00E01683" w:rsidR="00105532">
        <w:t>kot poslanca Evropskega parlamenta in tako neodvisnosti Parlamenta</w:t>
      </w:r>
      <w:r w:rsidRPr="00E01683">
        <w:t>;</w:t>
      </w:r>
    </w:p>
    <w:p w:rsidR="006E5223" w:rsidRPr="00E01683" w:rsidP="006E5223" w14:paraId="71BA027F" w14:textId="77777777">
      <w:pPr>
        <w:pStyle w:val="NormalHanging12a"/>
      </w:pPr>
      <w:r w:rsidRPr="00E01683">
        <w:t>K.</w:t>
      </w:r>
      <w:r w:rsidRPr="00E01683">
        <w:tab/>
        <w:t xml:space="preserve">ker Parlamenta ni mogoče enačiti s sodiščem in ker poslanec v zvezi s postopkom za </w:t>
      </w:r>
      <w:r w:rsidRPr="00E01683">
        <w:t>odvzem imunitete ne sme biti obravnavan kot „obtoženec“</w:t>
      </w:r>
      <w:r>
        <w:rPr>
          <w:vertAlign w:val="superscript"/>
        </w:rPr>
        <w:footnoteReference w:id="3"/>
      </w:r>
      <w:r w:rsidRPr="00E01683">
        <w:t>;</w:t>
      </w:r>
    </w:p>
    <w:p w:rsidR="006E5223" w:rsidRPr="00E01683" w:rsidP="006E5223" w14:paraId="07FEABCA" w14:textId="77777777">
      <w:pPr>
        <w:pStyle w:val="NormalHanging12a"/>
      </w:pPr>
      <w:r w:rsidRPr="00E01683">
        <w:t>1.</w:t>
      </w:r>
      <w:r w:rsidRPr="00E01683">
        <w:tab/>
        <w:t>sklene, da se Grzegorzu Braunu odvzame imuniteta;</w:t>
      </w:r>
    </w:p>
    <w:p w:rsidR="00E365E1" w:rsidRPr="00E01683" w:rsidP="00F216AD" w14:paraId="7EFD767C" w14:textId="736A6152">
      <w:pPr>
        <w:ind w:left="567" w:hanging="567"/>
      </w:pPr>
      <w:r w:rsidRPr="00E01683">
        <w:t>2.</w:t>
      </w:r>
      <w:r w:rsidRPr="00E01683">
        <w:tab/>
        <w:t>naroči svoji predsednici, naj ta sklep in poročilo pristojnega odbora nemudoma posreduje pristojnemu organu Republike Poljske in Grzegorzu Braunu.</w:t>
      </w:r>
    </w:p>
    <w:sectPr w:rsidSect="000B4A0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4A0B" w14:paraId="19D7595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4A0B" w14:paraId="13D18A4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4A0B" w14:paraId="1CAFAB8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22CB" w:rsidRPr="000B4A0B" w14:paraId="1F66E1C2" w14:textId="77777777">
      <w:r w:rsidRPr="000B4A0B">
        <w:separator/>
      </w:r>
    </w:p>
  </w:footnote>
  <w:footnote w:type="continuationSeparator" w:id="1">
    <w:p w:rsidR="003622CB" w:rsidRPr="000B4A0B" w14:paraId="28F82B5F" w14:textId="77777777">
      <w:r w:rsidRPr="000B4A0B">
        <w:continuationSeparator/>
      </w:r>
    </w:p>
  </w:footnote>
  <w:footnote w:id="2">
    <w:p w:rsidR="006E5223" w:rsidRPr="000B4A0B" w:rsidP="000B4A0B" w14:paraId="3B799CD6" w14:textId="11131373">
      <w:pPr>
        <w:pStyle w:val="FootnoteText"/>
        <w:ind w:left="567" w:hanging="567"/>
        <w:rPr>
          <w:sz w:val="24"/>
          <w:lang w:val="sl-SI"/>
        </w:rPr>
      </w:pPr>
      <w:r w:rsidRPr="000B4A0B">
        <w:rPr>
          <w:rStyle w:val="FootnoteReference"/>
          <w:sz w:val="24"/>
          <w:lang w:val="sl-SI"/>
        </w:rPr>
        <w:footnoteRef/>
      </w:r>
      <w:r w:rsidRPr="000B4A0B" w:rsidR="000B4A0B">
        <w:rPr>
          <w:sz w:val="24"/>
          <w:lang w:val="sl-SI"/>
        </w:rPr>
        <w:t xml:space="preserve"> </w:t>
      </w:r>
      <w:r w:rsidRPr="000B4A0B" w:rsidR="000B4A0B">
        <w:rPr>
          <w:sz w:val="24"/>
          <w:lang w:val="sl-SI"/>
        </w:rPr>
        <w:tab/>
      </w:r>
      <w:r w:rsidRPr="000B4A0B">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 Parlament, T-346/11 in T-347/11, ECLI:EU:T:2013:23, in sodba Sodišča z dne 19. decembra 2019, Junqueras Vies, C-502/19, ECLI:EU:C:2019:1115.</w:t>
      </w:r>
    </w:p>
  </w:footnote>
  <w:footnote w:id="3">
    <w:p w:rsidR="006E5223" w:rsidRPr="000B4A0B" w:rsidP="000B4A0B" w14:paraId="4382860C" w14:textId="1287F53C">
      <w:pPr>
        <w:pStyle w:val="FootnoteText"/>
        <w:ind w:left="567" w:hanging="567"/>
        <w:rPr>
          <w:sz w:val="24"/>
          <w:lang w:val="sl-SI"/>
        </w:rPr>
      </w:pPr>
      <w:r w:rsidRPr="000B4A0B">
        <w:rPr>
          <w:rStyle w:val="FootnoteReference"/>
          <w:sz w:val="24"/>
          <w:lang w:val="sl-SI"/>
        </w:rPr>
        <w:footnoteRef/>
      </w:r>
      <w:r w:rsidRPr="000B4A0B" w:rsidR="000B4A0B">
        <w:rPr>
          <w:sz w:val="24"/>
          <w:lang w:val="sl-SI"/>
        </w:rPr>
        <w:t xml:space="preserve"> </w:t>
      </w:r>
      <w:r w:rsidRPr="000B4A0B" w:rsidR="000B4A0B">
        <w:rPr>
          <w:sz w:val="24"/>
          <w:lang w:val="sl-SI"/>
        </w:rPr>
        <w:tab/>
      </w:r>
      <w:r w:rsidRPr="000B4A0B">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4A0B" w14:paraId="1291882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4A0B" w14:paraId="130976D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4A0B" w14:paraId="07D649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8463273">
    <w:abstractNumId w:val="9"/>
  </w:num>
  <w:num w:numId="2" w16cid:durableId="1163354456">
    <w:abstractNumId w:val="9"/>
  </w:num>
  <w:num w:numId="3" w16cid:durableId="1626153483">
    <w:abstractNumId w:val="7"/>
  </w:num>
  <w:num w:numId="4" w16cid:durableId="1719473831">
    <w:abstractNumId w:val="7"/>
  </w:num>
  <w:num w:numId="5" w16cid:durableId="1856066662">
    <w:abstractNumId w:val="6"/>
  </w:num>
  <w:num w:numId="6" w16cid:durableId="1384139875">
    <w:abstractNumId w:val="6"/>
  </w:num>
  <w:num w:numId="7" w16cid:durableId="1921060509">
    <w:abstractNumId w:val="5"/>
  </w:num>
  <w:num w:numId="8" w16cid:durableId="1292051619">
    <w:abstractNumId w:val="5"/>
  </w:num>
  <w:num w:numId="9" w16cid:durableId="618071697">
    <w:abstractNumId w:val="4"/>
  </w:num>
  <w:num w:numId="10" w16cid:durableId="775096668">
    <w:abstractNumId w:val="4"/>
  </w:num>
  <w:num w:numId="11" w16cid:durableId="1873227383">
    <w:abstractNumId w:val="8"/>
  </w:num>
  <w:num w:numId="12" w16cid:durableId="2053843200">
    <w:abstractNumId w:val="8"/>
  </w:num>
  <w:num w:numId="13" w16cid:durableId="550188603">
    <w:abstractNumId w:val="3"/>
  </w:num>
  <w:num w:numId="14" w16cid:durableId="1997295527">
    <w:abstractNumId w:val="3"/>
  </w:num>
  <w:num w:numId="15" w16cid:durableId="904952334">
    <w:abstractNumId w:val="2"/>
  </w:num>
  <w:num w:numId="16" w16cid:durableId="69621860">
    <w:abstractNumId w:val="2"/>
  </w:num>
  <w:num w:numId="17" w16cid:durableId="1292134182">
    <w:abstractNumId w:val="1"/>
  </w:num>
  <w:num w:numId="18" w16cid:durableId="1877691995">
    <w:abstractNumId w:val="1"/>
  </w:num>
  <w:num w:numId="19" w16cid:durableId="293483137">
    <w:abstractNumId w:val="0"/>
  </w:num>
  <w:num w:numId="20" w16cid:durableId="1462111181">
    <w:abstractNumId w:val="0"/>
  </w:num>
  <w:num w:numId="21" w16cid:durableId="592978533">
    <w:abstractNumId w:val="9"/>
  </w:num>
  <w:num w:numId="22" w16cid:durableId="375004506">
    <w:abstractNumId w:val="7"/>
  </w:num>
  <w:num w:numId="23" w16cid:durableId="1692949738">
    <w:abstractNumId w:val="6"/>
  </w:num>
  <w:num w:numId="24" w16cid:durableId="1018770943">
    <w:abstractNumId w:val="5"/>
  </w:num>
  <w:num w:numId="25" w16cid:durableId="1018776972">
    <w:abstractNumId w:val="4"/>
  </w:num>
  <w:num w:numId="26" w16cid:durableId="1206790322">
    <w:abstractNumId w:val="8"/>
  </w:num>
  <w:num w:numId="27" w16cid:durableId="633877558">
    <w:abstractNumId w:val="3"/>
  </w:num>
  <w:num w:numId="28" w16cid:durableId="1490561291">
    <w:abstractNumId w:val="2"/>
  </w:num>
  <w:num w:numId="29" w16cid:durableId="143469867">
    <w:abstractNumId w:val="1"/>
  </w:num>
  <w:num w:numId="30" w16cid:durableId="1453941168">
    <w:abstractNumId w:val="0"/>
  </w:num>
  <w:num w:numId="31" w16cid:durableId="593981858">
    <w:abstractNumId w:val="9"/>
  </w:num>
  <w:num w:numId="32" w16cid:durableId="268467544">
    <w:abstractNumId w:val="7"/>
  </w:num>
  <w:num w:numId="33" w16cid:durableId="1670863411">
    <w:abstractNumId w:val="6"/>
  </w:num>
  <w:num w:numId="34" w16cid:durableId="461776211">
    <w:abstractNumId w:val="5"/>
  </w:num>
  <w:num w:numId="35" w16cid:durableId="173150748">
    <w:abstractNumId w:val="4"/>
  </w:num>
  <w:num w:numId="36" w16cid:durableId="2025590944">
    <w:abstractNumId w:val="8"/>
  </w:num>
  <w:num w:numId="37" w16cid:durableId="312759938">
    <w:abstractNumId w:val="3"/>
  </w:num>
  <w:num w:numId="38" w16cid:durableId="1329021289">
    <w:abstractNumId w:val="2"/>
  </w:num>
  <w:num w:numId="39" w16cid:durableId="858274007">
    <w:abstractNumId w:val="1"/>
  </w:num>
  <w:num w:numId="40" w16cid:durableId="2060783933">
    <w:abstractNumId w:val="0"/>
  </w:num>
  <w:num w:numId="41" w16cid:durableId="768088807">
    <w:abstractNumId w:val="10"/>
  </w:num>
  <w:num w:numId="42" w16cid:durableId="2104109934">
    <w:abstractNumId w:val="10"/>
  </w:num>
  <w:num w:numId="43" w16cid:durableId="1609433932">
    <w:abstractNumId w:val="10"/>
  </w:num>
  <w:num w:numId="44" w16cid:durableId="1084298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2CB"/>
    <w:rsid w:val="00002272"/>
    <w:rsid w:val="00064002"/>
    <w:rsid w:val="000677B9"/>
    <w:rsid w:val="000831BA"/>
    <w:rsid w:val="000A42CC"/>
    <w:rsid w:val="000B4A0B"/>
    <w:rsid w:val="000E7DD9"/>
    <w:rsid w:val="0010095E"/>
    <w:rsid w:val="00105532"/>
    <w:rsid w:val="00125B37"/>
    <w:rsid w:val="00187494"/>
    <w:rsid w:val="001F32AE"/>
    <w:rsid w:val="002767FF"/>
    <w:rsid w:val="002B18FE"/>
    <w:rsid w:val="002B5493"/>
    <w:rsid w:val="00331D39"/>
    <w:rsid w:val="00343214"/>
    <w:rsid w:val="00361C00"/>
    <w:rsid w:val="003622C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9BC"/>
    <w:rsid w:val="00560270"/>
    <w:rsid w:val="005C2568"/>
    <w:rsid w:val="005F1B17"/>
    <w:rsid w:val="006037C0"/>
    <w:rsid w:val="006554AA"/>
    <w:rsid w:val="006631B6"/>
    <w:rsid w:val="00680577"/>
    <w:rsid w:val="006E5223"/>
    <w:rsid w:val="006F74FA"/>
    <w:rsid w:val="00731ADD"/>
    <w:rsid w:val="00734777"/>
    <w:rsid w:val="0073714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561"/>
    <w:rsid w:val="00981893"/>
    <w:rsid w:val="00A1687D"/>
    <w:rsid w:val="00A43E52"/>
    <w:rsid w:val="00A4678D"/>
    <w:rsid w:val="00A66EB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683"/>
    <w:rsid w:val="00E27EF3"/>
    <w:rsid w:val="00E365E1"/>
    <w:rsid w:val="00E820A4"/>
    <w:rsid w:val="00EB006A"/>
    <w:rsid w:val="00EB4772"/>
    <w:rsid w:val="00ED169E"/>
    <w:rsid w:val="00ED4235"/>
    <w:rsid w:val="00F04346"/>
    <w:rsid w:val="00F075DC"/>
    <w:rsid w:val="00F149E9"/>
    <w:rsid w:val="00F216AD"/>
    <w:rsid w:val="00F40A8E"/>
    <w:rsid w:val="00F5134D"/>
    <w:rsid w:val="00F74202"/>
    <w:rsid w:val="00F87713"/>
    <w:rsid w:val="00FB4360"/>
    <w:rsid w:val="00FD0C70"/>
  </w:rsids>
  <w:docVars>
    <w:docVar w:name="dvdocse" w:val="A10-0118/2026"/>
    <w:docVar w:name="dvlangue" w:val="SL"/>
    <w:docVar w:name="dvnumam" w:val="0"/>
    <w:docVar w:name="dvpe" w:val="785.498"/>
    <w:docVar w:name="dvrapporteur" w:val="Poročevalec: "/>
    <w:docVar w:name="dvtitre" w:val="Sklep Evropskega parlamenta z dne xx. aprila 2026 o zahtevi za odvzem imunitete Grzegorzu Braunu(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B5B5DC"/>
  <w15:chartTrackingRefBased/>
  <w15:docId w15:val="{B69AB022-A663-4F34-9149-DA911E5D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E5223"/>
    <w:pPr>
      <w:spacing w:after="240"/>
      <w:ind w:left="567" w:hanging="567"/>
    </w:pPr>
  </w:style>
  <w:style w:type="paragraph" w:customStyle="1" w:styleId="EPComma">
    <w:name w:val="EPComma"/>
    <w:basedOn w:val="Normal"/>
    <w:rsid w:val="006E5223"/>
    <w:pPr>
      <w:spacing w:before="480" w:after="240"/>
    </w:pPr>
  </w:style>
  <w:style w:type="paragraph" w:styleId="Revision">
    <w:name w:val="Revision"/>
    <w:hidden/>
    <w:uiPriority w:val="99"/>
    <w:semiHidden/>
    <w:rsid w:val="0010553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2026-04-28T10:51:00Z</dcterms:created>
  <dcterms:modified xsi:type="dcterms:W3CDTF">2026-04-28T10:51:00Z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A10-0118/2026</vt:lpwstr>
  </property>
  <property fmtid="{D5CDD505-2E9C-101B-9397-08002B2CF9AE}" pid="4" name="&lt;Type&gt;">
    <vt:lpwstr>RR</vt:lpwstr>
  </property>
</Properties>
</file>