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41BC4DC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02BF3" w:rsidP="0010095E" w14:paraId="40168262" w14:textId="77777777">
            <w:pPr>
              <w:pStyle w:val="EPName"/>
            </w:pPr>
            <w:r w:rsidRPr="00602BF3">
              <w:t>Evropský parlament</w:t>
            </w:r>
          </w:p>
          <w:p w:rsidR="00751A4A" w:rsidRPr="00602BF3" w:rsidP="005F1B17" w14:paraId="3A94C550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02BF3">
              <w:t>2024</w:t>
            </w:r>
            <w:r w:rsidRPr="00602BF3" w:rsidR="00817416">
              <w:t>-202</w:t>
            </w:r>
            <w:r w:rsidRPr="00602BF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02BF3" w:rsidP="0010095E" w14:paraId="7862747D" w14:textId="77777777">
            <w:pPr>
              <w:pStyle w:val="EPLogo"/>
            </w:pPr>
            <w:r w:rsidRPr="00602BF3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02BF3" w:rsidP="004C5D52" w14:paraId="685C2A06" w14:textId="77777777">
      <w:pPr>
        <w:pStyle w:val="LineTop"/>
      </w:pPr>
    </w:p>
    <w:p w:rsidR="00680577" w:rsidRPr="00602BF3" w:rsidP="00680577" w14:paraId="32C51CFE" w14:textId="77777777">
      <w:pPr>
        <w:pStyle w:val="EPBodyTA1"/>
      </w:pPr>
      <w:r w:rsidRPr="00602BF3">
        <w:t>PŘIJATÉ TEXTY</w:t>
      </w:r>
    </w:p>
    <w:p w:rsidR="00D058B8" w:rsidRPr="00602BF3" w:rsidP="00D058B8" w14:paraId="4EF61CEE" w14:textId="77777777">
      <w:pPr>
        <w:pStyle w:val="LineBottom"/>
      </w:pPr>
    </w:p>
    <w:p w:rsidR="00A511C7" w:rsidRPr="00602BF3" w:rsidP="00A511C7" w14:paraId="52C0BC70" w14:textId="1A1F53B4">
      <w:pPr>
        <w:pStyle w:val="ATHeading1"/>
      </w:pPr>
      <w:bookmarkStart w:id="0" w:name="TANumber"/>
      <w:r w:rsidRPr="00602BF3">
        <w:t>P10_</w:t>
      </w:r>
      <w:r w:rsidRPr="00602BF3">
        <w:t>TA(</w:t>
      </w:r>
      <w:r w:rsidRPr="00602BF3">
        <w:t>2026)0</w:t>
      </w:r>
      <w:r w:rsidR="00D32849">
        <w:t>110</w:t>
      </w:r>
      <w:bookmarkEnd w:id="0"/>
    </w:p>
    <w:p w:rsidR="00A511C7" w:rsidRPr="00602BF3" w:rsidP="00A511C7" w14:paraId="4709F6B2" w14:textId="77777777">
      <w:pPr>
        <w:pStyle w:val="ATHeading2"/>
      </w:pPr>
      <w:bookmarkStart w:id="1" w:name="title"/>
      <w:r w:rsidRPr="00DA6E45">
        <w:t xml:space="preserve">Žádost, aby byl </w:t>
      </w:r>
      <w:r w:rsidRPr="00DA6E45">
        <w:t>Alvise</w:t>
      </w:r>
      <w:r w:rsidRPr="00DA6E45">
        <w:t xml:space="preserve"> </w:t>
      </w:r>
      <w:r w:rsidRPr="00DA6E45">
        <w:t>Pérez</w:t>
      </w:r>
      <w:r w:rsidRPr="00DA6E45">
        <w:t xml:space="preserve"> zbaven imunity</w:t>
      </w:r>
      <w:bookmarkEnd w:id="1"/>
    </w:p>
    <w:p w:rsidR="00A511C7" w:rsidRPr="00602BF3" w:rsidP="00A511C7" w14:paraId="6449D49E" w14:textId="77777777">
      <w:pPr>
        <w:rPr>
          <w:i/>
          <w:vanish/>
        </w:rPr>
      </w:pPr>
      <w:r>
        <w:rPr>
          <w:i/>
        </w:rPr>
        <w:fldChar w:fldCharType="begin"/>
      </w:r>
      <w:r w:rsidRPr="00602BF3">
        <w:rPr>
          <w:i/>
        </w:rPr>
        <w:instrText xml:space="preserve"> TC"(</w:instrText>
      </w:r>
      <w:bookmarkStart w:id="2" w:name="DocNumber"/>
      <w:r w:rsidRPr="00602BF3">
        <w:rPr>
          <w:i/>
        </w:rPr>
        <w:instrText>A10-0119/2026</w:instrText>
      </w:r>
      <w:bookmarkEnd w:id="2"/>
      <w:r w:rsidRPr="00602BF3">
        <w:rPr>
          <w:i/>
        </w:rPr>
        <w:instrText xml:space="preserve"> - Zpravodaj: Mario Furore)"\l3 \n&gt; \* MERGEFORMAT </w:instrText>
      </w:r>
      <w:r>
        <w:rPr>
          <w:i/>
        </w:rPr>
        <w:fldChar w:fldCharType="end"/>
      </w:r>
    </w:p>
    <w:p w:rsidR="00A511C7" w:rsidRPr="00602BF3" w:rsidP="00A511C7" w14:paraId="7F6E95F3" w14:textId="77777777">
      <w:pPr>
        <w:rPr>
          <w:vanish/>
        </w:rPr>
      </w:pPr>
      <w:bookmarkStart w:id="3" w:name="Commission"/>
      <w:r w:rsidRPr="00602BF3">
        <w:rPr>
          <w:vanish/>
        </w:rPr>
        <w:t>Výbor pro právní záležitosti</w:t>
      </w:r>
      <w:bookmarkEnd w:id="3"/>
    </w:p>
    <w:p w:rsidR="00A511C7" w:rsidRPr="00602BF3" w:rsidP="00A511C7" w14:paraId="507B8256" w14:textId="77777777">
      <w:pPr>
        <w:rPr>
          <w:vanish/>
        </w:rPr>
      </w:pPr>
      <w:bookmarkStart w:id="4" w:name="PE"/>
      <w:r w:rsidRPr="00602BF3">
        <w:rPr>
          <w:vanish/>
        </w:rPr>
        <w:t>PE784.496</w:t>
      </w:r>
      <w:bookmarkEnd w:id="4"/>
    </w:p>
    <w:p w:rsidR="00A511C7" w:rsidRPr="00602BF3" w:rsidP="00A511C7" w14:paraId="2D440F36" w14:textId="13D6B335">
      <w:pPr>
        <w:pStyle w:val="ATHeading3"/>
      </w:pPr>
      <w:bookmarkStart w:id="5" w:name="Sujet"/>
      <w:r w:rsidRPr="00602BF3">
        <w:t>Rozhodnutí Evropského parlamentu ze dne</w:t>
      </w:r>
      <w:r w:rsidR="00572FEF">
        <w:t xml:space="preserve"> </w:t>
      </w:r>
      <w:r w:rsidR="00A420AD">
        <w:t>28</w:t>
      </w:r>
      <w:r w:rsidR="00572FEF">
        <w:t>. dubna</w:t>
      </w:r>
      <w:r w:rsidRPr="00602BF3">
        <w:t xml:space="preserve"> 2026 o žádosti, aby byl </w:t>
      </w:r>
      <w:r w:rsidRPr="00602BF3">
        <w:t>Alvise</w:t>
      </w:r>
      <w:r w:rsidRPr="00602BF3">
        <w:t xml:space="preserve"> </w:t>
      </w:r>
      <w:r w:rsidRPr="00602BF3">
        <w:t>Pérez</w:t>
      </w:r>
      <w:r w:rsidRPr="00602BF3">
        <w:t xml:space="preserve"> zbaven imunity</w:t>
      </w:r>
      <w:bookmarkEnd w:id="5"/>
      <w:r w:rsidRPr="00602BF3">
        <w:t xml:space="preserve"> </w:t>
      </w:r>
      <w:bookmarkStart w:id="6" w:name="References"/>
      <w:r w:rsidRPr="00602BF3">
        <w:t>(2025/2222(IMM))</w:t>
      </w:r>
      <w:bookmarkEnd w:id="6"/>
    </w:p>
    <w:p w:rsidR="001E19DA" w:rsidRPr="00602BF3" w:rsidP="001E19DA" w14:paraId="3FD41FB6" w14:textId="77777777">
      <w:pPr>
        <w:pStyle w:val="EPComma"/>
      </w:pPr>
      <w:bookmarkStart w:id="7" w:name="TextBodyBegin"/>
      <w:bookmarkEnd w:id="7"/>
      <w:r w:rsidRPr="00602BF3">
        <w:rPr>
          <w:i/>
        </w:rPr>
        <w:t>Evropský parlament</w:t>
      </w:r>
      <w:r w:rsidRPr="00602BF3">
        <w:t>,</w:t>
      </w:r>
    </w:p>
    <w:p w:rsidR="001E19DA" w:rsidRPr="00602BF3" w:rsidP="001E19DA" w14:paraId="47D1534C" w14:textId="77777777">
      <w:pPr>
        <w:pStyle w:val="NormalHanging12a"/>
      </w:pPr>
      <w:r w:rsidRPr="00602BF3">
        <w:t>–</w:t>
      </w:r>
      <w:r w:rsidRPr="00602BF3">
        <w:tab/>
        <w:t xml:space="preserve">s ohledem na žádost, aby byl </w:t>
      </w:r>
      <w:r w:rsidRPr="00602BF3">
        <w:t>Alvise</w:t>
      </w:r>
      <w:r w:rsidRPr="00602BF3">
        <w:t xml:space="preserve"> </w:t>
      </w:r>
      <w:r w:rsidRPr="00602BF3">
        <w:t>Pérez</w:t>
      </w:r>
      <w:r w:rsidRPr="00602BF3">
        <w:t xml:space="preserve"> (Luis </w:t>
      </w:r>
      <w:r w:rsidRPr="00602BF3">
        <w:t>Pérez</w:t>
      </w:r>
      <w:r w:rsidRPr="00602BF3">
        <w:t xml:space="preserve"> </w:t>
      </w:r>
      <w:r w:rsidRPr="00602BF3">
        <w:t>Fernández</w:t>
      </w:r>
      <w:r w:rsidRPr="00602BF3">
        <w:t>) zbaven imunity, kterou podal španělský Nejvyšší soud dopisem ze dne 7. října 2025 v souvislosti s trestním řízením, které má být proti němu zahájeno, a která byla oznámena v Parlamentu dne 22. října 2025,</w:t>
      </w:r>
    </w:p>
    <w:p w:rsidR="001E19DA" w:rsidRPr="00602BF3" w:rsidP="001E19DA" w14:paraId="44755DB4" w14:textId="77777777">
      <w:pPr>
        <w:pStyle w:val="NormalHanging12a"/>
      </w:pPr>
      <w:r w:rsidRPr="00602BF3">
        <w:t>–</w:t>
      </w:r>
      <w:r w:rsidRPr="00602BF3">
        <w:tab/>
        <w:t xml:space="preserve">poté, co </w:t>
      </w:r>
      <w:r w:rsidRPr="00602BF3">
        <w:t>Alvise</w:t>
      </w:r>
      <w:r w:rsidRPr="00602BF3">
        <w:t xml:space="preserve"> </w:t>
      </w:r>
      <w:r w:rsidRPr="00602BF3">
        <w:t>Pérez</w:t>
      </w:r>
      <w:r w:rsidRPr="00602BF3">
        <w:t xml:space="preserve"> dostal dne 24. března 2026 příležitost vyjádřit se v souladu s čl. 9 odst. 6 jednacího řádu,</w:t>
      </w:r>
    </w:p>
    <w:p w:rsidR="001E19DA" w:rsidRPr="00602BF3" w:rsidP="001E19DA" w14:paraId="6598AD16" w14:textId="77777777">
      <w:pPr>
        <w:pStyle w:val="NormalHanging12a"/>
      </w:pPr>
      <w:r w:rsidRPr="00602BF3">
        <w:t>–</w:t>
      </w:r>
      <w:r w:rsidRPr="00602BF3">
        <w:tab/>
        <w:t>s ohledem na články 8 a 9 protokolu č. 7 o výsadách a imunitách Evropské unie a na čl. 6 odst. 2 aktu ze dne 20. září 1976 o volbě členů Evropského parlamentu ve všeobecných a přímých volbách,</w:t>
      </w:r>
    </w:p>
    <w:p w:rsidR="001E19DA" w:rsidRPr="00602BF3" w:rsidP="001E19DA" w14:paraId="2D351802" w14:textId="77777777">
      <w:pPr>
        <w:pStyle w:val="NormalHanging12a"/>
      </w:pPr>
      <w:r w:rsidRPr="00602BF3">
        <w:t>–</w:t>
      </w:r>
      <w:r w:rsidRPr="00602BF3">
        <w:tab/>
        <w:t>s ohledem na rozsudky Soudního dvora Evropské unie ze dne 21. října 2008, 19. března 2010, 6. září 2011, 17. ledna 2013 a 19. prosince 2019</w:t>
      </w:r>
      <w:r>
        <w:rPr>
          <w:rStyle w:val="FootnoteReference"/>
          <w:color w:val="000000"/>
        </w:rPr>
        <w:footnoteReference w:id="2"/>
      </w:r>
      <w:r w:rsidRPr="00602BF3">
        <w:t>,</w:t>
      </w:r>
    </w:p>
    <w:p w:rsidR="001E19DA" w:rsidRPr="00602BF3" w:rsidP="001E19DA" w14:paraId="68E6D798" w14:textId="77777777">
      <w:pPr>
        <w:pStyle w:val="NormalHanging12a"/>
      </w:pPr>
      <w:r w:rsidRPr="00602BF3">
        <w:t>–</w:t>
      </w:r>
      <w:r w:rsidRPr="00602BF3">
        <w:tab/>
        <w:t>s ohledem na čl. 71 odst. 1 a 2 španělské ústavy,</w:t>
      </w:r>
    </w:p>
    <w:p w:rsidR="001E19DA" w:rsidRPr="00602BF3" w:rsidP="001E19DA" w14:paraId="7AE9DE5F" w14:textId="77777777">
      <w:pPr>
        <w:pStyle w:val="NormalHanging12a"/>
      </w:pPr>
      <w:r w:rsidRPr="00602BF3">
        <w:t>–</w:t>
      </w:r>
      <w:r w:rsidRPr="00602BF3">
        <w:tab/>
        <w:t>s ohledem na čl. 5 odst. 2, čl. 6 odst. 1 a článek 9 jednacího řádu,</w:t>
      </w:r>
    </w:p>
    <w:p w:rsidR="001E19DA" w:rsidRPr="00602BF3" w:rsidP="001E19DA" w14:paraId="7904E1E3" w14:textId="77777777">
      <w:pPr>
        <w:pStyle w:val="NormalHanging12a"/>
      </w:pPr>
      <w:r w:rsidRPr="00602BF3">
        <w:t>–</w:t>
      </w:r>
      <w:r w:rsidRPr="00602BF3">
        <w:tab/>
        <w:t>s ohledem na zprávu Výboru pro právní záležitosti (A10</w:t>
      </w:r>
      <w:r w:rsidRPr="00602BF3">
        <w:noBreakHyphen/>
        <w:t>0119/2026),</w:t>
      </w:r>
    </w:p>
    <w:p w:rsidR="001E19DA" w:rsidRPr="00602BF3" w:rsidP="001E19DA" w14:paraId="4B5AB993" w14:textId="77777777">
      <w:pPr>
        <w:pStyle w:val="NormalHanging12a"/>
      </w:pPr>
      <w:r w:rsidRPr="00602BF3">
        <w:t>A.</w:t>
      </w:r>
      <w:r w:rsidRPr="00602BF3">
        <w:tab/>
        <w:t xml:space="preserve">vzhledem k tomu, že předsedkyně španělského Nejvyššího soudu požádala dopisem ze </w:t>
      </w:r>
      <w:r w:rsidRPr="00602BF3">
        <w:t xml:space="preserve">dne 7. října 2025, aby byl </w:t>
      </w:r>
      <w:r w:rsidRPr="00602BF3">
        <w:t>Alvise</w:t>
      </w:r>
      <w:r w:rsidRPr="00602BF3">
        <w:t xml:space="preserve"> </w:t>
      </w:r>
      <w:r w:rsidRPr="00602BF3">
        <w:t>Pérez</w:t>
      </w:r>
      <w:r w:rsidRPr="00602BF3">
        <w:t>, poslanec Evropského parlamentu zvolený ve Španělsku, zbaven imunity v souvislosti s údajnými trestnými činy, k nimž došlo v roce 2024;</w:t>
      </w:r>
    </w:p>
    <w:p w:rsidR="001E19DA" w:rsidRPr="00602BF3" w:rsidP="00572FEF" w14:paraId="728E1CD5" w14:textId="4F1F70C8">
      <w:pPr>
        <w:pStyle w:val="Normal12a"/>
        <w:ind w:left="567" w:hanging="567"/>
      </w:pPr>
      <w:r w:rsidRPr="00602BF3">
        <w:rPr>
          <w:shd w:val="clear" w:color="auto" w:fill="FFFFFF"/>
        </w:rPr>
        <w:t>B.</w:t>
      </w:r>
      <w:r w:rsidRPr="00602BF3">
        <w:rPr>
          <w:shd w:val="clear" w:color="auto" w:fill="FFFFFF"/>
        </w:rPr>
        <w:tab/>
      </w:r>
      <w:r w:rsidRPr="00602BF3">
        <w:t>vzhledem k tomu, že v žádosti se uvádí, že v lednu a únoru 2024 správce kanálu Telegram s názvem „</w:t>
      </w:r>
      <w:r w:rsidRPr="00602BF3">
        <w:rPr>
          <w:i/>
          <w:iCs/>
        </w:rPr>
        <w:t>Alvise</w:t>
      </w:r>
      <w:r w:rsidRPr="00602BF3">
        <w:rPr>
          <w:i/>
          <w:iCs/>
        </w:rPr>
        <w:t xml:space="preserve"> </w:t>
      </w:r>
      <w:r w:rsidRPr="00602BF3">
        <w:rPr>
          <w:i/>
          <w:iCs/>
        </w:rPr>
        <w:t>Pérez</w:t>
      </w:r>
      <w:r w:rsidRPr="00602BF3">
        <w:rPr>
          <w:i/>
          <w:iCs/>
        </w:rPr>
        <w:t xml:space="preserve"> Chat</w:t>
      </w:r>
      <w:r w:rsidRPr="00602BF3">
        <w:t xml:space="preserve">“ údajně zveřejnil prohlášení, v nichž uvedl jména „osob odpovědných za ideologické pronásledování známé jako trestné činy z nenávisti“, přičemž odkázal zejména na pověřeného státního zástupce pro trestné činy z nenávisti ve Valencii; vzhledem k tomu, že prohlášení zveřejněná na tomto kanálu vyvolala okamžitou reakci řady jeho sledujících, kteří uvedenému pověřenému státnímu zástupci zaslali více než 1500 komentářů, většinou urážlivé povahy; vzhledem k tomu, že údajné jednání tohoto typu </w:t>
      </w:r>
      <w:r w:rsidR="00A420AD">
        <w:t>by mohlo</w:t>
      </w:r>
      <w:r w:rsidRPr="00602BF3" w:rsidR="00A420AD">
        <w:t xml:space="preserve"> </w:t>
      </w:r>
      <w:r w:rsidRPr="00602BF3">
        <w:t>představovat trestné činy obtěžování nebo pronásledování, podněcování ke spáchání útoku na orgán nebo veřejného činitele, nátlaku a/nebo šíření nenávisti prostřednictvím sociálních médií podle článku 172b a čl. 18 odst. 1 španělského trestního zákoníku ve spojení s článkem 553 španělského trestního zákoníku;</w:t>
      </w:r>
    </w:p>
    <w:p w:rsidR="001E19DA" w:rsidRPr="00602BF3" w:rsidP="001E19DA" w14:paraId="50F50ED0" w14:textId="77777777">
      <w:pPr>
        <w:pStyle w:val="NormalHanging12a"/>
        <w:rPr>
          <w:szCs w:val="24"/>
          <w:shd w:val="clear" w:color="auto" w:fill="FFFFFF"/>
        </w:rPr>
      </w:pPr>
      <w:r w:rsidRPr="00602BF3">
        <w:t>C.</w:t>
      </w:r>
      <w:r w:rsidRPr="00602BF3">
        <w:tab/>
      </w:r>
      <w:r w:rsidRPr="00602BF3">
        <w:rPr>
          <w:shd w:val="clear" w:color="auto" w:fill="FFFFFF"/>
        </w:rPr>
        <w:t xml:space="preserve">vzhledem k tomu, že </w:t>
      </w:r>
      <w:r w:rsidRPr="00602BF3">
        <w:t>Alvise</w:t>
      </w:r>
      <w:r w:rsidRPr="00602BF3">
        <w:t xml:space="preserve"> </w:t>
      </w:r>
      <w:r w:rsidRPr="00602BF3">
        <w:t>Pérez</w:t>
      </w:r>
      <w:r w:rsidRPr="00602BF3">
        <w:rPr>
          <w:shd w:val="clear" w:color="auto" w:fill="FFFFFF"/>
        </w:rPr>
        <w:t xml:space="preserve"> byl zvolen poslancem ve volbách do Evropského parlamentu v červnu 2024, přičemž v době, kdy měl trestný čin spáchat, poslancem Evropského parlamentu nebyl;</w:t>
      </w:r>
      <w:r w:rsidRPr="00602BF3">
        <w:t xml:space="preserve"> </w:t>
      </w:r>
    </w:p>
    <w:p w:rsidR="001E19DA" w:rsidRPr="00602BF3" w:rsidP="001E19DA" w14:paraId="64463014" w14:textId="77777777">
      <w:pPr>
        <w:pStyle w:val="NormalHanging12a"/>
      </w:pPr>
      <w:r w:rsidRPr="00602BF3">
        <w:t>D.</w:t>
      </w:r>
      <w:r w:rsidRPr="00602BF3">
        <w:tab/>
        <w:t xml:space="preserve">vzhledem k tomu, že údajné trestné činy a následná žádost o to, aby byl </w:t>
      </w:r>
      <w:r w:rsidRPr="00602BF3">
        <w:t>Alvise</w:t>
      </w:r>
      <w:r w:rsidRPr="00602BF3">
        <w:t xml:space="preserve"> </w:t>
      </w:r>
      <w:r w:rsidRPr="00602BF3">
        <w:t>Pérez</w:t>
      </w:r>
      <w:r w:rsidRPr="00602BF3">
        <w:t xml:space="preserve"> zbaven imunity, nemají souvislost s jeho názory nebo hlasováním během výkonu jeho funkce ve smyslu článku 8 Protokolu č. 7 o výsadách a imunitách Evropské unie;</w:t>
      </w:r>
    </w:p>
    <w:p w:rsidR="001E19DA" w:rsidRPr="00602BF3" w:rsidP="001E19DA" w14:paraId="73AF6C65" w14:textId="2A1D73BF">
      <w:pPr>
        <w:pStyle w:val="NormalHanging12a"/>
      </w:pPr>
      <w:r w:rsidRPr="00602BF3">
        <w:t>E.</w:t>
      </w:r>
      <w:r w:rsidRPr="00602BF3">
        <w:tab/>
        <w:t xml:space="preserve">vzhledem k tomu, že čl. 9 </w:t>
      </w:r>
      <w:r w:rsidR="00B60A7D">
        <w:t xml:space="preserve">první pododstavec </w:t>
      </w:r>
      <w:r w:rsidRPr="00602BF3">
        <w:t xml:space="preserve">písm. a) Protokolu č. 7 o výsadách a imunitách Evropské unie stanoví, že v průběhu zasedání Evropského parlamentu jeho </w:t>
      </w:r>
      <w:r w:rsidR="00FD6CEB">
        <w:t>členové</w:t>
      </w:r>
      <w:r w:rsidRPr="00602BF3">
        <w:t xml:space="preserve"> požívají na území vlastního státu imunit přiznávaných </w:t>
      </w:r>
      <w:r w:rsidR="00B60A7D">
        <w:t xml:space="preserve">členům </w:t>
      </w:r>
      <w:r w:rsidRPr="00602BF3">
        <w:t xml:space="preserve">parlamentu </w:t>
      </w:r>
      <w:r w:rsidR="00FD6CEB">
        <w:t>vlastního</w:t>
      </w:r>
      <w:r w:rsidRPr="00602BF3">
        <w:t xml:space="preserve"> státu;</w:t>
      </w:r>
    </w:p>
    <w:p w:rsidR="001E19DA" w:rsidRPr="00602BF3" w:rsidP="001E19DA" w14:paraId="2BDE4592" w14:textId="3D0BC3C7">
      <w:pPr>
        <w:pStyle w:val="Normal12Hanging"/>
      </w:pPr>
      <w:r w:rsidRPr="00602BF3">
        <w:t>F.</w:t>
      </w:r>
      <w:r w:rsidRPr="00602BF3">
        <w:tab/>
        <w:t xml:space="preserve">vzhledem k tomu, že čl. 71 odst. 1 a 2 španělské ústavy </w:t>
      </w:r>
      <w:r w:rsidR="00FD6CEB">
        <w:t>stanoví, že</w:t>
      </w:r>
      <w:r w:rsidRPr="00602BF3">
        <w:t>:</w:t>
      </w:r>
    </w:p>
    <w:p w:rsidR="001E19DA" w:rsidRPr="00602BF3" w:rsidP="00572FEF" w14:paraId="091FB4A7" w14:textId="07627D4B">
      <w:pPr>
        <w:pStyle w:val="Normal12Hanging"/>
        <w:ind w:left="1134"/>
        <w:rPr>
          <w:iCs/>
        </w:rPr>
      </w:pPr>
      <w:r w:rsidRPr="00602BF3">
        <w:t>„</w:t>
      </w:r>
      <w:r w:rsidR="00FD6CEB">
        <w:t>(</w:t>
      </w:r>
      <w:r w:rsidRPr="00602BF3">
        <w:t>1)</w:t>
      </w:r>
      <w:r w:rsidR="00FD6CEB">
        <w:t>.</w:t>
      </w:r>
      <w:r w:rsidR="00572FEF">
        <w:tab/>
      </w:r>
      <w:r w:rsidRPr="00A420AD" w:rsidR="00A420AD">
        <w:t>Poslanci a senátoři jsou v souvislosti s názory vyjádřenými při výkonu svých funkcí nedotknutelní.</w:t>
      </w:r>
    </w:p>
    <w:p w:rsidR="001E19DA" w:rsidRPr="00602BF3" w:rsidP="00572FEF" w14:paraId="20623081" w14:textId="686D4B1C">
      <w:pPr>
        <w:pStyle w:val="NormalHanging12a"/>
        <w:ind w:left="1134"/>
        <w:rPr>
          <w:iCs/>
          <w:color w:val="000000"/>
        </w:rPr>
      </w:pPr>
      <w:r>
        <w:t>(</w:t>
      </w:r>
      <w:r w:rsidRPr="00602BF3">
        <w:t>2)</w:t>
      </w:r>
      <w:r>
        <w:t>.</w:t>
      </w:r>
      <w:r w:rsidR="00572FEF">
        <w:tab/>
      </w:r>
      <w:r w:rsidRPr="00A420AD" w:rsidR="00A420AD">
        <w:t>Po dobu svého mandátu požívají poslanci a senátoři imunity a zadržet či zatknout je lze jen v případě přistižení při spáchání trestného činu. Nemohou být vyšetřováni ani obviněni bez předchozího souhlasu příslušné komory.</w:t>
      </w:r>
      <w:r w:rsidRPr="00602BF3">
        <w:t>“;</w:t>
      </w:r>
    </w:p>
    <w:p w:rsidR="001E19DA" w:rsidRPr="00602BF3" w:rsidP="001E19DA" w14:paraId="71EB836D" w14:textId="77777777">
      <w:pPr>
        <w:pStyle w:val="NormalHanging12a"/>
        <w:rPr>
          <w:color w:val="000000"/>
        </w:rPr>
      </w:pPr>
      <w:r w:rsidRPr="00602BF3">
        <w:rPr>
          <w:color w:val="000000"/>
        </w:rPr>
        <w:t>G.</w:t>
      </w:r>
      <w:r w:rsidRPr="00602BF3">
        <w:rPr>
          <w:color w:val="000000"/>
        </w:rPr>
        <w:tab/>
        <w:t xml:space="preserve">vzhledem k tomu, že účelem imunity stanovené v Protokolu č. 7 o výsadách a imunitách Evropské unie je chránit Parlament </w:t>
      </w:r>
      <w:bookmarkStart w:id="8" w:name="_Hlk228264448"/>
      <w:r w:rsidRPr="00602BF3">
        <w:rPr>
          <w:color w:val="000000"/>
        </w:rPr>
        <w:t>a jeho poslance před soudními řízeními v souvislosti s činností, kterou vykonávají v rámci plnění svých parlamentních povinností a která nemůže být od těchto povinností oddělena</w:t>
      </w:r>
      <w:bookmarkEnd w:id="8"/>
      <w:r w:rsidRPr="00602BF3">
        <w:rPr>
          <w:color w:val="000000"/>
        </w:rPr>
        <w:t>;</w:t>
      </w:r>
    </w:p>
    <w:p w:rsidR="001E19DA" w:rsidRPr="00602BF3" w:rsidP="001E19DA" w14:paraId="731DE022" w14:textId="43E75919">
      <w:pPr>
        <w:pStyle w:val="NormalHanging12a"/>
        <w:rPr>
          <w:color w:val="000000"/>
        </w:rPr>
      </w:pPr>
      <w:r w:rsidRPr="00602BF3">
        <w:rPr>
          <w:color w:val="000000"/>
        </w:rPr>
        <w:t>H.</w:t>
      </w:r>
      <w:r w:rsidRPr="00602BF3">
        <w:rPr>
          <w:color w:val="000000"/>
        </w:rPr>
        <w:tab/>
        <w:t xml:space="preserve">vzhledem k tomu, že podle čl. 5 odst. 2 jednacího řádu Evropského parlamentu není poslanecká imunita osobní výsadou </w:t>
      </w:r>
      <w:r w:rsidRPr="00602BF3" w:rsidR="00A420AD">
        <w:rPr>
          <w:color w:val="000000"/>
        </w:rPr>
        <w:t>poslanc</w:t>
      </w:r>
      <w:r w:rsidR="00A420AD">
        <w:rPr>
          <w:color w:val="000000"/>
        </w:rPr>
        <w:t>e</w:t>
      </w:r>
      <w:r w:rsidRPr="00602BF3">
        <w:rPr>
          <w:color w:val="000000"/>
        </w:rPr>
        <w:t>, nýbrž zárukou nezávislosti Evropského parlamentu jako celku a jeho poslanců;</w:t>
      </w:r>
    </w:p>
    <w:p w:rsidR="001E19DA" w:rsidRPr="00602BF3" w:rsidP="001E19DA" w14:paraId="5C2C7C26" w14:textId="00048B77">
      <w:pPr>
        <w:pStyle w:val="NormalHanging12a"/>
        <w:rPr>
          <w:color w:val="000000"/>
        </w:rPr>
      </w:pPr>
      <w:r w:rsidRPr="00602BF3">
        <w:rPr>
          <w:color w:val="000000"/>
        </w:rPr>
        <w:t>I.</w:t>
      </w:r>
      <w:r w:rsidRPr="00602BF3">
        <w:rPr>
          <w:color w:val="000000"/>
        </w:rPr>
        <w:tab/>
        <w:t xml:space="preserve">vzhledem k tomu, že v této věci Parlament nemohl prokázat existenci </w:t>
      </w:r>
      <w:r w:rsidRPr="00602BF3">
        <w:rPr>
          <w:i/>
          <w:iCs/>
          <w:color w:val="000000"/>
        </w:rPr>
        <w:t>fumus</w:t>
      </w:r>
      <w:r w:rsidRPr="00602BF3">
        <w:rPr>
          <w:i/>
          <w:iCs/>
          <w:color w:val="000000"/>
        </w:rPr>
        <w:t xml:space="preserve"> </w:t>
      </w:r>
      <w:r w:rsidRPr="00602BF3">
        <w:rPr>
          <w:i/>
          <w:iCs/>
          <w:color w:val="000000"/>
        </w:rPr>
        <w:t>persecutionis</w:t>
      </w:r>
      <w:r w:rsidRPr="00602BF3">
        <w:rPr>
          <w:color w:val="000000"/>
        </w:rPr>
        <w:t xml:space="preserve">, </w:t>
      </w:r>
      <w:r w:rsidR="00B60A7D">
        <w:rPr>
          <w:color w:val="000000"/>
        </w:rPr>
        <w:t xml:space="preserve">jinými slovy nezjistil nic, co by poukazovalo na to, </w:t>
      </w:r>
      <w:r w:rsidRPr="00A420AD" w:rsidR="00A420AD">
        <w:rPr>
          <w:color w:val="000000"/>
        </w:rPr>
        <w:t xml:space="preserve">že </w:t>
      </w:r>
      <w:r w:rsidR="00B60A7D">
        <w:rPr>
          <w:color w:val="000000"/>
        </w:rPr>
        <w:t xml:space="preserve">účelem </w:t>
      </w:r>
      <w:r w:rsidRPr="00A420AD" w:rsidR="00A420AD">
        <w:rPr>
          <w:color w:val="000000"/>
        </w:rPr>
        <w:t>dotčeného soudního řízení</w:t>
      </w:r>
      <w:r w:rsidR="00E6398E">
        <w:rPr>
          <w:color w:val="000000"/>
        </w:rPr>
        <w:t xml:space="preserve"> je</w:t>
      </w:r>
      <w:r w:rsidR="00B60A7D">
        <w:rPr>
          <w:color w:val="000000"/>
        </w:rPr>
        <w:t xml:space="preserve"> poškození </w:t>
      </w:r>
      <w:r w:rsidRPr="00A420AD" w:rsidR="00A420AD">
        <w:rPr>
          <w:color w:val="000000"/>
        </w:rPr>
        <w:t>politick</w:t>
      </w:r>
      <w:r w:rsidR="00B60A7D">
        <w:rPr>
          <w:color w:val="000000"/>
        </w:rPr>
        <w:t>é</w:t>
      </w:r>
      <w:r w:rsidRPr="00A420AD" w:rsidR="00A420AD">
        <w:rPr>
          <w:color w:val="000000"/>
        </w:rPr>
        <w:t xml:space="preserve"> činnost</w:t>
      </w:r>
      <w:r w:rsidR="00B60A7D">
        <w:rPr>
          <w:color w:val="000000"/>
        </w:rPr>
        <w:t>i</w:t>
      </w:r>
      <w:r w:rsidRPr="00A420AD" w:rsidR="00A420AD">
        <w:rPr>
          <w:color w:val="000000"/>
        </w:rPr>
        <w:t xml:space="preserve"> </w:t>
      </w:r>
      <w:r w:rsidRPr="00A420AD" w:rsidR="00A420AD">
        <w:rPr>
          <w:color w:val="000000"/>
        </w:rPr>
        <w:t>Alvise</w:t>
      </w:r>
      <w:r w:rsidRPr="00A420AD" w:rsidR="00A420AD">
        <w:rPr>
          <w:color w:val="000000"/>
        </w:rPr>
        <w:t xml:space="preserve"> </w:t>
      </w:r>
      <w:r w:rsidRPr="00A420AD" w:rsidR="00A420AD">
        <w:rPr>
          <w:color w:val="000000"/>
        </w:rPr>
        <w:t>Péreze</w:t>
      </w:r>
      <w:r w:rsidRPr="00A420AD" w:rsidR="00A420AD">
        <w:rPr>
          <w:color w:val="000000"/>
        </w:rPr>
        <w:t xml:space="preserve"> jako poslance Evropského parlamentu, a </w:t>
      </w:r>
      <w:r w:rsidR="00B60A7D">
        <w:rPr>
          <w:color w:val="000000"/>
        </w:rPr>
        <w:t xml:space="preserve">tedy </w:t>
      </w:r>
      <w:r w:rsidRPr="00A420AD" w:rsidR="00A420AD">
        <w:rPr>
          <w:color w:val="000000"/>
        </w:rPr>
        <w:t>i nezávislost</w:t>
      </w:r>
      <w:r w:rsidR="00B60A7D">
        <w:rPr>
          <w:color w:val="000000"/>
        </w:rPr>
        <w:t>i</w:t>
      </w:r>
      <w:r w:rsidRPr="00A420AD" w:rsidR="00A420AD">
        <w:rPr>
          <w:color w:val="000000"/>
        </w:rPr>
        <w:t xml:space="preserve"> Parlamentu</w:t>
      </w:r>
      <w:r w:rsidRPr="00602BF3">
        <w:rPr>
          <w:color w:val="000000"/>
        </w:rPr>
        <w:t>;</w:t>
      </w:r>
    </w:p>
    <w:p w:rsidR="001E19DA" w:rsidRPr="00602BF3" w:rsidP="001E19DA" w14:paraId="31A3AB20" w14:textId="1C839301">
      <w:pPr>
        <w:pStyle w:val="NormalHanging12a"/>
        <w:rPr>
          <w:color w:val="000000"/>
        </w:rPr>
      </w:pPr>
      <w:r w:rsidRPr="00602BF3">
        <w:rPr>
          <w:color w:val="000000"/>
        </w:rPr>
        <w:t>J.</w:t>
      </w:r>
      <w:r w:rsidRPr="00602BF3">
        <w:rPr>
          <w:color w:val="000000"/>
        </w:rPr>
        <w:tab/>
        <w:t>vzhledem k tomu, že Evropský parlament nelze považovat za soud a že poslanec nemůže být v rámci řízení o zbavení imunity považován za obžalovaného</w:t>
      </w:r>
      <w:r>
        <w:rPr>
          <w:color w:val="000000"/>
          <w:vertAlign w:val="superscript"/>
        </w:rPr>
        <w:footnoteReference w:id="3"/>
      </w:r>
      <w:r w:rsidRPr="00602BF3">
        <w:rPr>
          <w:color w:val="000000"/>
        </w:rPr>
        <w:t>;</w:t>
      </w:r>
    </w:p>
    <w:p w:rsidR="001E19DA" w:rsidRPr="00602BF3" w:rsidP="001E19DA" w14:paraId="6EE8C4FC" w14:textId="3A3D090A">
      <w:pPr>
        <w:pStyle w:val="NormalHanging12a"/>
        <w:rPr>
          <w:color w:val="000000"/>
        </w:rPr>
      </w:pPr>
      <w:r w:rsidRPr="00602BF3">
        <w:rPr>
          <w:color w:val="000000"/>
        </w:rPr>
        <w:t>1.</w:t>
      </w:r>
      <w:r w:rsidRPr="00602BF3">
        <w:rPr>
          <w:color w:val="000000"/>
        </w:rPr>
        <w:tab/>
      </w:r>
      <w:r w:rsidR="00B60A7D">
        <w:rPr>
          <w:color w:val="000000"/>
        </w:rPr>
        <w:t>r</w:t>
      </w:r>
      <w:r w:rsidRPr="00602BF3">
        <w:rPr>
          <w:color w:val="000000"/>
        </w:rPr>
        <w:t xml:space="preserve">ozhodl, </w:t>
      </w:r>
      <w:r w:rsidR="00A420AD">
        <w:rPr>
          <w:color w:val="000000"/>
        </w:rPr>
        <w:t>že se</w:t>
      </w:r>
      <w:r w:rsidRPr="00602BF3">
        <w:rPr>
          <w:color w:val="000000"/>
        </w:rPr>
        <w:t xml:space="preserve"> </w:t>
      </w:r>
      <w:r w:rsidRPr="00602BF3">
        <w:rPr>
          <w:color w:val="000000"/>
        </w:rPr>
        <w:t>Alvise</w:t>
      </w:r>
      <w:r w:rsidRPr="00602BF3">
        <w:rPr>
          <w:color w:val="000000"/>
        </w:rPr>
        <w:t xml:space="preserve"> </w:t>
      </w:r>
      <w:r w:rsidRPr="00602BF3">
        <w:rPr>
          <w:color w:val="000000"/>
        </w:rPr>
        <w:t>Pérez</w:t>
      </w:r>
      <w:r w:rsidRPr="00602BF3">
        <w:rPr>
          <w:color w:val="000000"/>
        </w:rPr>
        <w:t xml:space="preserve"> zbav</w:t>
      </w:r>
      <w:r w:rsidR="00A420AD">
        <w:rPr>
          <w:color w:val="000000"/>
        </w:rPr>
        <w:t>uje</w:t>
      </w:r>
      <w:r w:rsidRPr="00602BF3">
        <w:rPr>
          <w:color w:val="000000"/>
        </w:rPr>
        <w:t xml:space="preserve"> imunity;</w:t>
      </w:r>
    </w:p>
    <w:p w:rsidR="00602BF3" w:rsidRPr="00602BF3" w:rsidP="00602BF3" w14:paraId="72D9F9FF" w14:textId="2E4D9B6E">
      <w:pPr>
        <w:pStyle w:val="NormalHanging12a"/>
      </w:pPr>
      <w:r w:rsidRPr="00602BF3">
        <w:t>2.</w:t>
      </w:r>
      <w:r w:rsidRPr="00602BF3">
        <w:tab/>
        <w:t>pověřuje svou předsedkyni, aby ihned předala toto rozhodnutí a zprávu příslušného výboru příslušným orgánům Španělského království a </w:t>
      </w:r>
      <w:r w:rsidRPr="00602BF3">
        <w:t>Alvisovi</w:t>
      </w:r>
      <w:r w:rsidRPr="00602BF3">
        <w:t xml:space="preserve"> </w:t>
      </w:r>
      <w:r w:rsidRPr="00602BF3">
        <w:t>Pérezovi</w:t>
      </w:r>
      <w:r w:rsidRPr="00602BF3">
        <w:t>.</w:t>
      </w:r>
    </w:p>
    <w:p w:rsidR="00E365E1" w:rsidRPr="00602BF3" w:rsidP="00A511C7" w14:paraId="19D5584E" w14:textId="044792D3"/>
    <w:sectPr w:rsidSect="00602BF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02BF3" w14:paraId="273F9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02BF3" w14:paraId="1F827FD4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02BF3" w14:paraId="55323201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A511C7" w:rsidRPr="00602BF3" w14:paraId="0C57CD5A" w14:textId="77777777">
      <w:r w:rsidRPr="00602BF3">
        <w:separator/>
      </w:r>
    </w:p>
  </w:footnote>
  <w:footnote w:type="continuationSeparator" w:id="1">
    <w:p w:rsidR="00A511C7" w:rsidRPr="00602BF3" w14:paraId="4C6A5561" w14:textId="77777777">
      <w:r w:rsidRPr="00602BF3">
        <w:continuationSeparator/>
      </w:r>
    </w:p>
  </w:footnote>
  <w:footnote w:id="2">
    <w:p w:rsidR="001E19DA" w:rsidRPr="00572FEF" w:rsidP="00572FEF" w14:paraId="2761C99D" w14:textId="1DE44DBF">
      <w:pPr>
        <w:pStyle w:val="FootnoteText"/>
        <w:ind w:left="567" w:hanging="567"/>
        <w:rPr>
          <w:sz w:val="24"/>
          <w:lang w:val="cs-CZ"/>
        </w:rPr>
      </w:pPr>
      <w:r w:rsidRPr="00602BF3">
        <w:rPr>
          <w:rStyle w:val="FootnoteReference"/>
          <w:sz w:val="24"/>
          <w:lang w:val="cs-CZ"/>
        </w:rPr>
        <w:footnoteRef/>
      </w:r>
      <w:r w:rsidRPr="00602BF3" w:rsidR="00602BF3">
        <w:rPr>
          <w:sz w:val="24"/>
          <w:lang w:val="cs-CZ"/>
        </w:rPr>
        <w:t xml:space="preserve"> </w:t>
      </w:r>
      <w:r w:rsidRPr="00602BF3" w:rsidR="00602BF3">
        <w:rPr>
          <w:sz w:val="24"/>
          <w:lang w:val="cs-CZ"/>
        </w:rPr>
        <w:tab/>
      </w:r>
      <w:r w:rsidRPr="00602BF3">
        <w:rPr>
          <w:sz w:val="24"/>
          <w:lang w:val="cs-CZ"/>
        </w:rPr>
        <w:t xml:space="preserve">rozsudek Soudního dvora ze dne 21. října 2008, </w:t>
      </w:r>
      <w:r w:rsidRPr="00602BF3">
        <w:rPr>
          <w:sz w:val="24"/>
          <w:lang w:val="cs-CZ"/>
        </w:rPr>
        <w:t>Marra</w:t>
      </w:r>
      <w:r w:rsidRPr="00602BF3">
        <w:rPr>
          <w:sz w:val="24"/>
          <w:lang w:val="cs-CZ"/>
        </w:rPr>
        <w:t xml:space="preserve">/De </w:t>
      </w:r>
      <w:r w:rsidRPr="00602BF3">
        <w:rPr>
          <w:sz w:val="24"/>
          <w:lang w:val="cs-CZ"/>
        </w:rPr>
        <w:t>Gregorio</w:t>
      </w:r>
      <w:r w:rsidRPr="00602BF3">
        <w:rPr>
          <w:sz w:val="24"/>
          <w:lang w:val="cs-CZ"/>
        </w:rPr>
        <w:t xml:space="preserve"> a Clemente, C-200/07 et C-201/07, ECLI:EU:C:2008:579; rozsudek Tribunálu ze dne 19. března 2010, </w:t>
      </w:r>
      <w:r w:rsidRPr="00602BF3">
        <w:rPr>
          <w:sz w:val="24"/>
          <w:lang w:val="cs-CZ"/>
        </w:rPr>
        <w:t>Gollnisch</w:t>
      </w:r>
      <w:r w:rsidRPr="00602BF3">
        <w:rPr>
          <w:sz w:val="24"/>
          <w:lang w:val="cs-CZ"/>
        </w:rPr>
        <w:t xml:space="preserve">/Parlament, T-42/06, ECLI:EU:T:2010:102; rozsudek Soudního dvora ze dne 6. září 2011, </w:t>
      </w:r>
      <w:r w:rsidRPr="00602BF3">
        <w:rPr>
          <w:sz w:val="24"/>
          <w:lang w:val="cs-CZ"/>
        </w:rPr>
        <w:t>Patriciello</w:t>
      </w:r>
      <w:r w:rsidRPr="00602BF3">
        <w:rPr>
          <w:sz w:val="24"/>
          <w:lang w:val="cs-CZ"/>
        </w:rPr>
        <w:t xml:space="preserve">, C-163/10, ECLI: EU:C:2011:543; rozsudek Tribunálu ze dne 17. ledna 2013, </w:t>
      </w:r>
      <w:r w:rsidRPr="00602BF3">
        <w:rPr>
          <w:sz w:val="24"/>
          <w:lang w:val="cs-CZ"/>
        </w:rPr>
        <w:t>Gollnisch</w:t>
      </w:r>
      <w:r w:rsidRPr="00602BF3">
        <w:rPr>
          <w:sz w:val="24"/>
          <w:lang w:val="cs-CZ"/>
        </w:rPr>
        <w:t xml:space="preserve">/Parlament, T-346/11 a T-347/11, ECLI:EU:T:2013:23. rozsudek Soudního dvora ze dne 19. prosince 2019, </w:t>
      </w:r>
      <w:r w:rsidRPr="00602BF3">
        <w:rPr>
          <w:sz w:val="24"/>
          <w:lang w:val="cs-CZ"/>
        </w:rPr>
        <w:t>Junqueras</w:t>
      </w:r>
      <w:r w:rsidRPr="00602BF3">
        <w:rPr>
          <w:sz w:val="24"/>
          <w:lang w:val="cs-CZ"/>
        </w:rPr>
        <w:t xml:space="preserve"> </w:t>
      </w:r>
      <w:r w:rsidRPr="00602BF3">
        <w:rPr>
          <w:sz w:val="24"/>
          <w:lang w:val="cs-CZ"/>
        </w:rPr>
        <w:t>Vies</w:t>
      </w:r>
      <w:r w:rsidRPr="00602BF3">
        <w:rPr>
          <w:sz w:val="24"/>
          <w:lang w:val="cs-CZ"/>
        </w:rPr>
        <w:t>, C-502/19, ECLI:EU:C:2019:1115.</w:t>
      </w:r>
    </w:p>
  </w:footnote>
  <w:footnote w:id="3">
    <w:p w:rsidR="001E19DA" w:rsidRPr="00602BF3" w:rsidP="00602BF3" w14:paraId="6D805084" w14:textId="4F507522">
      <w:pPr>
        <w:pStyle w:val="FootnoteText"/>
        <w:ind w:left="567" w:hanging="567"/>
        <w:rPr>
          <w:sz w:val="24"/>
          <w:lang w:val="cs-CZ"/>
        </w:rPr>
      </w:pPr>
      <w:r w:rsidRPr="00602BF3">
        <w:rPr>
          <w:rStyle w:val="FootnoteReference"/>
          <w:sz w:val="24"/>
          <w:lang w:val="cs-CZ"/>
        </w:rPr>
        <w:footnoteRef/>
      </w:r>
      <w:r w:rsidRPr="00602BF3" w:rsidR="00602BF3">
        <w:rPr>
          <w:sz w:val="24"/>
          <w:lang w:val="cs-CZ"/>
        </w:rPr>
        <w:t xml:space="preserve"> </w:t>
      </w:r>
      <w:r w:rsidRPr="00602BF3" w:rsidR="00602BF3">
        <w:rPr>
          <w:sz w:val="24"/>
          <w:lang w:val="cs-CZ"/>
        </w:rPr>
        <w:tab/>
      </w:r>
      <w:r w:rsidRPr="00602BF3">
        <w:rPr>
          <w:sz w:val="24"/>
          <w:lang w:val="cs-CZ"/>
        </w:rPr>
        <w:t xml:space="preserve">Rozsudek Tribunálu ze dne 30. dubna 2019, </w:t>
      </w:r>
      <w:r w:rsidRPr="00DA6E45">
        <w:rPr>
          <w:sz w:val="24"/>
          <w:lang w:val="cs-CZ"/>
        </w:rPr>
        <w:t>Briois</w:t>
      </w:r>
      <w:r w:rsidRPr="00DA6E45">
        <w:rPr>
          <w:sz w:val="24"/>
          <w:lang w:val="cs-CZ"/>
        </w:rPr>
        <w:t xml:space="preserve"> v. Parlament</w:t>
      </w:r>
      <w:r w:rsidRPr="00602BF3">
        <w:rPr>
          <w:sz w:val="24"/>
          <w:lang w:val="cs-CZ"/>
        </w:rPr>
        <w:t>, T-214/18, ECLI:</w:t>
      </w:r>
      <w:r w:rsidRPr="00602BF3">
        <w:rPr>
          <w:sz w:val="24"/>
          <w:lang w:val="cs-CZ"/>
        </w:rPr>
        <w:t>EU:T</w:t>
      </w:r>
      <w:r w:rsidRPr="00602BF3">
        <w:rPr>
          <w:sz w:val="24"/>
          <w:lang w:val="cs-CZ"/>
        </w:rPr>
        <w:t>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02BF3" w14:paraId="163AEC0F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02BF3" w14:paraId="2F883197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02BF3" w14:paraId="6F748736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41382647">
    <w:abstractNumId w:val="9"/>
  </w:num>
  <w:num w:numId="2" w16cid:durableId="2127699088">
    <w:abstractNumId w:val="9"/>
  </w:num>
  <w:num w:numId="3" w16cid:durableId="540436313">
    <w:abstractNumId w:val="7"/>
  </w:num>
  <w:num w:numId="4" w16cid:durableId="340665803">
    <w:abstractNumId w:val="7"/>
  </w:num>
  <w:num w:numId="5" w16cid:durableId="794324495">
    <w:abstractNumId w:val="6"/>
  </w:num>
  <w:num w:numId="6" w16cid:durableId="263272030">
    <w:abstractNumId w:val="6"/>
  </w:num>
  <w:num w:numId="7" w16cid:durableId="1007903016">
    <w:abstractNumId w:val="5"/>
  </w:num>
  <w:num w:numId="8" w16cid:durableId="1541548746">
    <w:abstractNumId w:val="5"/>
  </w:num>
  <w:num w:numId="9" w16cid:durableId="1448546231">
    <w:abstractNumId w:val="4"/>
  </w:num>
  <w:num w:numId="10" w16cid:durableId="845091496">
    <w:abstractNumId w:val="4"/>
  </w:num>
  <w:num w:numId="11" w16cid:durableId="534579727">
    <w:abstractNumId w:val="8"/>
  </w:num>
  <w:num w:numId="12" w16cid:durableId="1141074305">
    <w:abstractNumId w:val="8"/>
  </w:num>
  <w:num w:numId="13" w16cid:durableId="1734237109">
    <w:abstractNumId w:val="3"/>
  </w:num>
  <w:num w:numId="14" w16cid:durableId="1926842609">
    <w:abstractNumId w:val="3"/>
  </w:num>
  <w:num w:numId="15" w16cid:durableId="285041036">
    <w:abstractNumId w:val="2"/>
  </w:num>
  <w:num w:numId="16" w16cid:durableId="387186776">
    <w:abstractNumId w:val="2"/>
  </w:num>
  <w:num w:numId="17" w16cid:durableId="216672795">
    <w:abstractNumId w:val="1"/>
  </w:num>
  <w:num w:numId="18" w16cid:durableId="1746225904">
    <w:abstractNumId w:val="1"/>
  </w:num>
  <w:num w:numId="19" w16cid:durableId="906184446">
    <w:abstractNumId w:val="0"/>
  </w:num>
  <w:num w:numId="20" w16cid:durableId="1989629938">
    <w:abstractNumId w:val="0"/>
  </w:num>
  <w:num w:numId="21" w16cid:durableId="229848161">
    <w:abstractNumId w:val="9"/>
  </w:num>
  <w:num w:numId="22" w16cid:durableId="506024722">
    <w:abstractNumId w:val="7"/>
  </w:num>
  <w:num w:numId="23" w16cid:durableId="1067459994">
    <w:abstractNumId w:val="6"/>
  </w:num>
  <w:num w:numId="24" w16cid:durableId="293220127">
    <w:abstractNumId w:val="5"/>
  </w:num>
  <w:num w:numId="25" w16cid:durableId="2102949943">
    <w:abstractNumId w:val="4"/>
  </w:num>
  <w:num w:numId="26" w16cid:durableId="1200972729">
    <w:abstractNumId w:val="8"/>
  </w:num>
  <w:num w:numId="27" w16cid:durableId="128976973">
    <w:abstractNumId w:val="3"/>
  </w:num>
  <w:num w:numId="28" w16cid:durableId="280576822">
    <w:abstractNumId w:val="2"/>
  </w:num>
  <w:num w:numId="29" w16cid:durableId="1476486268">
    <w:abstractNumId w:val="1"/>
  </w:num>
  <w:num w:numId="30" w16cid:durableId="176581945">
    <w:abstractNumId w:val="0"/>
  </w:num>
  <w:num w:numId="31" w16cid:durableId="246380442">
    <w:abstractNumId w:val="9"/>
  </w:num>
  <w:num w:numId="32" w16cid:durableId="992180680">
    <w:abstractNumId w:val="7"/>
  </w:num>
  <w:num w:numId="33" w16cid:durableId="974719744">
    <w:abstractNumId w:val="6"/>
  </w:num>
  <w:num w:numId="34" w16cid:durableId="178931127">
    <w:abstractNumId w:val="5"/>
  </w:num>
  <w:num w:numId="35" w16cid:durableId="49962503">
    <w:abstractNumId w:val="4"/>
  </w:num>
  <w:num w:numId="36" w16cid:durableId="181090698">
    <w:abstractNumId w:val="8"/>
  </w:num>
  <w:num w:numId="37" w16cid:durableId="1959212549">
    <w:abstractNumId w:val="3"/>
  </w:num>
  <w:num w:numId="38" w16cid:durableId="889656780">
    <w:abstractNumId w:val="2"/>
  </w:num>
  <w:num w:numId="39" w16cid:durableId="1048802881">
    <w:abstractNumId w:val="1"/>
  </w:num>
  <w:num w:numId="40" w16cid:durableId="1448307278">
    <w:abstractNumId w:val="0"/>
  </w:num>
  <w:num w:numId="41" w16cid:durableId="1919631649">
    <w:abstractNumId w:val="10"/>
  </w:num>
  <w:num w:numId="42" w16cid:durableId="1464737183">
    <w:abstractNumId w:val="10"/>
  </w:num>
  <w:num w:numId="43" w16cid:durableId="1591426506">
    <w:abstractNumId w:val="10"/>
  </w:num>
  <w:num w:numId="44" w16cid:durableId="5116517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1C7"/>
    <w:rsid w:val="00002272"/>
    <w:rsid w:val="00064002"/>
    <w:rsid w:val="000677B9"/>
    <w:rsid w:val="000831BA"/>
    <w:rsid w:val="000A42CC"/>
    <w:rsid w:val="000E7DD9"/>
    <w:rsid w:val="0010095E"/>
    <w:rsid w:val="00125B37"/>
    <w:rsid w:val="001800DA"/>
    <w:rsid w:val="00187494"/>
    <w:rsid w:val="001E19DA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2FEF"/>
    <w:rsid w:val="00584686"/>
    <w:rsid w:val="005C2568"/>
    <w:rsid w:val="005F1B17"/>
    <w:rsid w:val="00602BF3"/>
    <w:rsid w:val="006037C0"/>
    <w:rsid w:val="00651DD6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20AD"/>
    <w:rsid w:val="00A43E52"/>
    <w:rsid w:val="00A4678D"/>
    <w:rsid w:val="00A511C7"/>
    <w:rsid w:val="00A778C7"/>
    <w:rsid w:val="00AB441E"/>
    <w:rsid w:val="00AB6293"/>
    <w:rsid w:val="00AE0928"/>
    <w:rsid w:val="00AF3B82"/>
    <w:rsid w:val="00B12E95"/>
    <w:rsid w:val="00B22876"/>
    <w:rsid w:val="00B558F0"/>
    <w:rsid w:val="00B60A7D"/>
    <w:rsid w:val="00B723D6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2849"/>
    <w:rsid w:val="00D56C11"/>
    <w:rsid w:val="00D834A0"/>
    <w:rsid w:val="00D872DF"/>
    <w:rsid w:val="00D91E21"/>
    <w:rsid w:val="00DA6E45"/>
    <w:rsid w:val="00DA7FCD"/>
    <w:rsid w:val="00E365E1"/>
    <w:rsid w:val="00E6398E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6CEB"/>
  </w:rsids>
  <w:docVars>
    <w:docVar w:name="dvdocse" w:val="A10-0119/2026"/>
    <w:docVar w:name="dvlangue" w:val="CS"/>
    <w:docVar w:name="dvnumam" w:val="0"/>
    <w:docVar w:name="dvpe" w:val="784.496"/>
    <w:docVar w:name="dvrapporteur" w:val="Zpravodaj: "/>
    <w:docVar w:name="dvtitre" w:val="Rozhodnutí Evropského parlamentu ze dne.... 2026 o žádosti, aby byl Alvise Pérez zbaven imunity(2025/2222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5A6B947"/>
  <w15:chartTrackingRefBased/>
  <w15:docId w15:val="{365275D2-0C7F-40F6-94A9-48DED7F8D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1E19DA"/>
    <w:pPr>
      <w:spacing w:after="240"/>
    </w:pPr>
  </w:style>
  <w:style w:type="paragraph" w:customStyle="1" w:styleId="NormalHanging12a">
    <w:name w:val="NormalHanging12a"/>
    <w:basedOn w:val="Normal"/>
    <w:rsid w:val="001E19DA"/>
    <w:pPr>
      <w:spacing w:after="240"/>
      <w:ind w:left="567" w:hanging="567"/>
    </w:pPr>
  </w:style>
  <w:style w:type="paragraph" w:customStyle="1" w:styleId="EPComma">
    <w:name w:val="EPComma"/>
    <w:basedOn w:val="Normal"/>
    <w:rsid w:val="001E19DA"/>
    <w:pPr>
      <w:spacing w:before="480" w:after="240"/>
    </w:pPr>
  </w:style>
  <w:style w:type="paragraph" w:customStyle="1" w:styleId="Normal12Hanging">
    <w:name w:val="Normal12Hanging"/>
    <w:basedOn w:val="Normal"/>
    <w:rsid w:val="001E19DA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A420AD"/>
    <w:rPr>
      <w:sz w:val="16"/>
      <w:szCs w:val="16"/>
    </w:rPr>
  </w:style>
  <w:style w:type="paragraph" w:styleId="CommentText">
    <w:name w:val="annotation text"/>
    <w:basedOn w:val="Normal"/>
    <w:link w:val="CommentTextChar"/>
    <w:rsid w:val="00A420A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420AD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A420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420AD"/>
    <w:rPr>
      <w:b/>
      <w:bCs/>
      <w:lang w:val="cs-CZ"/>
    </w:rPr>
  </w:style>
  <w:style w:type="paragraph" w:styleId="Revision">
    <w:name w:val="Revision"/>
    <w:hidden/>
    <w:uiPriority w:val="99"/>
    <w:semiHidden/>
    <w:rsid w:val="00A420AD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724</Words>
  <Characters>4018</Characters>
  <Application>Microsoft Office Word</Application>
  <DocSecurity>0</DocSecurity>
  <Lines>61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2026-04-28T10:57:00Z</dcterms:created>
  <dcterms:modified xsi:type="dcterms:W3CDTF">2026-04-28T10:57:00Z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A10-0119/2026</vt:lpwstr>
  </property>
  <property fmtid="{D5CDD505-2E9C-101B-9397-08002B2CF9AE}" pid="4" name="&lt;Type&gt;">
    <vt:lpwstr>RR</vt:lpwstr>
  </property>
</Properties>
</file>